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8E006" w14:textId="35CADF34" w:rsidR="00BF1511" w:rsidRPr="00761462" w:rsidRDefault="00BF1511" w:rsidP="00BF1511">
      <w:pPr>
        <w:pStyle w:val="1"/>
        <w:spacing w:line="360" w:lineRule="auto"/>
        <w:rPr>
          <w:rFonts w:eastAsiaTheme="minorHAnsi" w:cs="Times New Roman"/>
          <w:sz w:val="20"/>
          <w:szCs w:val="20"/>
        </w:rPr>
      </w:pPr>
      <w:r w:rsidRPr="00761462">
        <w:rPr>
          <w:rFonts w:eastAsiaTheme="minorHAnsi" w:cs="Times New Roman"/>
          <w:sz w:val="20"/>
          <w:szCs w:val="20"/>
        </w:rPr>
        <w:t>Supplement</w:t>
      </w:r>
      <w:r w:rsidRPr="00761462">
        <w:rPr>
          <w:rFonts w:eastAsiaTheme="minorHAnsi" w:cs="Times New Roman" w:hint="eastAsia"/>
          <w:sz w:val="20"/>
          <w:szCs w:val="20"/>
        </w:rPr>
        <w:t>ary</w:t>
      </w:r>
      <w:r w:rsidRPr="00761462">
        <w:rPr>
          <w:rFonts w:eastAsiaTheme="minorHAnsi" w:cs="Times New Roman"/>
          <w:sz w:val="20"/>
          <w:szCs w:val="20"/>
        </w:rPr>
        <w:t xml:space="preserve"> figure</w:t>
      </w:r>
      <w:r>
        <w:rPr>
          <w:rFonts w:eastAsiaTheme="minorHAnsi" w:cs="Times New Roman" w:hint="eastAsia"/>
          <w:sz w:val="20"/>
          <w:szCs w:val="20"/>
        </w:rPr>
        <w:t>s</w:t>
      </w:r>
    </w:p>
    <w:p w14:paraId="3DF712FB" w14:textId="77777777" w:rsidR="00BF1511" w:rsidRPr="00761462" w:rsidRDefault="00BF1511" w:rsidP="00BF1511">
      <w:r w:rsidRPr="00761462">
        <w:rPr>
          <w:noProof/>
        </w:rPr>
        <w:drawing>
          <wp:inline distT="0" distB="0" distL="0" distR="0" wp14:anchorId="7B114E3D" wp14:editId="61F37E42">
            <wp:extent cx="5274310" cy="266001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007FE" w14:textId="77777777" w:rsidR="00BF1511" w:rsidRPr="00761462" w:rsidRDefault="00BF1511" w:rsidP="00BF1511">
      <w:pPr>
        <w:pStyle w:val="a7"/>
        <w:numPr>
          <w:ilvl w:val="0"/>
          <w:numId w:val="1"/>
        </w:numPr>
        <w:spacing w:line="360" w:lineRule="auto"/>
        <w:ind w:firstLineChars="0"/>
        <w:rPr>
          <w:rFonts w:eastAsiaTheme="minorHAnsi" w:cs="Times New Roman"/>
          <w:sz w:val="20"/>
          <w:szCs w:val="20"/>
        </w:rPr>
      </w:pPr>
      <w:r w:rsidRPr="00761462">
        <w:rPr>
          <w:rFonts w:eastAsiaTheme="minorHAnsi" w:cs="Times New Roman"/>
          <w:sz w:val="20"/>
          <w:szCs w:val="20"/>
        </w:rPr>
        <w:t xml:space="preserve">Supplementary Figure S1. The study </w:t>
      </w:r>
      <w:proofErr w:type="gramStart"/>
      <w:r w:rsidRPr="00761462">
        <w:rPr>
          <w:rFonts w:eastAsiaTheme="minorHAnsi" w:cs="Times New Roman"/>
          <w:sz w:val="20"/>
          <w:szCs w:val="20"/>
        </w:rPr>
        <w:t>design</w:t>
      </w:r>
      <w:proofErr w:type="gramEnd"/>
      <w:r w:rsidRPr="00761462">
        <w:rPr>
          <w:rFonts w:eastAsiaTheme="minorHAnsi" w:cs="Times New Roman"/>
          <w:sz w:val="20"/>
          <w:szCs w:val="20"/>
        </w:rPr>
        <w:t>. Abbreviations: First-line treatment (1L), squamous non-small cell lung cancer (</w:t>
      </w:r>
      <w:proofErr w:type="spellStart"/>
      <w:r w:rsidRPr="00761462">
        <w:rPr>
          <w:rFonts w:eastAsiaTheme="minorHAnsi" w:cs="Times New Roman"/>
          <w:sz w:val="20"/>
          <w:szCs w:val="20"/>
        </w:rPr>
        <w:t>sqNSCLC</w:t>
      </w:r>
      <w:proofErr w:type="spellEnd"/>
      <w:r w:rsidRPr="00761462">
        <w:rPr>
          <w:rFonts w:eastAsiaTheme="minorHAnsi" w:cs="Times New Roman"/>
          <w:sz w:val="20"/>
          <w:szCs w:val="20"/>
        </w:rPr>
        <w:t>), gastric cancer (GC), paclitaxel and carboplatin (TP), capecitabine and oxaliplatin (XELOX).</w:t>
      </w:r>
    </w:p>
    <w:p w14:paraId="785F68D2" w14:textId="77777777" w:rsidR="00BF1511" w:rsidRPr="00761462" w:rsidRDefault="00BF1511" w:rsidP="00BF1511"/>
    <w:p w14:paraId="7F45406A" w14:textId="77777777" w:rsidR="00BF1511" w:rsidRPr="00761462" w:rsidRDefault="00BF1511" w:rsidP="00BF1511">
      <w:r w:rsidRPr="00761462">
        <w:rPr>
          <w:noProof/>
        </w:rPr>
        <w:drawing>
          <wp:inline distT="0" distB="0" distL="0" distR="0" wp14:anchorId="553F8CCE" wp14:editId="0209AB15">
            <wp:extent cx="5274310" cy="282384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513BA" w14:textId="77777777" w:rsidR="00BF1511" w:rsidRPr="00761462" w:rsidRDefault="00BF1511" w:rsidP="00BF1511">
      <w:pPr>
        <w:pStyle w:val="a7"/>
        <w:numPr>
          <w:ilvl w:val="0"/>
          <w:numId w:val="1"/>
        </w:numPr>
        <w:spacing w:line="360" w:lineRule="auto"/>
        <w:ind w:firstLineChars="0"/>
        <w:rPr>
          <w:rFonts w:eastAsiaTheme="minorHAnsi" w:cs="Times New Roman"/>
          <w:sz w:val="20"/>
          <w:szCs w:val="20"/>
        </w:rPr>
      </w:pPr>
      <w:r w:rsidRPr="00761462">
        <w:rPr>
          <w:rFonts w:eastAsiaTheme="minorHAnsi" w:cs="Times New Roman"/>
          <w:sz w:val="20"/>
          <w:szCs w:val="20"/>
        </w:rPr>
        <w:t>Supplementary Figure S2. T</w:t>
      </w:r>
      <w:r w:rsidRPr="00761462">
        <w:rPr>
          <w:rFonts w:eastAsiaTheme="minorHAnsi" w:cs="Times New Roman" w:hint="eastAsia"/>
          <w:sz w:val="20"/>
          <w:szCs w:val="20"/>
        </w:rPr>
        <w:t>he</w:t>
      </w:r>
      <w:r w:rsidRPr="00761462">
        <w:rPr>
          <w:rFonts w:eastAsiaTheme="minorHAnsi" w:cs="Times New Roman"/>
          <w:sz w:val="20"/>
          <w:szCs w:val="20"/>
        </w:rPr>
        <w:t xml:space="preserve"> CONSORT </w:t>
      </w:r>
      <w:proofErr w:type="gramStart"/>
      <w:r w:rsidRPr="00761462">
        <w:rPr>
          <w:rFonts w:eastAsiaTheme="minorHAnsi" w:cs="Times New Roman"/>
          <w:sz w:val="20"/>
          <w:szCs w:val="20"/>
        </w:rPr>
        <w:t>diagram</w:t>
      </w:r>
      <w:proofErr w:type="gramEnd"/>
      <w:r w:rsidRPr="00761462">
        <w:rPr>
          <w:rFonts w:eastAsiaTheme="minorHAnsi" w:cs="Times New Roman" w:hint="eastAsia"/>
          <w:sz w:val="20"/>
          <w:szCs w:val="20"/>
        </w:rPr>
        <w:t xml:space="preserve">. </w:t>
      </w:r>
      <w:r w:rsidRPr="00761462">
        <w:rPr>
          <w:rFonts w:eastAsiaTheme="minorHAnsi" w:cs="Times New Roman"/>
          <w:sz w:val="20"/>
          <w:szCs w:val="20"/>
        </w:rPr>
        <w:t>Abbreviations: First-line treatment (1L), squamous non-small cell lung cancer (</w:t>
      </w:r>
      <w:proofErr w:type="spellStart"/>
      <w:r w:rsidRPr="00761462">
        <w:rPr>
          <w:rFonts w:eastAsiaTheme="minorHAnsi" w:cs="Times New Roman"/>
          <w:sz w:val="20"/>
          <w:szCs w:val="20"/>
        </w:rPr>
        <w:t>sqNSCLC</w:t>
      </w:r>
      <w:proofErr w:type="spellEnd"/>
      <w:r w:rsidRPr="00761462">
        <w:rPr>
          <w:rFonts w:eastAsiaTheme="minorHAnsi" w:cs="Times New Roman"/>
          <w:sz w:val="20"/>
          <w:szCs w:val="20"/>
        </w:rPr>
        <w:t>), gastric cancer (GC), paclitaxel and carboplatin (TP), capecitabine and oxaliplatin (XELOX).</w:t>
      </w:r>
    </w:p>
    <w:p w14:paraId="09928BBC" w14:textId="77777777" w:rsidR="00BF1511" w:rsidRPr="00761462" w:rsidRDefault="00BF1511" w:rsidP="00BF1511"/>
    <w:p w14:paraId="56075182" w14:textId="77777777" w:rsidR="00BF1511" w:rsidRPr="00761462" w:rsidRDefault="00BF1511" w:rsidP="00BF1511">
      <w:r w:rsidRPr="00761462">
        <w:rPr>
          <w:noProof/>
        </w:rPr>
        <w:lastRenderedPageBreak/>
        <w:drawing>
          <wp:inline distT="0" distB="0" distL="0" distR="0" wp14:anchorId="47F4FBDA" wp14:editId="1C6EAF05">
            <wp:extent cx="5274310" cy="2953385"/>
            <wp:effectExtent l="0" t="0" r="2540" b="0"/>
            <wp:docPr id="20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99" r="-884"/>
                    <a:stretch/>
                  </pic:blipFill>
                  <pic:spPr bwMode="auto">
                    <a:xfrm>
                      <a:off x="0" y="0"/>
                      <a:ext cx="5274310" cy="295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EDA7D" w14:textId="77777777" w:rsidR="00BF1511" w:rsidRPr="00761462" w:rsidRDefault="00BF1511" w:rsidP="00BF1511">
      <w:pPr>
        <w:pStyle w:val="a7"/>
        <w:numPr>
          <w:ilvl w:val="0"/>
          <w:numId w:val="1"/>
        </w:numPr>
        <w:spacing w:line="360" w:lineRule="auto"/>
        <w:ind w:firstLineChars="0"/>
        <w:rPr>
          <w:rFonts w:eastAsiaTheme="minorHAnsi" w:cs="Times New Roman"/>
          <w:sz w:val="20"/>
          <w:szCs w:val="20"/>
        </w:rPr>
      </w:pPr>
      <w:r w:rsidRPr="00761462">
        <w:rPr>
          <w:rFonts w:eastAsiaTheme="minorHAnsi" w:cs="Times New Roman"/>
          <w:sz w:val="20"/>
          <w:szCs w:val="20"/>
        </w:rPr>
        <w:t xml:space="preserve">Supplementary Figure S3. Serum concentration of IBI110 as monotherapy and in combination with </w:t>
      </w:r>
      <w:proofErr w:type="spellStart"/>
      <w:r w:rsidRPr="00761462">
        <w:rPr>
          <w:rFonts w:eastAsiaTheme="minorHAnsi" w:cs="Times New Roman"/>
          <w:sz w:val="20"/>
          <w:szCs w:val="20"/>
        </w:rPr>
        <w:t>sintilimab</w:t>
      </w:r>
      <w:proofErr w:type="spellEnd"/>
      <w:r w:rsidRPr="00761462">
        <w:rPr>
          <w:rFonts w:eastAsiaTheme="minorHAnsi" w:cs="Times New Roman"/>
          <w:sz w:val="20"/>
          <w:szCs w:val="20"/>
        </w:rPr>
        <w:t xml:space="preserve"> during phase </w:t>
      </w:r>
      <w:proofErr w:type="spellStart"/>
      <w:r w:rsidRPr="00761462">
        <w:rPr>
          <w:rFonts w:eastAsiaTheme="minorHAnsi" w:cs="Times New Roman"/>
          <w:sz w:val="20"/>
          <w:szCs w:val="20"/>
        </w:rPr>
        <w:t>Ia</w:t>
      </w:r>
      <w:proofErr w:type="spellEnd"/>
      <w:r w:rsidRPr="00761462">
        <w:rPr>
          <w:rFonts w:eastAsiaTheme="minorHAnsi" w:cs="Times New Roman"/>
          <w:sz w:val="20"/>
          <w:szCs w:val="20"/>
        </w:rPr>
        <w:t>/</w:t>
      </w:r>
      <w:proofErr w:type="spellStart"/>
      <w:r w:rsidRPr="00761462">
        <w:rPr>
          <w:rFonts w:eastAsiaTheme="minorHAnsi" w:cs="Times New Roman"/>
          <w:sz w:val="20"/>
          <w:szCs w:val="20"/>
        </w:rPr>
        <w:t>Ib</w:t>
      </w:r>
      <w:proofErr w:type="spellEnd"/>
      <w:r w:rsidRPr="00761462">
        <w:rPr>
          <w:rFonts w:eastAsiaTheme="minorHAnsi" w:cs="Times New Roman"/>
          <w:sz w:val="20"/>
          <w:szCs w:val="20"/>
        </w:rPr>
        <w:t xml:space="preserve"> dose escalation.</w:t>
      </w:r>
    </w:p>
    <w:p w14:paraId="27A0EDB0" w14:textId="77777777" w:rsidR="00BF1511" w:rsidRPr="00761462" w:rsidRDefault="00BF1511" w:rsidP="00BF1511">
      <w:pPr>
        <w:pStyle w:val="a7"/>
        <w:spacing w:line="360" w:lineRule="auto"/>
        <w:ind w:left="420" w:firstLineChars="0" w:firstLine="0"/>
        <w:rPr>
          <w:rFonts w:eastAsiaTheme="minorHAnsi" w:cs="Times New Roman"/>
          <w:sz w:val="20"/>
          <w:szCs w:val="20"/>
        </w:rPr>
      </w:pPr>
    </w:p>
    <w:p w14:paraId="63CB5193" w14:textId="5A3EF908" w:rsidR="00BF1511" w:rsidRPr="00761462" w:rsidRDefault="001E6571" w:rsidP="00BF1511">
      <w:r>
        <w:rPr>
          <w:noProof/>
        </w:rPr>
        <w:drawing>
          <wp:inline distT="0" distB="0" distL="0" distR="0" wp14:anchorId="21606651" wp14:editId="66FE0AF7">
            <wp:extent cx="5274310" cy="3955733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D58FC8C" w14:textId="5D9DBF0B" w:rsidR="00891CF1" w:rsidRPr="002A561A" w:rsidRDefault="00BF1511" w:rsidP="002A561A">
      <w:pPr>
        <w:pStyle w:val="a7"/>
        <w:numPr>
          <w:ilvl w:val="0"/>
          <w:numId w:val="1"/>
        </w:numPr>
        <w:spacing w:line="360" w:lineRule="auto"/>
        <w:ind w:firstLineChars="0"/>
        <w:rPr>
          <w:rFonts w:eastAsiaTheme="minorHAnsi" w:cs="Times New Roman"/>
          <w:sz w:val="20"/>
          <w:szCs w:val="20"/>
        </w:rPr>
      </w:pPr>
      <w:r w:rsidRPr="00761462">
        <w:rPr>
          <w:rFonts w:eastAsiaTheme="minorHAnsi" w:cs="Times New Roman"/>
          <w:sz w:val="20"/>
          <w:szCs w:val="20"/>
        </w:rPr>
        <w:t>Supplementary Figure S4. PD analysis of IBI110. Soluble LAG-3 in serum after first cycle of IBI110 monotherapy (A) and combination treatment (D). Change of CD4 and CD8 T cells in IBI110 monotherapy (B-C) and combination treatment (E-F).</w:t>
      </w:r>
    </w:p>
    <w:sectPr w:rsidR="00891CF1" w:rsidRPr="002A56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F615E" w14:textId="77777777" w:rsidR="00584875" w:rsidRDefault="00584875" w:rsidP="00BF1511">
      <w:r>
        <w:separator/>
      </w:r>
    </w:p>
  </w:endnote>
  <w:endnote w:type="continuationSeparator" w:id="0">
    <w:p w14:paraId="73FFB786" w14:textId="77777777" w:rsidR="00584875" w:rsidRDefault="00584875" w:rsidP="00BF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846E5" w14:textId="77777777" w:rsidR="00584875" w:rsidRDefault="00584875" w:rsidP="00BF1511">
      <w:r>
        <w:separator/>
      </w:r>
    </w:p>
  </w:footnote>
  <w:footnote w:type="continuationSeparator" w:id="0">
    <w:p w14:paraId="6057C110" w14:textId="77777777" w:rsidR="00584875" w:rsidRDefault="00584875" w:rsidP="00BF1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81891"/>
    <w:multiLevelType w:val="hybridMultilevel"/>
    <w:tmpl w:val="49BC0AB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8B"/>
    <w:rsid w:val="000A5754"/>
    <w:rsid w:val="001E6571"/>
    <w:rsid w:val="002A561A"/>
    <w:rsid w:val="003B2CC0"/>
    <w:rsid w:val="00584875"/>
    <w:rsid w:val="00891CF1"/>
    <w:rsid w:val="009A223E"/>
    <w:rsid w:val="00AE622B"/>
    <w:rsid w:val="00BF1511"/>
    <w:rsid w:val="00CF5457"/>
    <w:rsid w:val="00D36501"/>
    <w:rsid w:val="00D740AF"/>
    <w:rsid w:val="00DC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0C6A1"/>
  <w15:chartTrackingRefBased/>
  <w15:docId w15:val="{A7662D0B-E16E-4342-9418-37326320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1511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BF15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5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15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15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151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F1511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BF15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周禹稀(Yuxi Zhou)</dc:creator>
  <cp:keywords/>
  <dc:description/>
  <cp:lastModifiedBy>周禹稀(Yuxi Zhou)</cp:lastModifiedBy>
  <cp:revision>6</cp:revision>
  <dcterms:created xsi:type="dcterms:W3CDTF">2024-11-25T06:11:00Z</dcterms:created>
  <dcterms:modified xsi:type="dcterms:W3CDTF">2024-12-12T03:34:00Z</dcterms:modified>
</cp:coreProperties>
</file>