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DF6" w:rsidRPr="00ED4BFC" w:rsidRDefault="00ED4BFC">
      <w:pPr>
        <w:spacing w:before="0" w:beforeAutospacing="0" w:after="0" w:afterAutospacing="0"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pacing w:val="-10"/>
          <w:kern w:val="28"/>
          <w:sz w:val="36"/>
          <w:szCs w:val="36"/>
        </w:rPr>
      </w:pPr>
      <w:r w:rsidRPr="00ED4BFC">
        <w:rPr>
          <w:rFonts w:ascii="Times New Roman" w:eastAsia="宋体" w:hAnsi="Times New Roman" w:cs="Times New Roman"/>
          <w:b/>
          <w:bCs/>
          <w:color w:val="000000" w:themeColor="text1"/>
          <w:spacing w:val="-10"/>
          <w:kern w:val="28"/>
          <w:sz w:val="36"/>
          <w:szCs w:val="36"/>
        </w:rPr>
        <w:t>Supplementary Materials for</w:t>
      </w:r>
    </w:p>
    <w:p w:rsidR="00E76B38" w:rsidRPr="00E76B38" w:rsidRDefault="00ED4BFC" w:rsidP="00E76B38">
      <w:pPr>
        <w:pStyle w:val="a9"/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</w:pPr>
      <w:r w:rsidRPr="00ED4BFC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A phase II trial of anlotinib plus EGFR-TKIs in advanced non-small cell lung cancer with gradual, </w:t>
      </w:r>
      <w:proofErr w:type="spellStart"/>
      <w:r w:rsidRPr="00ED4BFC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>oligo</w:t>
      </w:r>
      <w:proofErr w:type="spellEnd"/>
      <w:r w:rsidRPr="00ED4BFC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, or potential progression after EGFR-TKIs </w:t>
      </w:r>
      <w:r w:rsidRPr="00ED4BFC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 xml:space="preserve">treatment </w:t>
      </w:r>
      <w:r w:rsidRPr="00ED4BFC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>(CTONG-1803/ALTER-L001)</w:t>
      </w:r>
    </w:p>
    <w:p w:rsidR="00854EAF" w:rsidRPr="006770E5" w:rsidRDefault="00854EAF">
      <w:pPr>
        <w:spacing w:before="0" w:beforeAutospacing="0" w:after="0" w:afterAutospacing="0"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</w:p>
    <w:p w:rsidR="00BF5DF6" w:rsidRDefault="00ED4BFC">
      <w:pPr>
        <w:spacing w:before="0" w:beforeAutospacing="0" w:after="0" w:afterAutospacing="0"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This file includes:</w:t>
      </w:r>
    </w:p>
    <w:p w:rsidR="00ED4BFC" w:rsidRPr="00531095" w:rsidRDefault="00ED4BFC" w:rsidP="00531095">
      <w:pPr>
        <w:pStyle w:val="MainText-CN"/>
        <w:spacing w:before="0" w:beforeAutospacing="0" w:after="0" w:afterAutospacing="0" w:line="360" w:lineRule="auto"/>
        <w:ind w:firstLineChars="0" w:firstLine="0"/>
        <w:rPr>
          <w:rFonts w:eastAsia="OTNEJMScalaSansLF" w:cs="Times New Roman"/>
          <w:bCs/>
        </w:rPr>
      </w:pPr>
      <w:r w:rsidRPr="00531095">
        <w:rPr>
          <w:rFonts w:eastAsia="OTNEJMScalaSansLF" w:cs="Times New Roman"/>
          <w:bCs/>
        </w:rPr>
        <w:t>Supplemental Figure</w:t>
      </w:r>
      <w:r w:rsidR="00FD2E77">
        <w:rPr>
          <w:rFonts w:eastAsia="OTNEJMScalaSansLF" w:cs="Times New Roman"/>
          <w:bCs/>
        </w:rPr>
        <w:t>s</w:t>
      </w:r>
      <w:r w:rsidRPr="00531095">
        <w:rPr>
          <w:rFonts w:eastAsia="OTNEJMScalaSansLF" w:cs="Times New Roman"/>
          <w:bCs/>
        </w:rPr>
        <w:t xml:space="preserve"> 1 </w:t>
      </w:r>
      <w:r w:rsidR="00531095" w:rsidRPr="00531095">
        <w:rPr>
          <w:rFonts w:eastAsia="OTNEJMScalaSansLF" w:cs="Times New Roman"/>
          <w:bCs/>
        </w:rPr>
        <w:t>to 5</w:t>
      </w:r>
    </w:p>
    <w:p w:rsidR="00BF5DF6" w:rsidRPr="00531095" w:rsidRDefault="00ED4BFC" w:rsidP="00531095">
      <w:pPr>
        <w:pStyle w:val="MainText-CN"/>
        <w:spacing w:before="0" w:beforeAutospacing="0" w:after="0" w:afterAutospacing="0" w:line="360" w:lineRule="auto"/>
        <w:ind w:firstLineChars="0" w:firstLine="0"/>
        <w:rPr>
          <w:rFonts w:eastAsiaTheme="minorEastAsia" w:cs="Times New Roman"/>
          <w:bCs/>
          <w:caps/>
        </w:rPr>
      </w:pPr>
      <w:r w:rsidRPr="00531095">
        <w:rPr>
          <w:rFonts w:eastAsia="OTNEJMScalaSansLF" w:cs="Times New Roman"/>
          <w:bCs/>
        </w:rPr>
        <w:t>Supplemental Table</w:t>
      </w:r>
      <w:r w:rsidR="00FD2E77">
        <w:rPr>
          <w:rFonts w:eastAsia="OTNEJMScalaSansLF" w:cs="Times New Roman"/>
          <w:bCs/>
        </w:rPr>
        <w:t>s</w:t>
      </w:r>
      <w:r w:rsidRPr="00531095">
        <w:rPr>
          <w:rFonts w:eastAsia="OTNEJMScalaSansLF" w:cs="Times New Roman"/>
          <w:bCs/>
        </w:rPr>
        <w:t xml:space="preserve"> 1 </w:t>
      </w:r>
      <w:r w:rsidR="00531095" w:rsidRPr="00531095">
        <w:rPr>
          <w:rFonts w:eastAsia="OTNEJMScalaSansLF" w:cs="Times New Roman"/>
          <w:bCs/>
        </w:rPr>
        <w:t xml:space="preserve">to </w:t>
      </w:r>
      <w:r w:rsidR="00F3105E">
        <w:rPr>
          <w:rFonts w:eastAsia="OTNEJMScalaSansLF" w:cs="Times New Roman"/>
          <w:bCs/>
        </w:rPr>
        <w:t>4</w:t>
      </w:r>
    </w:p>
    <w:p w:rsidR="00BF5DF6" w:rsidRDefault="00BF5DF6">
      <w:pPr>
        <w:pStyle w:val="MainText-CN"/>
        <w:spacing w:before="0" w:beforeAutospacing="0" w:after="0" w:afterAutospacing="0" w:line="360" w:lineRule="auto"/>
        <w:ind w:firstLineChars="0" w:firstLine="0"/>
        <w:rPr>
          <w:rFonts w:eastAsiaTheme="minorEastAsia" w:cs="Times New Roman"/>
          <w:b/>
          <w:bCs/>
          <w:caps/>
        </w:rPr>
      </w:pPr>
    </w:p>
    <w:p w:rsidR="00BF5DF6" w:rsidRDefault="00ED4BFC">
      <w:pPr>
        <w:pStyle w:val="MainText-CN"/>
        <w:spacing w:before="0" w:beforeAutospacing="0" w:after="0" w:afterAutospacing="0" w:line="360" w:lineRule="auto"/>
        <w:ind w:firstLineChars="0" w:firstLine="0"/>
        <w:rPr>
          <w:rFonts w:eastAsiaTheme="minorEastAsia" w:cs="Times New Roman"/>
          <w:b/>
          <w:bCs/>
          <w:caps/>
        </w:rPr>
      </w:pPr>
      <w:r>
        <w:rPr>
          <w:rFonts w:cs="Times New Roman" w:hint="eastAsia"/>
          <w:b/>
          <w:bCs/>
        </w:rPr>
        <w:t>Other Supplementary Materials for this manuscript include:</w:t>
      </w:r>
    </w:p>
    <w:p w:rsidR="00BF5DF6" w:rsidRDefault="00ED4BFC">
      <w:pPr>
        <w:pStyle w:val="MainText-CN"/>
        <w:spacing w:before="0" w:beforeAutospacing="0" w:after="0" w:afterAutospacing="0" w:line="360" w:lineRule="auto"/>
        <w:ind w:firstLineChars="0" w:firstLine="0"/>
        <w:rPr>
          <w:rFonts w:cs="Times New Roman"/>
          <w:b/>
          <w:bCs/>
          <w:caps/>
        </w:rPr>
        <w:sectPr w:rsidR="00BF5DF6">
          <w:footerReference w:type="default" r:id="rId8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>
        <w:rPr>
          <w:rFonts w:cs="Times New Roman" w:hint="eastAsia"/>
          <w:bCs/>
        </w:rPr>
        <w:t>S</w:t>
      </w:r>
      <w:r>
        <w:rPr>
          <w:rFonts w:eastAsia="OTNEJMScalaSansLF" w:cs="Times New Roman" w:hint="eastAsia"/>
          <w:bCs/>
        </w:rPr>
        <w:t xml:space="preserve">tudy </w:t>
      </w:r>
      <w:r w:rsidR="004B50A2">
        <w:rPr>
          <w:rFonts w:eastAsia="OTNEJMScalaSansLF" w:cs="Times New Roman"/>
          <w:bCs/>
        </w:rPr>
        <w:t>P</w:t>
      </w:r>
      <w:r>
        <w:rPr>
          <w:rFonts w:eastAsia="OTNEJMScalaSansLF" w:cs="Times New Roman" w:hint="eastAsia"/>
          <w:bCs/>
        </w:rPr>
        <w:t>rotocol</w:t>
      </w:r>
      <w:r>
        <w:rPr>
          <w:rFonts w:cs="Times New Roman" w:hint="eastAsia"/>
          <w:bCs/>
        </w:rPr>
        <w:t xml:space="preserve"> </w:t>
      </w:r>
      <w:r>
        <w:rPr>
          <w:rFonts w:cs="Times New Roman"/>
          <w:bCs/>
        </w:rPr>
        <w:t>“</w:t>
      </w:r>
      <w:r w:rsidR="00531095" w:rsidRPr="00531095">
        <w:rPr>
          <w:rFonts w:cs="Times New Roman"/>
          <w:bCs/>
        </w:rPr>
        <w:t>An Open, Single-Arm, Multicenter and Exploratory Clinical Study of Anlotinib Combined with EGFR-TKIs in the Treatment of Locally Advanced/Advanced NSCLC with Acquired Resistance to EGFR-TKIs</w:t>
      </w:r>
      <w:r>
        <w:rPr>
          <w:rFonts w:cs="Times New Roman"/>
          <w:bCs/>
        </w:rPr>
        <w:t>”</w:t>
      </w:r>
      <w:r>
        <w:rPr>
          <w:rFonts w:cs="Times New Roman" w:hint="eastAsia"/>
          <w:bCs/>
        </w:rPr>
        <w:t xml:space="preserve"> </w:t>
      </w:r>
    </w:p>
    <w:p w:rsidR="00BF5DF6" w:rsidRDefault="00531095">
      <w:pPr>
        <w:jc w:val="center"/>
      </w:pPr>
      <w:r w:rsidRPr="00531095">
        <w:rPr>
          <w:noProof/>
        </w:rPr>
        <w:lastRenderedPageBreak/>
        <w:drawing>
          <wp:inline distT="0" distB="0" distL="0" distR="0">
            <wp:extent cx="5731510" cy="1796844"/>
            <wp:effectExtent l="0" t="0" r="2540" b="0"/>
            <wp:docPr id="4" name="图片 4" descr="D:\UserData\8617222\Desktop\投稿版\图表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8617222\Desktop\投稿版\图表\Figure S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9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095" w:rsidRPr="00107CEF" w:rsidRDefault="00531095" w:rsidP="00531095">
      <w:pPr>
        <w:spacing w:line="360" w:lineRule="auto"/>
        <w:rPr>
          <w:rStyle w:val="figuretitletext"/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107CE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Supplemental Figure 1 (A) Kaplan-Meier estimates of progression-free survival in patients with EGFR exon 19 deletion and L858R.  (B) Kaplan-Meier estimates of progression-free survival in patients with and without smoking history. </w:t>
      </w:r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Tick marks indicate censored data. CI, confidence interval; </w:t>
      </w:r>
      <w:proofErr w:type="spellStart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mPFS</w:t>
      </w:r>
      <w:proofErr w:type="spellEnd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, median progression-free survival.</w:t>
      </w:r>
    </w:p>
    <w:p w:rsidR="00BF5DF6" w:rsidRPr="00531095" w:rsidRDefault="00BF5DF6"/>
    <w:p w:rsidR="00BF5DF6" w:rsidRDefault="00BF5DF6">
      <w:pPr>
        <w:spacing w:before="0" w:beforeAutospacing="0" w:after="0" w:afterAutospacing="0" w:line="360" w:lineRule="auto"/>
        <w:jc w:val="center"/>
        <w:sectPr w:rsidR="00BF5DF6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BF5DF6" w:rsidRDefault="00531095">
      <w:pPr>
        <w:spacing w:before="0" w:beforeAutospacing="0" w:after="0" w:afterAutospacing="0" w:line="360" w:lineRule="auto"/>
        <w:jc w:val="center"/>
      </w:pPr>
      <w:r w:rsidRPr="00531095">
        <w:rPr>
          <w:noProof/>
        </w:rPr>
        <w:lastRenderedPageBreak/>
        <w:drawing>
          <wp:inline distT="0" distB="0" distL="0" distR="0">
            <wp:extent cx="5731510" cy="3435944"/>
            <wp:effectExtent l="0" t="0" r="0" b="0"/>
            <wp:docPr id="12" name="图片 12" descr="D:\UserData\8617222\Desktop\投稿版\图表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Data\8617222\Desktop\投稿版\图表\figure S2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095" w:rsidRPr="00531095" w:rsidRDefault="00531095" w:rsidP="00531095">
      <w:pPr>
        <w:spacing w:line="36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sectPr w:rsidR="00531095" w:rsidRPr="00531095">
          <w:footerReference w:type="default" r:id="rId11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107CEF">
        <w:rPr>
          <w:rStyle w:val="figuretitletext"/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Supplemental Figure 2 Summary of first subsequent antitumor therapy (FST) received in all patients.</w:t>
      </w:r>
      <w:r w:rsidRPr="00107CEF">
        <w:rPr>
          <w:rFonts w:ascii="Times New Roman" w:eastAsia="宋体" w:hAnsi="Times New Roman"/>
          <w:b/>
          <w:color w:val="000000" w:themeColor="text1"/>
        </w:rPr>
        <w:t xml:space="preserve"> </w:t>
      </w:r>
      <w:r w:rsidRPr="00107CEF"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ICIs, immune checkpoint inhibitors; T</w:t>
      </w:r>
      <w:r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KIs, tyrosine kinase </w:t>
      </w:r>
      <w:proofErr w:type="spellStart"/>
      <w:r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inhibito</w:t>
      </w:r>
      <w:proofErr w:type="spellEnd"/>
    </w:p>
    <w:p w:rsidR="00531095" w:rsidRDefault="00531095" w:rsidP="00531095">
      <w:pPr>
        <w:spacing w:before="0" w:beforeAutospacing="0" w:after="0" w:afterAutospacing="0" w:line="360" w:lineRule="auto"/>
        <w:jc w:val="center"/>
      </w:pPr>
      <w:r w:rsidRPr="00531095">
        <w:rPr>
          <w:noProof/>
        </w:rPr>
        <w:lastRenderedPageBreak/>
        <w:drawing>
          <wp:inline distT="0" distB="0" distL="0" distR="0">
            <wp:extent cx="4762500" cy="2857500"/>
            <wp:effectExtent l="0" t="0" r="0" b="0"/>
            <wp:docPr id="36" name="图片 36" descr="D:\UserData\8617222\Desktop\投稿版\图表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Data\8617222\Desktop\投稿版\图表\Figure S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095" w:rsidRDefault="00531095" w:rsidP="00531095">
      <w:pPr>
        <w:spacing w:line="360" w:lineRule="auto"/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107CEF">
        <w:rPr>
          <w:rStyle w:val="figuretitletext"/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Supplemental Figure 3 </w:t>
      </w:r>
      <w:r w:rsidRPr="00107CE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Kaplan-Meier estimates of overall survival in all patients</w:t>
      </w:r>
      <w:r w:rsidRPr="00107CEF">
        <w:rPr>
          <w:rStyle w:val="figuretitletext"/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107CEF"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Tick marks indicate censored data. CI, confidence interval; </w:t>
      </w:r>
      <w:proofErr w:type="spellStart"/>
      <w:r w:rsidRPr="00107CEF"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mOS</w:t>
      </w:r>
      <w:proofErr w:type="spellEnd"/>
      <w:r w:rsidRPr="00107CEF"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, median overall survival; NR, not reached.</w:t>
      </w:r>
    </w:p>
    <w:p w:rsidR="00531095" w:rsidRDefault="00531095">
      <w:pPr>
        <w:spacing w:before="0" w:beforeAutospacing="0" w:after="0" w:afterAutospacing="0" w:line="240" w:lineRule="auto"/>
        <w:jc w:val="left"/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>
        <w:rPr>
          <w:rStyle w:val="figuretitletext"/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br w:type="page"/>
      </w:r>
    </w:p>
    <w:p w:rsidR="00531095" w:rsidRPr="00531095" w:rsidRDefault="00531095" w:rsidP="00531095">
      <w:pPr>
        <w:spacing w:before="0" w:beforeAutospacing="0" w:after="0" w:afterAutospacing="0" w:line="360" w:lineRule="auto"/>
        <w:jc w:val="center"/>
      </w:pPr>
      <w:r w:rsidRPr="00531095">
        <w:rPr>
          <w:noProof/>
        </w:rPr>
        <w:lastRenderedPageBreak/>
        <w:drawing>
          <wp:inline distT="0" distB="0" distL="0" distR="0">
            <wp:extent cx="5731510" cy="2545440"/>
            <wp:effectExtent l="0" t="0" r="2540" b="7620"/>
            <wp:docPr id="37" name="图片 37" descr="D:\UserData\8617222\Desktop\投稿版\图表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Data\8617222\Desktop\投稿版\图表\Figure S4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095" w:rsidRPr="00107CEF" w:rsidRDefault="00531095" w:rsidP="00531095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107CE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Supplemental Figure 4 Swimmer plot of progression-free survival (months) of individual EGFR cleared/not-cleared patients. </w:t>
      </w:r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PR, partial response; SD, stable disease; PD, progressive disease.</w:t>
      </w:r>
    </w:p>
    <w:p w:rsidR="00531095" w:rsidRDefault="00531095">
      <w:pPr>
        <w:spacing w:before="0" w:beforeAutospacing="0" w:after="0" w:afterAutospacing="0" w:line="240" w:lineRule="auto"/>
        <w:jc w:val="left"/>
      </w:pPr>
      <w:r>
        <w:br w:type="page"/>
      </w:r>
    </w:p>
    <w:p w:rsidR="00531095" w:rsidRDefault="00531095" w:rsidP="00531095">
      <w:pPr>
        <w:spacing w:before="0" w:beforeAutospacing="0" w:after="0" w:afterAutospacing="0" w:line="360" w:lineRule="auto"/>
        <w:jc w:val="center"/>
      </w:pPr>
      <w:r w:rsidRPr="00531095">
        <w:rPr>
          <w:noProof/>
        </w:rPr>
        <w:lastRenderedPageBreak/>
        <w:drawing>
          <wp:inline distT="0" distB="0" distL="0" distR="0">
            <wp:extent cx="5731510" cy="1843562"/>
            <wp:effectExtent l="0" t="0" r="0" b="4445"/>
            <wp:docPr id="38" name="图片 38" descr="D:\UserData\8617222\Desktop\投稿版\图表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Data\8617222\Desktop\投稿版\图表\Figure S5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4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095" w:rsidRPr="00107CEF" w:rsidRDefault="00531095" w:rsidP="00531095">
      <w:pPr>
        <w:spacing w:line="36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107CE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Supplemental Figure 5 Time from initiation of first-line EGFR-TKIs to systemic progression. </w:t>
      </w:r>
      <w:proofErr w:type="spellStart"/>
      <w:proofErr w:type="gramStart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mPFS</w:t>
      </w:r>
      <w:proofErr w:type="spellEnd"/>
      <w:proofErr w:type="gramEnd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, median progression-free survival; </w:t>
      </w:r>
      <w:proofErr w:type="spellStart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mTTP</w:t>
      </w:r>
      <w:proofErr w:type="spellEnd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, median time to gradual, </w:t>
      </w:r>
      <w:proofErr w:type="spellStart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oligo</w:t>
      </w:r>
      <w:proofErr w:type="spellEnd"/>
      <w:r w:rsidRPr="00107CE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, or potential progression.</w:t>
      </w:r>
    </w:p>
    <w:p w:rsidR="00531095" w:rsidRDefault="00531095">
      <w:pPr>
        <w:spacing w:before="0" w:beforeAutospacing="0" w:after="0" w:afterAutospacing="0" w:line="240" w:lineRule="auto"/>
        <w:jc w:val="left"/>
        <w:rPr>
          <w:b/>
        </w:rPr>
      </w:pPr>
      <w:r>
        <w:rPr>
          <w:b/>
        </w:rPr>
        <w:br w:type="page"/>
      </w:r>
    </w:p>
    <w:p w:rsidR="00531095" w:rsidRPr="00531095" w:rsidRDefault="00531095" w:rsidP="00531095">
      <w:pPr>
        <w:spacing w:line="36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53109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lastRenderedPageBreak/>
        <w:t xml:space="preserve">Supplemental Table 1 </w:t>
      </w:r>
      <w:r w:rsidRPr="0053109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Safety summary</w:t>
      </w:r>
    </w:p>
    <w:tbl>
      <w:tblPr>
        <w:tblW w:w="6712" w:type="dxa"/>
        <w:tblInd w:w="93" w:type="dxa"/>
        <w:tblLook w:val="04A0" w:firstRow="1" w:lastRow="0" w:firstColumn="1" w:lastColumn="0" w:noHBand="0" w:noVBand="1"/>
      </w:tblPr>
      <w:tblGrid>
        <w:gridCol w:w="5046"/>
        <w:gridCol w:w="1666"/>
      </w:tblGrid>
      <w:tr w:rsidR="00531095" w:rsidRPr="00080732" w:rsidTr="00C94BBB">
        <w:trPr>
          <w:trHeight w:val="270"/>
        </w:trPr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N=120, n (%)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/>
                <w:b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  <w:t>TEAE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116 (96.7)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Grade </w:t>
            </w:r>
            <w:r w:rsidRPr="00080732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≥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63 (52.5)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TEAE leading to dose interruption or reduction 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49 (40.8)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TEAE leading to discontinuation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15 (12.5)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TEAE leading to death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 (1.7)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/>
                <w:b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b/>
                <w:color w:val="000000" w:themeColor="text1"/>
                <w:sz w:val="24"/>
              </w:rPr>
              <w:t>TRAE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114 (95.0)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Grade </w:t>
            </w:r>
            <w:r w:rsidRPr="00080732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≥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56 (46.7)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TRAE leading to dose interruption or reduction 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42 (35.0)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TRAE leading to discontinuation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11 (9.2)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TRAE leading to death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 (0.8)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/>
                <w:b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  <w:t>SAE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25 (20.8)</w:t>
            </w:r>
          </w:p>
        </w:tc>
      </w:tr>
      <w:tr w:rsidR="00531095" w:rsidRPr="00080732" w:rsidTr="00C94BBB">
        <w:trPr>
          <w:trHeight w:val="270"/>
        </w:trPr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Treatment-related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1095" w:rsidRPr="00080732" w:rsidRDefault="00531095" w:rsidP="00C94BB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14 (11.7)</w:t>
            </w:r>
          </w:p>
        </w:tc>
      </w:tr>
    </w:tbl>
    <w:p w:rsidR="00531095" w:rsidRPr="00080732" w:rsidRDefault="00531095" w:rsidP="00531095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80732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</w:rPr>
        <w:t>SAE, serious adverse event; TEAE, treatment-emergent adverse event; TRAE, treatment-related adverse event.</w:t>
      </w:r>
    </w:p>
    <w:p w:rsidR="00531095" w:rsidRPr="00080732" w:rsidRDefault="00531095" w:rsidP="00531095">
      <w:pPr>
        <w:spacing w:after="0" w:line="24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80732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</w:p>
    <w:p w:rsidR="00531095" w:rsidRPr="00531095" w:rsidRDefault="00531095" w:rsidP="00531095">
      <w:pPr>
        <w:spacing w:after="0" w:line="36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53109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Supplemental Table 2 Treatment-emergent adverse events (</w:t>
      </w:r>
      <w:r w:rsidRPr="00531095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≥</w:t>
      </w:r>
      <w:r w:rsidRPr="0053109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10% of patients)</w:t>
      </w:r>
    </w:p>
    <w:tbl>
      <w:tblPr>
        <w:tblW w:w="9127" w:type="dxa"/>
        <w:tblInd w:w="93" w:type="dxa"/>
        <w:tblLook w:val="04A0" w:firstRow="1" w:lastRow="0" w:firstColumn="1" w:lastColumn="0" w:noHBand="0" w:noVBand="1"/>
      </w:tblPr>
      <w:tblGrid>
        <w:gridCol w:w="5102"/>
        <w:gridCol w:w="1984"/>
        <w:gridCol w:w="2041"/>
      </w:tblGrid>
      <w:tr w:rsidR="00531095" w:rsidRPr="00080732" w:rsidTr="00C94BBB">
        <w:trPr>
          <w:trHeight w:val="360"/>
        </w:trPr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AE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Any grade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, n (%)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1095" w:rsidRPr="00080732" w:rsidRDefault="0030652D" w:rsidP="00C94BBB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Grade </w:t>
            </w:r>
            <w:bookmarkStart w:id="0" w:name="_GoBack"/>
            <w:bookmarkEnd w:id="0"/>
            <w:r w:rsidR="00531095" w:rsidRPr="00080732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≥</w:t>
            </w:r>
            <w:r w:rsidR="00531095"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3, n (%)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Diarrhea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64 (53.3)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6 (5.0)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Hypertension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60 (50.0)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23 (19.2)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Proteinuria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47 (39.2)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Weight loss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37 (30.8)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5 (4.2)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Hypertriglyceridemia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34 (28.3)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5 (4.2)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Decreased appetite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31 (25.8)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 (1.7)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Dysphonia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28 (23.3)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Platelet count decreased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28 (23.3)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Rash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27 (22.5)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 (2.5)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Palmar-plantar </w:t>
            </w:r>
            <w:proofErr w:type="spellStart"/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erythrodysaesthesia</w:t>
            </w:r>
            <w:proofErr w:type="spellEnd"/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syndrome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27 (22.5)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5 (4.2)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Fatigue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26 (21.7)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Cough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25 (20.8)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6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Aspartate aminotransferase increased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25 (20.8)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6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proofErr w:type="spellStart"/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Hyponatremia</w:t>
            </w:r>
            <w:proofErr w:type="spellEnd"/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21 (17.5)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Blood creatinine increased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21 (17.5)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White</w:t>
            </w: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 xml:space="preserve"> blood cell count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decreased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20 (16.7)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Nausea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20 (16.7)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proofErr w:type="spellStart"/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Hyperuricemia</w:t>
            </w:r>
            <w:proofErr w:type="spellEnd"/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20 (16.7)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Occult blood positive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20 (16.7)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6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Alanine aminotransferase increased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19 (15.8)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Dizziness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19 (15.8)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6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Neutrophil</w:t>
            </w: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 xml:space="preserve"> count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decreased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19 (15.8)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 (1.7)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Epistaxis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18 (15.0)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Headache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18 (15.0)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Hematuria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18 (15.0)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Gum bleeding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18 (15.0)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Bilirubin conjugated increased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17 (14.2)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 xml:space="preserve">Back 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pain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16 (13.3)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6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Hypoproteinemia</w:t>
            </w:r>
            <w:proofErr w:type="spellEnd"/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16 (13.3)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6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Lymphocyte</w:t>
            </w: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 xml:space="preserve"> count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decreased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16 (13.3)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COVID-19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15 (12.5)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 (0.8)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Hypercholesterolemia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15 (12.5)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Joint pain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15 (12.5)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 (1.7)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 xml:space="preserve">Oral </w:t>
            </w: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ulceration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15 (12.5)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Constipation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14 (11.7)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Hypophosphatemia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13 (10.8)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Gingivitis </w:t>
            </w:r>
            <w:proofErr w:type="spellStart"/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noninfective</w:t>
            </w:r>
            <w:proofErr w:type="spellEnd"/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13 (10.8)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Anemia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13 (10.8)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Blood triglycerides increased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13 (10.8)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proofErr w:type="spellStart"/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Hypoalbuminemia</w:t>
            </w:r>
            <w:proofErr w:type="spellEnd"/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12 (10.0)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Paronychia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12 (10.0)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/>
                <w:color w:val="000000" w:themeColor="text1"/>
                <w:sz w:val="24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4"/>
              </w:rPr>
              <w:t>Chest pain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12 (10.0)</w:t>
            </w:r>
          </w:p>
        </w:tc>
        <w:tc>
          <w:tcPr>
            <w:tcW w:w="2041" w:type="dxa"/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1095" w:rsidRPr="00080732" w:rsidTr="00C94BBB">
        <w:trPr>
          <w:trHeight w:val="345"/>
        </w:trPr>
        <w:tc>
          <w:tcPr>
            <w:tcW w:w="510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Blood bilirubin increased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12 (10.0)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531095" w:rsidRPr="00080732" w:rsidRDefault="00531095" w:rsidP="00C94BBB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531095" w:rsidRPr="00080732" w:rsidRDefault="00531095" w:rsidP="00531095">
      <w:pPr>
        <w:spacing w:after="0" w:line="24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80732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</w:p>
    <w:p w:rsidR="00531095" w:rsidRPr="00531095" w:rsidRDefault="00531095" w:rsidP="00531095">
      <w:pPr>
        <w:spacing w:after="0" w:line="36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53109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Supplemental Table 3 Progression-free survival and best overall response of patients with potential progression</w:t>
      </w:r>
    </w:p>
    <w:tbl>
      <w:tblPr>
        <w:tblW w:w="9267" w:type="dxa"/>
        <w:tblInd w:w="93" w:type="dxa"/>
        <w:tblLook w:val="04A0" w:firstRow="1" w:lastRow="0" w:firstColumn="1" w:lastColumn="0" w:noHBand="0" w:noVBand="1"/>
      </w:tblPr>
      <w:tblGrid>
        <w:gridCol w:w="616"/>
        <w:gridCol w:w="992"/>
        <w:gridCol w:w="851"/>
        <w:gridCol w:w="1702"/>
        <w:gridCol w:w="1702"/>
        <w:gridCol w:w="1702"/>
        <w:gridCol w:w="1702"/>
      </w:tblGrid>
      <w:tr w:rsidR="00531095" w:rsidRPr="00080732" w:rsidTr="00C94BBB">
        <w:trPr>
          <w:trHeight w:val="315"/>
        </w:trPr>
        <w:tc>
          <w:tcPr>
            <w:tcW w:w="6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EGFR mutation type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EGFR-TKIs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Best overall response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Progression-free survival (months)</w:t>
            </w:r>
          </w:p>
        </w:tc>
      </w:tr>
      <w:tr w:rsidR="00531095" w:rsidRPr="00080732" w:rsidTr="00C94BBB">
        <w:trPr>
          <w:trHeight w:val="33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L858R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Dacomitinib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11.6</w:t>
            </w:r>
          </w:p>
        </w:tc>
      </w:tr>
      <w:tr w:rsidR="00531095" w:rsidRPr="00080732" w:rsidTr="00C94BBB">
        <w:trPr>
          <w:trHeight w:val="33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19del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Icotinib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3.9</w:t>
            </w:r>
          </w:p>
        </w:tc>
      </w:tr>
      <w:tr w:rsidR="00531095" w:rsidRPr="00080732" w:rsidTr="00C94BBB">
        <w:trPr>
          <w:trHeight w:val="33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19del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Gefitinib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7.7</w:t>
            </w:r>
          </w:p>
        </w:tc>
      </w:tr>
      <w:tr w:rsidR="00531095" w:rsidRPr="00080732" w:rsidTr="00C94BBB">
        <w:trPr>
          <w:trHeight w:val="33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19del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Icotinib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4.8</w:t>
            </w:r>
          </w:p>
        </w:tc>
      </w:tr>
      <w:tr w:rsidR="00531095" w:rsidRPr="00080732" w:rsidTr="00C94BBB">
        <w:trPr>
          <w:trHeight w:val="330"/>
        </w:trPr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19del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Gefitinib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31095" w:rsidRPr="00080732" w:rsidRDefault="00531095" w:rsidP="00C94BBB">
            <w:pPr>
              <w:spacing w:after="0"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</w:pPr>
            <w:r w:rsidRPr="00080732">
              <w:rPr>
                <w:rFonts w:ascii="Times New Roman" w:eastAsia="宋体" w:hAnsi="Times New Roman"/>
                <w:color w:val="000000" w:themeColor="text1"/>
                <w:sz w:val="20"/>
                <w:szCs w:val="20"/>
              </w:rPr>
              <w:t>6.1</w:t>
            </w:r>
          </w:p>
        </w:tc>
      </w:tr>
    </w:tbl>
    <w:p w:rsidR="00531095" w:rsidRPr="00080732" w:rsidRDefault="00531095" w:rsidP="00531095">
      <w:pPr>
        <w:spacing w:after="0" w:line="360" w:lineRule="auto"/>
        <w:rPr>
          <w:rFonts w:ascii="Times New Roman" w:eastAsia="宋体" w:hAnsi="Times New Roman" w:cs="Times New Roman"/>
          <w:color w:val="000000" w:themeColor="text1"/>
          <w:sz w:val="20"/>
          <w:szCs w:val="24"/>
        </w:rPr>
      </w:pPr>
      <w:r w:rsidRPr="00080732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>PR, partial response; SD, stable disease.</w:t>
      </w:r>
    </w:p>
    <w:p w:rsidR="00531095" w:rsidRPr="00EC0DE9" w:rsidRDefault="00531095" w:rsidP="00531095"/>
    <w:p w:rsidR="00F3105E" w:rsidRDefault="00F3105E">
      <w:pPr>
        <w:spacing w:before="0" w:beforeAutospacing="0" w:after="0" w:afterAutospacing="0" w:line="240" w:lineRule="auto"/>
        <w:jc w:val="left"/>
        <w:rPr>
          <w:b/>
        </w:rPr>
      </w:pPr>
      <w:r>
        <w:rPr>
          <w:b/>
        </w:rPr>
        <w:br w:type="page"/>
      </w:r>
    </w:p>
    <w:p w:rsidR="00F3105E" w:rsidRPr="00F3105E" w:rsidRDefault="00F3105E" w:rsidP="00F3105E">
      <w:pPr>
        <w:spacing w:after="0" w:line="36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F3105E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 xml:space="preserve">Supplemental Table 4 Summary of efficacy of gradual, </w:t>
      </w:r>
      <w:proofErr w:type="spellStart"/>
      <w:r w:rsidRPr="00F3105E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oligo</w:t>
      </w:r>
      <w:proofErr w:type="spellEnd"/>
      <w:r w:rsidRPr="00F3105E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, and potential progression</w:t>
      </w:r>
    </w:p>
    <w:tbl>
      <w:tblPr>
        <w:tblW w:w="88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2154"/>
        <w:gridCol w:w="2154"/>
        <w:gridCol w:w="2154"/>
      </w:tblGrid>
      <w:tr w:rsidR="00F3105E" w:rsidRPr="006B504F" w:rsidTr="00791F6B">
        <w:trPr>
          <w:trHeight w:val="270"/>
        </w:trPr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Gradual progression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O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ligo</w:t>
            </w:r>
            <w:proofErr w:type="spellEnd"/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progression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P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otential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p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rogression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5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</w:t>
            </w: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P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R, n (%)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A84A98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(5.5</w:t>
            </w: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(16.7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(20.0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</w:t>
            </w: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S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D, n (%)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90 (82.6</w:t>
            </w: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(50.0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(80.0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</w:t>
            </w: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P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D, n (%)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A84A98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(7.3</w:t>
            </w: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(16.7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0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</w:t>
            </w: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N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E, n (%)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A84A98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(4.6</w:t>
            </w: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(16.7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0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O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RR, % (95%</w:t>
            </w:r>
            <w:r w:rsidR="00DC6375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CI)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5.5 (2.1</w:t>
            </w:r>
            <w:r w:rsidR="00141A72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11.6</w:t>
            </w: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16.7 (0.4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-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64.1)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20.0 (0.5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-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71.6)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DCR, % (95%</w:t>
            </w:r>
            <w:r w:rsidR="00DC6375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CI)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88.1 (80.5-93.5</w:t>
            </w: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66.7 (22.3-95.7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FE008A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100.0 (47.8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-</w:t>
            </w:r>
            <w:r w:rsidRPr="00FE008A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100.0)</w:t>
            </w:r>
          </w:p>
        </w:tc>
      </w:tr>
      <w:tr w:rsidR="00F3105E" w:rsidRPr="006B504F" w:rsidTr="00791F6B">
        <w:trPr>
          <w:trHeight w:val="27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mPFS</w:t>
            </w:r>
            <w:proofErr w:type="spellEnd"/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, months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(95%</w:t>
            </w:r>
            <w:r w:rsidR="00DC6375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</w:t>
            </w:r>
            <w:r w:rsidRPr="006B504F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CI)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9.2 (6.8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-</w:t>
            </w:r>
            <w:r w:rsidRPr="00A84A98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13.2)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FE008A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10.3 (0.4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-</w:t>
            </w:r>
            <w:r w:rsidRPr="00FE008A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12.6)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105E" w:rsidRPr="006B504F" w:rsidRDefault="00F3105E" w:rsidP="00791F6B">
            <w:pPr>
              <w:spacing w:after="0" w:line="360" w:lineRule="auto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FE008A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6.1 (3.9</w:t>
            </w:r>
            <w:r w:rsidR="00BE4E4B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-</w:t>
            </w:r>
            <w:r w:rsidRPr="00FE008A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11.6)</w:t>
            </w:r>
          </w:p>
        </w:tc>
      </w:tr>
    </w:tbl>
    <w:p w:rsidR="00F3105E" w:rsidRPr="00080732" w:rsidRDefault="00580DD0" w:rsidP="00F3105E">
      <w:pPr>
        <w:spacing w:after="0" w:line="360" w:lineRule="auto"/>
        <w:rPr>
          <w:rFonts w:ascii="Times New Roman" w:eastAsia="宋体" w:hAnsi="Times New Roman" w:cs="Times New Roman"/>
          <w:color w:val="000000" w:themeColor="text1"/>
          <w:sz w:val="20"/>
          <w:szCs w:val="24"/>
        </w:rPr>
      </w:pPr>
      <w:r w:rsidRPr="00580DD0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 xml:space="preserve">CI, confidence interval; </w:t>
      </w:r>
      <w:r w:rsidR="00F3105E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 xml:space="preserve">DCR, </w:t>
      </w:r>
      <w:r w:rsidR="00F3105E" w:rsidRPr="00FE008A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>disease control rate</w:t>
      </w:r>
      <w:r w:rsidR="00F3105E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 xml:space="preserve">; </w:t>
      </w:r>
      <w:proofErr w:type="spellStart"/>
      <w:r w:rsidR="00F3105E" w:rsidRPr="00FE008A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>mPFS</w:t>
      </w:r>
      <w:proofErr w:type="spellEnd"/>
      <w:r w:rsidR="00F3105E" w:rsidRPr="00FE008A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>, median progression-free survival</w:t>
      </w:r>
      <w:r w:rsidR="00F3105E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>; NE, not evaluable; ORR,</w:t>
      </w:r>
      <w:r w:rsidR="00F3105E" w:rsidRPr="00FE008A">
        <w:t xml:space="preserve"> </w:t>
      </w:r>
      <w:r w:rsidR="00F3105E" w:rsidRPr="00FE008A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>objective response rate</w:t>
      </w:r>
      <w:r w:rsidR="00F3105E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 xml:space="preserve">; </w:t>
      </w:r>
      <w:r w:rsidR="00F3105E" w:rsidRPr="00FE008A">
        <w:rPr>
          <w:rFonts w:ascii="Times New Roman" w:eastAsia="宋体" w:hAnsi="Times New Roman" w:cs="Times New Roman"/>
          <w:color w:val="000000" w:themeColor="text1"/>
          <w:sz w:val="20"/>
          <w:szCs w:val="24"/>
        </w:rPr>
        <w:t>PR, partial response; SD, stable disease; PD, progressive disease.</w:t>
      </w:r>
    </w:p>
    <w:p w:rsidR="00BF5DF6" w:rsidRPr="00F3105E" w:rsidRDefault="00BF5DF6" w:rsidP="00531095">
      <w:pPr>
        <w:spacing w:before="0" w:beforeAutospacing="0" w:after="0" w:afterAutospacing="0" w:line="360" w:lineRule="auto"/>
        <w:rPr>
          <w:b/>
        </w:rPr>
      </w:pPr>
    </w:p>
    <w:sectPr w:rsidR="00BF5DF6" w:rsidRPr="00F3105E" w:rsidSect="00531095">
      <w:footerReference w:type="default" r:id="rId15"/>
      <w:pgSz w:w="11907" w:h="16839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C81" w:rsidRDefault="00280C81">
      <w:pPr>
        <w:spacing w:line="240" w:lineRule="auto"/>
      </w:pPr>
      <w:r>
        <w:separator/>
      </w:r>
    </w:p>
  </w:endnote>
  <w:endnote w:type="continuationSeparator" w:id="0">
    <w:p w:rsidR="00280C81" w:rsidRDefault="00280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TNEJMScalaSansLF">
    <w:altName w:val="MS Gothic"/>
    <w:charset w:val="80"/>
    <w:family w:val="swiss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BFC" w:rsidRDefault="00ED4BF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D4BFC" w:rsidRPr="00531095" w:rsidRDefault="00ED4BFC">
                          <w:pPr>
                            <w:pStyle w:val="a3"/>
                            <w:rPr>
                              <w:rFonts w:ascii="Times New Roman" w:hAnsi="Times New Roman" w:cs="Times New Roman"/>
                            </w:rPr>
                          </w:pPr>
                          <w:r w:rsidRPr="00531095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531095"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 w:rsidRPr="00531095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30652D">
                            <w:rPr>
                              <w:rFonts w:ascii="Times New Roman" w:hAnsi="Times New Roman" w:cs="Times New Roman"/>
                              <w:noProof/>
                            </w:rPr>
                            <w:t>2</w:t>
                          </w:r>
                          <w:r w:rsidRPr="00531095"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ED4BFC" w:rsidRPr="00531095" w:rsidRDefault="00ED4BFC">
                    <w:pPr>
                      <w:pStyle w:val="a3"/>
                      <w:rPr>
                        <w:rFonts w:ascii="Times New Roman" w:hAnsi="Times New Roman" w:cs="Times New Roman"/>
                      </w:rPr>
                    </w:pPr>
                    <w:r w:rsidRPr="00531095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Pr="00531095"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 w:rsidRPr="00531095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30652D">
                      <w:rPr>
                        <w:rFonts w:ascii="Times New Roman" w:hAnsi="Times New Roman" w:cs="Times New Roman"/>
                        <w:noProof/>
                      </w:rPr>
                      <w:t>2</w:t>
                    </w:r>
                    <w:r w:rsidRPr="00531095"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BFC" w:rsidRDefault="00ED4BF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D4BFC" w:rsidRDefault="00ED4BFC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0652D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ED4BFC" w:rsidRDefault="00ED4BFC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0652D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095" w:rsidRDefault="0053109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9F1E32A" wp14:editId="5FA4AB2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531095" w:rsidRPr="00E76B38" w:rsidRDefault="00531095">
                          <w:pPr>
                            <w:pStyle w:val="a3"/>
                            <w:rPr>
                              <w:rFonts w:ascii="Times New Roman" w:hAnsi="Times New Roman" w:cs="Times New Roman"/>
                            </w:rPr>
                          </w:pPr>
                          <w:r w:rsidRPr="00E76B38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E76B38"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 w:rsidRPr="00E76B38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30652D">
                            <w:rPr>
                              <w:rFonts w:ascii="Times New Roman" w:hAnsi="Times New Roman" w:cs="Times New Roman"/>
                              <w:noProof/>
                            </w:rPr>
                            <w:t>11</w:t>
                          </w:r>
                          <w:r w:rsidRPr="00E76B38"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F1E32A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8" type="#_x0000_t202" style="position:absolute;margin-left:0;margin-top:0;width:2in;height:2in;z-index:25166745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" filled="f" stroked="f" strokeweight=".5pt">
              <v:textbox style="mso-fit-shape-to-text:t" inset="0,0,0,0">
                <w:txbxContent>
                  <w:p w:rsidR="00531095" w:rsidRPr="00E76B38" w:rsidRDefault="00531095">
                    <w:pPr>
                      <w:pStyle w:val="a3"/>
                      <w:rPr>
                        <w:rFonts w:ascii="Times New Roman" w:hAnsi="Times New Roman" w:cs="Times New Roman"/>
                      </w:rPr>
                    </w:pPr>
                    <w:r w:rsidRPr="00E76B38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Pr="00E76B38"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 w:rsidRPr="00E76B38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30652D">
                      <w:rPr>
                        <w:rFonts w:ascii="Times New Roman" w:hAnsi="Times New Roman" w:cs="Times New Roman"/>
                        <w:noProof/>
                      </w:rPr>
                      <w:t>11</w:t>
                    </w:r>
                    <w:r w:rsidRPr="00E76B38"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C81" w:rsidRDefault="00280C81">
      <w:pPr>
        <w:spacing w:before="0" w:after="0"/>
      </w:pPr>
      <w:r>
        <w:separator/>
      </w:r>
    </w:p>
  </w:footnote>
  <w:footnote w:type="continuationSeparator" w:id="0">
    <w:p w:rsidR="00280C81" w:rsidRDefault="00280C8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0ZmJkMDE3M2RlODE4NjczMTlmNzUyYjMxYmY2ODQifQ=="/>
  </w:docVars>
  <w:rsids>
    <w:rsidRoot w:val="00C9210C"/>
    <w:rsid w:val="000121B9"/>
    <w:rsid w:val="000C2702"/>
    <w:rsid w:val="000D34A4"/>
    <w:rsid w:val="000D7D25"/>
    <w:rsid w:val="001254A0"/>
    <w:rsid w:val="00141A72"/>
    <w:rsid w:val="00182640"/>
    <w:rsid w:val="001947DE"/>
    <w:rsid w:val="00280C81"/>
    <w:rsid w:val="0030652D"/>
    <w:rsid w:val="004338EF"/>
    <w:rsid w:val="004B00BA"/>
    <w:rsid w:val="004B50A2"/>
    <w:rsid w:val="00531095"/>
    <w:rsid w:val="00566A92"/>
    <w:rsid w:val="00580DD0"/>
    <w:rsid w:val="005D7A37"/>
    <w:rsid w:val="00600CB7"/>
    <w:rsid w:val="006770E5"/>
    <w:rsid w:val="007A6F8F"/>
    <w:rsid w:val="007E3DF8"/>
    <w:rsid w:val="00835862"/>
    <w:rsid w:val="00854EAF"/>
    <w:rsid w:val="00B20781"/>
    <w:rsid w:val="00B258A2"/>
    <w:rsid w:val="00BC0543"/>
    <w:rsid w:val="00BE4E4B"/>
    <w:rsid w:val="00BF5DF6"/>
    <w:rsid w:val="00C36F97"/>
    <w:rsid w:val="00C60545"/>
    <w:rsid w:val="00C9210C"/>
    <w:rsid w:val="00CE1CA8"/>
    <w:rsid w:val="00D15A81"/>
    <w:rsid w:val="00D44061"/>
    <w:rsid w:val="00D61E18"/>
    <w:rsid w:val="00DC6375"/>
    <w:rsid w:val="00E05D6E"/>
    <w:rsid w:val="00E363B7"/>
    <w:rsid w:val="00E42488"/>
    <w:rsid w:val="00E571BF"/>
    <w:rsid w:val="00E76B38"/>
    <w:rsid w:val="00ED4BFC"/>
    <w:rsid w:val="00F02FF3"/>
    <w:rsid w:val="00F3105E"/>
    <w:rsid w:val="00FD2E77"/>
    <w:rsid w:val="07F110AE"/>
    <w:rsid w:val="1D013201"/>
    <w:rsid w:val="1DE5067D"/>
    <w:rsid w:val="21FB4674"/>
    <w:rsid w:val="2DEF53E2"/>
    <w:rsid w:val="2E1E6ABD"/>
    <w:rsid w:val="3441313C"/>
    <w:rsid w:val="38DC1106"/>
    <w:rsid w:val="477A2B4A"/>
    <w:rsid w:val="4A754F71"/>
    <w:rsid w:val="4A942B10"/>
    <w:rsid w:val="4C2C4825"/>
    <w:rsid w:val="4D8B3F74"/>
    <w:rsid w:val="564A26C1"/>
    <w:rsid w:val="5B5672FD"/>
    <w:rsid w:val="630B3B09"/>
    <w:rsid w:val="65136156"/>
    <w:rsid w:val="6A533F08"/>
    <w:rsid w:val="6AB36D56"/>
    <w:rsid w:val="6C00528B"/>
    <w:rsid w:val="6C86289F"/>
    <w:rsid w:val="6F40757B"/>
    <w:rsid w:val="76CD2A9C"/>
    <w:rsid w:val="78E177EC"/>
    <w:rsid w:val="7CFB66CF"/>
    <w:rsid w:val="7FA2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483C056-6929-4730-A66E-1E456B0C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uiPriority w:val="99"/>
    <w:unhideWhenUsed/>
    <w:qFormat/>
    <w:pPr>
      <w:spacing w:after="120"/>
      <w:ind w:left="36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2Char">
    <w:name w:val="正文文本缩进 2 Char"/>
    <w:basedOn w:val="a0"/>
    <w:link w:val="2"/>
    <w:uiPriority w:val="99"/>
    <w:qFormat/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MainText-CN">
    <w:name w:val="Main Text-CN"/>
    <w:basedOn w:val="a"/>
    <w:link w:val="MainText-CN0"/>
    <w:qFormat/>
    <w:pPr>
      <w:spacing w:before="120" w:after="120"/>
      <w:ind w:firstLineChars="200" w:firstLine="200"/>
    </w:pPr>
    <w:rPr>
      <w:rFonts w:ascii="Times New Roman" w:eastAsia="宋体" w:hAnsi="Times New Roman" w:cs="宋体"/>
      <w:kern w:val="0"/>
      <w:sz w:val="24"/>
      <w:szCs w:val="24"/>
    </w:rPr>
  </w:style>
  <w:style w:type="character" w:customStyle="1" w:styleId="MainText-CN0">
    <w:name w:val="Main Text-CN 字符"/>
    <w:basedOn w:val="a0"/>
    <w:link w:val="MainText-CN"/>
    <w:qFormat/>
    <w:rPr>
      <w:rFonts w:ascii="Times New Roman" w:eastAsia="宋体" w:hAnsi="Times New Roman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paragraph" w:styleId="a8">
    <w:name w:val="List Paragraph"/>
    <w:basedOn w:val="a"/>
    <w:uiPriority w:val="1"/>
    <w:qFormat/>
    <w:pPr>
      <w:autoSpaceDE w:val="0"/>
      <w:autoSpaceDN w:val="0"/>
      <w:spacing w:before="0" w:beforeAutospacing="0" w:after="0" w:afterAutospacing="0" w:line="240" w:lineRule="auto"/>
      <w:ind w:left="720"/>
      <w:contextualSpacing/>
      <w:jc w:val="left"/>
    </w:pPr>
    <w:rPr>
      <w:rFonts w:ascii="Times New Roman" w:hAnsi="Times New Roman" w:cs="Times New Roman"/>
      <w:kern w:val="0"/>
      <w:sz w:val="20"/>
      <w:szCs w:val="20"/>
    </w:rPr>
  </w:style>
  <w:style w:type="table" w:customStyle="1" w:styleId="6-51">
    <w:name w:val="清单表 6 彩色 - 着色 51"/>
    <w:basedOn w:val="a1"/>
    <w:uiPriority w:val="51"/>
    <w:qFormat/>
    <w:rPr>
      <w:color w:val="2F5496" w:themeColor="accent5" w:themeShade="BF"/>
    </w:rPr>
    <w:tblPr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3-21">
    <w:name w:val="清单表 3 - 着色 21"/>
    <w:basedOn w:val="a1"/>
    <w:uiPriority w:val="48"/>
    <w:qFormat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paragraph" w:styleId="a9">
    <w:name w:val="Title"/>
    <w:basedOn w:val="a"/>
    <w:next w:val="a"/>
    <w:link w:val="Char1"/>
    <w:uiPriority w:val="10"/>
    <w:qFormat/>
    <w:rsid w:val="00ED4BFC"/>
    <w:pPr>
      <w:spacing w:before="0" w:beforeAutospacing="0" w:after="0" w:afterAutospacing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标题 Char"/>
    <w:basedOn w:val="a0"/>
    <w:link w:val="a9"/>
    <w:uiPriority w:val="10"/>
    <w:rsid w:val="00ED4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iguretitletext">
    <w:name w:val="figure__title__text"/>
    <w:basedOn w:val="a0"/>
    <w:autoRedefine/>
    <w:qFormat/>
    <w:rsid w:val="00531095"/>
  </w:style>
  <w:style w:type="character" w:styleId="aa">
    <w:name w:val="Hyperlink"/>
    <w:basedOn w:val="a0"/>
    <w:uiPriority w:val="99"/>
    <w:unhideWhenUsed/>
    <w:rsid w:val="007E3D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11BFFA-98C4-4752-A819-31B754AE4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朱恂</cp:lastModifiedBy>
  <cp:revision>20</cp:revision>
  <dcterms:created xsi:type="dcterms:W3CDTF">2024-10-11T01:39:00Z</dcterms:created>
  <dcterms:modified xsi:type="dcterms:W3CDTF">2024-12-11T03:47:00Z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2949A42A90544A2285C82F9EEF721FF9</vt:lpwstr>
  </property>
</Properties>
</file>