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D2D45" w:rsidRPr="004D2D45" w:rsidRDefault="004D2D45" w:rsidP="004D2D45">
      <w:pPr>
        <w:spacing w:line="480" w:lineRule="auto"/>
        <w:jc w:val="center"/>
        <w:rPr>
          <w:rFonts w:ascii="Times New Roman" w:hAnsi="Times New Roman" w:cs="Times New Roman"/>
          <w:b/>
          <w:bCs/>
          <w:color w:val="000000" w:themeColor="text1"/>
          <w:shd w:val="clear" w:color="auto" w:fill="FFFFFF"/>
          <w:lang w:val="en-US"/>
        </w:rPr>
      </w:pPr>
      <w:r w:rsidRPr="004D2D45">
        <w:rPr>
          <w:rFonts w:ascii="Times New Roman" w:hAnsi="Times New Roman" w:cs="Times New Roman"/>
          <w:b/>
          <w:bCs/>
          <w:color w:val="000000" w:themeColor="text1"/>
          <w:shd w:val="clear" w:color="auto" w:fill="FFFFFF"/>
          <w:lang w:val="en-US"/>
        </w:rPr>
        <w:t>Supplementary Information (Methods, Figures and tables)</w:t>
      </w:r>
    </w:p>
    <w:p w:rsidR="004D2D45" w:rsidRPr="004D2D45" w:rsidRDefault="004D2D45" w:rsidP="004D2D45">
      <w:pPr>
        <w:spacing w:line="480" w:lineRule="auto"/>
        <w:jc w:val="center"/>
        <w:rPr>
          <w:rFonts w:ascii="Times New Roman" w:hAnsi="Times New Roman" w:cs="Times New Roman"/>
          <w:b/>
          <w:bCs/>
          <w:color w:val="000000" w:themeColor="text1"/>
          <w:shd w:val="clear" w:color="auto" w:fill="FFFFFF"/>
          <w:lang w:val="en-US"/>
        </w:rPr>
      </w:pPr>
      <w:bookmarkStart w:id="0" w:name="_Toc164862307"/>
      <w:r w:rsidRPr="004D2D45">
        <w:rPr>
          <w:rFonts w:ascii="Times New Roman" w:hAnsi="Times New Roman" w:cs="Times New Roman"/>
          <w:b/>
          <w:bCs/>
          <w:color w:val="000000" w:themeColor="text1"/>
          <w:shd w:val="clear" w:color="auto" w:fill="FFFFFF"/>
          <w:lang w:val="en-US"/>
        </w:rPr>
        <w:t>Deciphering cholangiocarcinoma heterogeneity and specific progenitor cell niche of extrahepatic cholangiocarcinoma at single-cell resolution</w:t>
      </w:r>
      <w:bookmarkEnd w:id="0"/>
    </w:p>
    <w:p w:rsidR="004D2D45" w:rsidRPr="004D2D45" w:rsidRDefault="004D2D45" w:rsidP="004D2D45">
      <w:pPr>
        <w:spacing w:line="480" w:lineRule="auto"/>
        <w:rPr>
          <w:rFonts w:ascii="Times New Roman" w:hAnsi="Times New Roman" w:cs="Times New Roman"/>
          <w:sz w:val="24"/>
          <w:szCs w:val="24"/>
          <w:vertAlign w:val="superscript"/>
          <w:lang w:eastAsia="zh-CN"/>
        </w:rPr>
      </w:pPr>
      <w:r w:rsidRPr="004D2D45">
        <w:rPr>
          <w:rFonts w:ascii="Times New Roman" w:hAnsi="Times New Roman" w:cs="Times New Roman"/>
          <w:sz w:val="24"/>
          <w:szCs w:val="24"/>
        </w:rPr>
        <w:t>Chunliang Liu</w:t>
      </w:r>
      <w:r w:rsidRPr="004D2D45">
        <w:rPr>
          <w:rFonts w:ascii="Times New Roman" w:hAnsi="Times New Roman" w:cs="Times New Roman"/>
          <w:sz w:val="24"/>
          <w:szCs w:val="24"/>
          <w:vertAlign w:val="superscript"/>
        </w:rPr>
        <w:t>1</w:t>
      </w:r>
      <w:r w:rsidRPr="004D2D45">
        <w:rPr>
          <w:rFonts w:ascii="Times New Roman" w:hAnsi="Times New Roman" w:cs="Times New Roman"/>
          <w:b/>
          <w:sz w:val="24"/>
          <w:szCs w:val="24"/>
          <w:vertAlign w:val="superscript"/>
        </w:rPr>
        <w:t>*</w:t>
      </w:r>
      <w:r w:rsidRPr="004D2D45">
        <w:rPr>
          <w:rFonts w:ascii="Times New Roman" w:hAnsi="Times New Roman" w:cs="Times New Roman"/>
          <w:sz w:val="24"/>
          <w:szCs w:val="24"/>
        </w:rPr>
        <w:t>, Xiang Wang</w:t>
      </w:r>
      <w:r w:rsidRPr="004D2D45">
        <w:rPr>
          <w:rFonts w:ascii="Times New Roman" w:hAnsi="Times New Roman" w:cs="Times New Roman"/>
          <w:sz w:val="24"/>
          <w:szCs w:val="24"/>
          <w:vertAlign w:val="superscript"/>
        </w:rPr>
        <w:t>2</w:t>
      </w:r>
      <w:r w:rsidRPr="004D2D45">
        <w:rPr>
          <w:rFonts w:ascii="Times New Roman" w:hAnsi="Times New Roman" w:cs="Times New Roman"/>
          <w:b/>
          <w:sz w:val="24"/>
          <w:szCs w:val="24"/>
          <w:vertAlign w:val="superscript"/>
        </w:rPr>
        <w:t>*</w:t>
      </w:r>
      <w:r w:rsidRPr="004D2D45">
        <w:rPr>
          <w:rFonts w:ascii="Times New Roman" w:hAnsi="Times New Roman" w:cs="Times New Roman"/>
          <w:sz w:val="24"/>
          <w:szCs w:val="24"/>
        </w:rPr>
        <w:t>, Erdong Liu</w:t>
      </w:r>
      <w:r w:rsidRPr="004D2D45">
        <w:rPr>
          <w:rFonts w:ascii="Times New Roman" w:hAnsi="Times New Roman" w:cs="Times New Roman"/>
          <w:sz w:val="24"/>
          <w:szCs w:val="24"/>
          <w:vertAlign w:val="superscript"/>
        </w:rPr>
        <w:t>3</w:t>
      </w:r>
      <w:r w:rsidRPr="004D2D45">
        <w:rPr>
          <w:rFonts w:ascii="Times New Roman" w:hAnsi="Times New Roman" w:cs="Times New Roman"/>
          <w:b/>
          <w:sz w:val="24"/>
          <w:szCs w:val="24"/>
          <w:vertAlign w:val="superscript"/>
        </w:rPr>
        <w:t>*</w:t>
      </w:r>
      <w:r w:rsidRPr="004D2D45">
        <w:rPr>
          <w:rFonts w:ascii="Times New Roman" w:hAnsi="Times New Roman" w:cs="Times New Roman"/>
          <w:sz w:val="24"/>
          <w:szCs w:val="24"/>
        </w:rPr>
        <w:t>, Yali Zong</w:t>
      </w:r>
      <w:r w:rsidRPr="004D2D45">
        <w:rPr>
          <w:rFonts w:ascii="Times New Roman" w:hAnsi="Times New Roman" w:cs="Times New Roman"/>
          <w:sz w:val="24"/>
          <w:szCs w:val="24"/>
          <w:vertAlign w:val="superscript"/>
        </w:rPr>
        <w:t>3</w:t>
      </w:r>
      <w:r w:rsidRPr="004D2D45">
        <w:rPr>
          <w:rFonts w:ascii="Times New Roman" w:hAnsi="Times New Roman" w:cs="Times New Roman"/>
          <w:sz w:val="24"/>
          <w:szCs w:val="24"/>
        </w:rPr>
        <w:t>, Wenlong Yu</w:t>
      </w:r>
      <w:r w:rsidRPr="004D2D45">
        <w:rPr>
          <w:rFonts w:ascii="Times New Roman" w:hAnsi="Times New Roman" w:cs="Times New Roman"/>
          <w:sz w:val="24"/>
          <w:szCs w:val="24"/>
          <w:vertAlign w:val="superscript"/>
        </w:rPr>
        <w:t>2</w:t>
      </w:r>
      <w:r w:rsidRPr="004D2D45">
        <w:rPr>
          <w:rFonts w:ascii="Times New Roman" w:hAnsi="Times New Roman" w:cs="Times New Roman"/>
          <w:sz w:val="24"/>
          <w:szCs w:val="24"/>
        </w:rPr>
        <w:t>, Youhai Jiang</w:t>
      </w:r>
      <w:r w:rsidRPr="004D2D45">
        <w:rPr>
          <w:rFonts w:ascii="Times New Roman" w:hAnsi="Times New Roman" w:cs="Times New Roman"/>
          <w:sz w:val="24"/>
          <w:szCs w:val="24"/>
          <w:vertAlign w:val="superscript"/>
        </w:rPr>
        <w:t>4</w:t>
      </w:r>
      <w:r w:rsidRPr="004D2D45">
        <w:rPr>
          <w:rFonts w:ascii="Times New Roman" w:hAnsi="Times New Roman" w:cs="Times New Roman"/>
          <w:sz w:val="24"/>
          <w:szCs w:val="24"/>
        </w:rPr>
        <w:t>, Jianan Chen</w:t>
      </w:r>
      <w:r w:rsidRPr="004D2D45">
        <w:rPr>
          <w:rFonts w:ascii="Times New Roman" w:hAnsi="Times New Roman" w:cs="Times New Roman"/>
          <w:sz w:val="24"/>
          <w:szCs w:val="24"/>
          <w:vertAlign w:val="superscript"/>
        </w:rPr>
        <w:t>1</w:t>
      </w:r>
      <w:r w:rsidRPr="004D2D45">
        <w:rPr>
          <w:rFonts w:ascii="Times New Roman" w:hAnsi="Times New Roman" w:cs="Times New Roman"/>
          <w:sz w:val="24"/>
          <w:szCs w:val="24"/>
        </w:rPr>
        <w:t>, Mingye Gu</w:t>
      </w:r>
      <w:r w:rsidRPr="004D2D45">
        <w:rPr>
          <w:rFonts w:ascii="Times New Roman" w:hAnsi="Times New Roman" w:cs="Times New Roman"/>
          <w:sz w:val="24"/>
          <w:szCs w:val="24"/>
          <w:vertAlign w:val="superscript"/>
        </w:rPr>
        <w:t>5</w:t>
      </w:r>
      <w:r w:rsidRPr="004D2D45">
        <w:rPr>
          <w:rFonts w:ascii="Times New Roman" w:hAnsi="Times New Roman" w:cs="Times New Roman"/>
          <w:sz w:val="24"/>
          <w:szCs w:val="24"/>
        </w:rPr>
        <w:t>, Zhengyuan Meng</w:t>
      </w:r>
      <w:r w:rsidRPr="004D2D45">
        <w:rPr>
          <w:rFonts w:ascii="Times New Roman" w:hAnsi="Times New Roman" w:cs="Times New Roman"/>
          <w:sz w:val="24"/>
          <w:szCs w:val="24"/>
          <w:vertAlign w:val="superscript"/>
        </w:rPr>
        <w:t>5</w:t>
      </w:r>
      <w:r w:rsidRPr="004D2D45">
        <w:rPr>
          <w:rFonts w:ascii="Times New Roman" w:hAnsi="Times New Roman" w:cs="Times New Roman"/>
          <w:sz w:val="24"/>
          <w:szCs w:val="24"/>
        </w:rPr>
        <w:t>, Jingfeng Li</w:t>
      </w:r>
      <w:r w:rsidRPr="004D2D45">
        <w:rPr>
          <w:rFonts w:ascii="Times New Roman" w:hAnsi="Times New Roman" w:cs="Times New Roman"/>
          <w:sz w:val="24"/>
          <w:szCs w:val="24"/>
          <w:vertAlign w:val="superscript"/>
        </w:rPr>
        <w:t>1</w:t>
      </w:r>
      <w:r w:rsidRPr="004D2D45">
        <w:rPr>
          <w:rFonts w:ascii="Times New Roman" w:hAnsi="Times New Roman" w:cs="Times New Roman"/>
          <w:sz w:val="24"/>
          <w:szCs w:val="24"/>
        </w:rPr>
        <w:t>, Yang Liu</w:t>
      </w:r>
      <w:r w:rsidRPr="004D2D45">
        <w:rPr>
          <w:rFonts w:ascii="Times New Roman" w:hAnsi="Times New Roman" w:cs="Times New Roman"/>
          <w:sz w:val="24"/>
          <w:szCs w:val="24"/>
          <w:vertAlign w:val="superscript"/>
        </w:rPr>
        <w:t>2</w:t>
      </w:r>
      <w:r w:rsidRPr="004D2D45">
        <w:rPr>
          <w:rFonts w:ascii="Times New Roman" w:hAnsi="Times New Roman" w:cs="Times New Roman"/>
          <w:sz w:val="24"/>
          <w:szCs w:val="24"/>
        </w:rPr>
        <w:t>, Yongjie Zhang</w:t>
      </w:r>
      <w:r w:rsidRPr="004D2D45">
        <w:rPr>
          <w:rFonts w:ascii="Times New Roman" w:hAnsi="Times New Roman" w:cs="Times New Roman"/>
          <w:sz w:val="24"/>
          <w:szCs w:val="24"/>
          <w:vertAlign w:val="superscript"/>
        </w:rPr>
        <w:t>2</w:t>
      </w:r>
      <w:r w:rsidRPr="004D2D45">
        <w:rPr>
          <w:rFonts w:ascii="Times New Roman" w:hAnsi="Times New Roman" w:cs="Times New Roman"/>
          <w:sz w:val="24"/>
          <w:szCs w:val="24"/>
        </w:rPr>
        <w:t>,</w:t>
      </w:r>
      <w:r w:rsidR="00410724" w:rsidRPr="00410724">
        <w:rPr>
          <w:rFonts w:ascii="Times New Roman" w:hAnsi="Times New Roman" w:cs="Times New Roman" w:hint="eastAsia"/>
          <w:sz w:val="24"/>
          <w:szCs w:val="24"/>
        </w:rPr>
        <w:t xml:space="preserve"> </w:t>
      </w:r>
      <w:r w:rsidR="00410724" w:rsidRPr="0055266A">
        <w:rPr>
          <w:rFonts w:ascii="Times New Roman" w:hAnsi="Times New Roman" w:cs="Times New Roman" w:hint="eastAsia"/>
          <w:sz w:val="24"/>
          <w:szCs w:val="24"/>
        </w:rPr>
        <w:t>Jing Tang</w:t>
      </w:r>
      <w:r w:rsidR="00410724" w:rsidRPr="0055266A">
        <w:rPr>
          <w:rFonts w:ascii="Times New Roman" w:hAnsi="Times New Roman" w:cs="Times New Roman" w:hint="eastAsia"/>
          <w:sz w:val="24"/>
          <w:szCs w:val="24"/>
          <w:vertAlign w:val="superscript"/>
        </w:rPr>
        <w:t>6</w:t>
      </w:r>
      <w:r w:rsidR="00410724" w:rsidRPr="0055266A">
        <w:rPr>
          <w:rFonts w:ascii="Times New Roman" w:hAnsi="Times New Roman" w:cs="Times New Roman"/>
          <w:sz w:val="24"/>
          <w:vertAlign w:val="superscript"/>
        </w:rPr>
        <w:t>#</w:t>
      </w:r>
      <w:r w:rsidR="00410724" w:rsidRPr="00132D16">
        <w:rPr>
          <w:rFonts w:ascii="Times New Roman" w:hAnsi="Times New Roman" w:cs="Times New Roman"/>
          <w:sz w:val="24"/>
          <w:szCs w:val="24"/>
        </w:rPr>
        <w:t>,</w:t>
      </w:r>
      <w:r w:rsidRPr="004D2D45">
        <w:rPr>
          <w:rFonts w:ascii="Times New Roman" w:hAnsi="Times New Roman" w:cs="Times New Roman"/>
          <w:sz w:val="24"/>
          <w:szCs w:val="24"/>
        </w:rPr>
        <w:t xml:space="preserve"> Hongyang Wang</w:t>
      </w:r>
      <w:r w:rsidRPr="004D2D45">
        <w:rPr>
          <w:rFonts w:ascii="Times New Roman" w:hAnsi="Times New Roman" w:cs="Times New Roman"/>
          <w:sz w:val="24"/>
          <w:szCs w:val="24"/>
          <w:vertAlign w:val="superscript"/>
        </w:rPr>
        <w:t>1#</w:t>
      </w:r>
      <w:r w:rsidRPr="004D2D45">
        <w:rPr>
          <w:rFonts w:ascii="Times New Roman" w:hAnsi="Times New Roman" w:cs="Times New Roman"/>
          <w:sz w:val="24"/>
          <w:szCs w:val="24"/>
        </w:rPr>
        <w:t>, Jing Fu</w:t>
      </w:r>
      <w:r w:rsidRPr="004D2D45">
        <w:rPr>
          <w:rFonts w:ascii="Times New Roman" w:hAnsi="Times New Roman" w:cs="Times New Roman"/>
          <w:sz w:val="24"/>
          <w:szCs w:val="24"/>
          <w:vertAlign w:val="superscript"/>
        </w:rPr>
        <w:t>1#</w:t>
      </w:r>
    </w:p>
    <w:p w:rsidR="004D2D45" w:rsidRPr="004D2D45" w:rsidRDefault="004D2D45" w:rsidP="004D2D45">
      <w:pPr>
        <w:spacing w:line="480" w:lineRule="auto"/>
        <w:ind w:left="120" w:hangingChars="50" w:hanging="120"/>
        <w:rPr>
          <w:rFonts w:ascii="Times New Roman" w:hAnsi="Times New Roman" w:cs="Times New Roman"/>
          <w:sz w:val="24"/>
          <w:szCs w:val="24"/>
        </w:rPr>
      </w:pPr>
      <w:r w:rsidRPr="004D2D45">
        <w:rPr>
          <w:rFonts w:ascii="Times New Roman" w:hAnsi="Times New Roman" w:cs="Times New Roman"/>
          <w:sz w:val="24"/>
          <w:szCs w:val="24"/>
          <w:vertAlign w:val="superscript"/>
        </w:rPr>
        <w:t xml:space="preserve">1 </w:t>
      </w:r>
      <w:r w:rsidRPr="004D2D45">
        <w:rPr>
          <w:rFonts w:ascii="Times New Roman" w:hAnsi="Times New Roman" w:cs="Times New Roman"/>
          <w:sz w:val="24"/>
          <w:szCs w:val="24"/>
        </w:rPr>
        <w:t>International Cooperation Laboratory on Signal Transduction, National Center for Liver Cancer, Ministry of Education Key Laboratory on signaling Regulation and Targeting Therapy of Liver Cancer, Shanghai Key Laboratory of Hepato-biliary Tumor Biology, Eastern Hepatobiliary Surgery Hospital, Naval Medical University, Shanghai 200438, China.</w:t>
      </w:r>
    </w:p>
    <w:p w:rsidR="004D2D45" w:rsidRPr="004D2D45" w:rsidRDefault="004D2D45" w:rsidP="004D2D45">
      <w:pPr>
        <w:spacing w:line="480" w:lineRule="auto"/>
        <w:ind w:left="142" w:hangingChars="59" w:hanging="142"/>
        <w:rPr>
          <w:rFonts w:ascii="Times New Roman" w:hAnsi="Times New Roman" w:cs="Times New Roman"/>
          <w:sz w:val="24"/>
          <w:szCs w:val="24"/>
        </w:rPr>
      </w:pPr>
      <w:r w:rsidRPr="004D2D45">
        <w:rPr>
          <w:rFonts w:ascii="Times New Roman" w:hAnsi="Times New Roman" w:cs="Times New Roman"/>
          <w:sz w:val="24"/>
          <w:szCs w:val="24"/>
          <w:vertAlign w:val="superscript"/>
        </w:rPr>
        <w:t>2</w:t>
      </w:r>
      <w:r w:rsidRPr="004D2D45">
        <w:rPr>
          <w:rFonts w:ascii="Times New Roman" w:hAnsi="Times New Roman" w:cs="Times New Roman"/>
          <w:sz w:val="24"/>
          <w:szCs w:val="24"/>
        </w:rPr>
        <w:t xml:space="preserve"> Second Department of Biliary Surgery, Eastern Hepatobiliary Surgery Hospital, Naval Medical University, Shanghai 200438, China. </w:t>
      </w:r>
    </w:p>
    <w:p w:rsidR="004D2D45" w:rsidRPr="004D2D45" w:rsidRDefault="004D2D45" w:rsidP="004D2D45">
      <w:pPr>
        <w:spacing w:line="480" w:lineRule="auto"/>
        <w:ind w:left="142" w:hangingChars="59" w:hanging="142"/>
        <w:rPr>
          <w:rFonts w:ascii="Times New Roman" w:hAnsi="Times New Roman" w:cs="Times New Roman"/>
          <w:sz w:val="24"/>
          <w:szCs w:val="24"/>
        </w:rPr>
      </w:pPr>
      <w:r w:rsidRPr="004D2D45">
        <w:rPr>
          <w:rFonts w:ascii="Times New Roman" w:hAnsi="Times New Roman" w:cs="Times New Roman"/>
          <w:sz w:val="24"/>
          <w:szCs w:val="24"/>
          <w:vertAlign w:val="superscript"/>
        </w:rPr>
        <w:t>3</w:t>
      </w:r>
      <w:r w:rsidRPr="004D2D45">
        <w:rPr>
          <w:rFonts w:ascii="Times New Roman" w:hAnsi="Times New Roman" w:cs="Times New Roman"/>
          <w:sz w:val="24"/>
          <w:szCs w:val="24"/>
        </w:rPr>
        <w:t xml:space="preserve"> Institute of Metabolism &amp; Integrative Biology, Fudan University, Shanghai 200433, China.</w:t>
      </w:r>
    </w:p>
    <w:p w:rsidR="004D2D45" w:rsidRPr="004D2D45" w:rsidRDefault="004D2D45" w:rsidP="004D2D45">
      <w:pPr>
        <w:spacing w:line="480" w:lineRule="auto"/>
        <w:ind w:left="142" w:hangingChars="59" w:hanging="142"/>
        <w:rPr>
          <w:rFonts w:ascii="Times New Roman" w:hAnsi="Times New Roman" w:cs="Times New Roman"/>
          <w:sz w:val="24"/>
          <w:szCs w:val="24"/>
        </w:rPr>
      </w:pPr>
      <w:r w:rsidRPr="004D2D45">
        <w:rPr>
          <w:rFonts w:ascii="Times New Roman" w:hAnsi="Times New Roman" w:cs="Times New Roman"/>
          <w:sz w:val="24"/>
          <w:szCs w:val="24"/>
          <w:vertAlign w:val="superscript"/>
        </w:rPr>
        <w:t>4</w:t>
      </w:r>
      <w:r w:rsidRPr="004D2D45">
        <w:rPr>
          <w:rFonts w:ascii="Times New Roman" w:hAnsi="Times New Roman" w:cs="Times New Roman"/>
          <w:sz w:val="24"/>
          <w:szCs w:val="24"/>
        </w:rPr>
        <w:t xml:space="preserve"> Cancer Research Center, The First Affiliated Hospital of USTC, Division of Life Sciences and Medicine, University of Science and Technology of China, Hefei 230001, Anhui, China</w:t>
      </w:r>
    </w:p>
    <w:p w:rsidR="004D2D45" w:rsidRPr="004D2D45" w:rsidRDefault="004D2D45" w:rsidP="004D2D45">
      <w:pPr>
        <w:pStyle w:val="Default"/>
        <w:spacing w:line="480" w:lineRule="auto"/>
        <w:ind w:left="120" w:hangingChars="50" w:hanging="120"/>
        <w:rPr>
          <w:rFonts w:eastAsiaTheme="minorEastAsia"/>
          <w:color w:val="auto"/>
          <w:kern w:val="2"/>
        </w:rPr>
      </w:pPr>
      <w:r w:rsidRPr="004D2D45">
        <w:rPr>
          <w:rFonts w:eastAsiaTheme="minorEastAsia"/>
          <w:color w:val="auto"/>
          <w:kern w:val="2"/>
          <w:vertAlign w:val="superscript"/>
        </w:rPr>
        <w:t>5</w:t>
      </w:r>
      <w:r w:rsidRPr="004D2D45">
        <w:rPr>
          <w:rFonts w:eastAsiaTheme="minorEastAsia"/>
          <w:color w:val="auto"/>
          <w:kern w:val="2"/>
        </w:rPr>
        <w:t xml:space="preserve"> State Key Laboratory of Oncogenes and Related Genes, Shanghai Cancer Institute, Renji Hospital, Shanghai Jiao Tong University School of Medicine, Shanghai </w:t>
      </w:r>
      <w:r w:rsidRPr="004D2D45">
        <w:rPr>
          <w:rFonts w:eastAsiaTheme="minorEastAsia"/>
          <w:color w:val="auto"/>
          <w:kern w:val="2"/>
        </w:rPr>
        <w:lastRenderedPageBreak/>
        <w:t>200127, China</w:t>
      </w:r>
    </w:p>
    <w:p w:rsidR="00410724" w:rsidRPr="00C246E0" w:rsidRDefault="00410724" w:rsidP="00410724">
      <w:pPr>
        <w:pStyle w:val="Default"/>
        <w:spacing w:line="360" w:lineRule="auto"/>
        <w:ind w:left="120" w:hangingChars="50" w:hanging="120"/>
        <w:rPr>
          <w:rFonts w:eastAsiaTheme="minorEastAsia"/>
          <w:color w:val="auto"/>
          <w:kern w:val="2"/>
          <w:szCs w:val="22"/>
        </w:rPr>
      </w:pPr>
      <w:r>
        <w:rPr>
          <w:rFonts w:eastAsiaTheme="minorEastAsia" w:hint="eastAsia"/>
          <w:color w:val="auto"/>
          <w:kern w:val="2"/>
          <w:szCs w:val="22"/>
          <w:vertAlign w:val="superscript"/>
        </w:rPr>
        <w:t xml:space="preserve">6 </w:t>
      </w:r>
      <w:r w:rsidRPr="00573317">
        <w:rPr>
          <w:rFonts w:eastAsiaTheme="minorEastAsia" w:hint="eastAsia"/>
          <w:color w:val="auto"/>
          <w:kern w:val="2"/>
          <w:szCs w:val="22"/>
        </w:rPr>
        <w:t xml:space="preserve">Cancer Center, Union Hospital, Tongji Medical College, Huazhong University of Science and Technology, Wuhan </w:t>
      </w:r>
      <w:bookmarkStart w:id="1" w:name="_Hlk190195276"/>
      <w:r w:rsidRPr="00573317">
        <w:rPr>
          <w:rFonts w:eastAsiaTheme="minorEastAsia" w:hint="eastAsia"/>
          <w:color w:val="auto"/>
          <w:kern w:val="2"/>
          <w:szCs w:val="22"/>
        </w:rPr>
        <w:t>430022, China</w:t>
      </w:r>
      <w:bookmarkEnd w:id="1"/>
    </w:p>
    <w:p w:rsidR="004D2D45" w:rsidRPr="00410724" w:rsidRDefault="004D2D45" w:rsidP="004D2D45">
      <w:pPr>
        <w:pStyle w:val="Default"/>
        <w:spacing w:line="480" w:lineRule="auto"/>
        <w:ind w:left="120" w:hangingChars="50" w:hanging="120"/>
        <w:rPr>
          <w:rFonts w:eastAsiaTheme="minorEastAsia"/>
          <w:color w:val="auto"/>
          <w:kern w:val="2"/>
        </w:rPr>
      </w:pPr>
    </w:p>
    <w:p w:rsidR="004D2D45" w:rsidRPr="004D2D45" w:rsidRDefault="004D2D45" w:rsidP="004D2D45">
      <w:pPr>
        <w:spacing w:line="480" w:lineRule="auto"/>
        <w:ind w:left="120" w:hangingChars="50" w:hanging="120"/>
        <w:rPr>
          <w:rFonts w:ascii="Times New Roman" w:hAnsi="Times New Roman" w:cs="Times New Roman"/>
          <w:sz w:val="24"/>
          <w:szCs w:val="24"/>
        </w:rPr>
      </w:pPr>
      <w:r w:rsidRPr="004D2D45">
        <w:rPr>
          <w:rFonts w:ascii="Times New Roman" w:hAnsi="Times New Roman" w:cs="Times New Roman"/>
          <w:b/>
          <w:sz w:val="24"/>
          <w:szCs w:val="24"/>
          <w:vertAlign w:val="superscript"/>
        </w:rPr>
        <w:t>*</w:t>
      </w:r>
      <w:r w:rsidRPr="004D2D45">
        <w:rPr>
          <w:rFonts w:ascii="Times New Roman" w:hAnsi="Times New Roman" w:cs="Times New Roman"/>
          <w:sz w:val="24"/>
          <w:szCs w:val="24"/>
        </w:rPr>
        <w:t xml:space="preserve"> These authors contributed equally to this work.</w:t>
      </w:r>
    </w:p>
    <w:p w:rsidR="004D2D45" w:rsidRPr="004D2D45" w:rsidRDefault="004D2D45" w:rsidP="004D2D45">
      <w:pPr>
        <w:spacing w:line="480" w:lineRule="auto"/>
        <w:ind w:left="120" w:hangingChars="50" w:hanging="120"/>
        <w:rPr>
          <w:rFonts w:ascii="Times New Roman" w:hAnsi="Times New Roman" w:cs="Times New Roman"/>
          <w:sz w:val="24"/>
          <w:szCs w:val="24"/>
        </w:rPr>
      </w:pPr>
      <w:r w:rsidRPr="004D2D45">
        <w:rPr>
          <w:rFonts w:ascii="Times New Roman" w:eastAsia="楷体" w:hAnsi="Times New Roman" w:cs="Times New Roman"/>
          <w:b/>
          <w:bCs/>
          <w:sz w:val="24"/>
          <w:szCs w:val="24"/>
        </w:rPr>
        <w:t>Corresponding author</w:t>
      </w:r>
    </w:p>
    <w:p w:rsidR="004D2D45" w:rsidRPr="00410724" w:rsidRDefault="004D2D45" w:rsidP="004D2D45">
      <w:pPr>
        <w:spacing w:line="480" w:lineRule="auto"/>
        <w:ind w:left="120" w:hangingChars="50" w:hanging="120"/>
        <w:rPr>
          <w:rFonts w:ascii="Times New Roman" w:hAnsi="Times New Roman" w:cs="Times New Roman"/>
          <w:sz w:val="24"/>
          <w:szCs w:val="24"/>
        </w:rPr>
      </w:pPr>
      <w:r w:rsidRPr="004D2D45">
        <w:rPr>
          <w:rFonts w:ascii="Times New Roman" w:hAnsi="Times New Roman" w:cs="Times New Roman"/>
          <w:sz w:val="24"/>
          <w:szCs w:val="24"/>
        </w:rPr>
        <w:t xml:space="preserve">Jing Fu, 225 Changhai Road, Shanghai 200438, China, Tel 86 21 8187 5361, Fax 86 21 6556 6851, </w:t>
      </w:r>
      <w:hyperlink r:id="rId7" w:history="1">
        <w:r w:rsidRPr="00E079F0">
          <w:rPr>
            <w:rFonts w:ascii="Times New Roman" w:hAnsi="Times New Roman" w:cs="Times New Roman"/>
            <w:sz w:val="24"/>
            <w:szCs w:val="24"/>
          </w:rPr>
          <w:t>fujing-724@163.com</w:t>
        </w:r>
      </w:hyperlink>
      <w:r w:rsidRPr="004D2D45">
        <w:rPr>
          <w:rFonts w:ascii="Times New Roman" w:hAnsi="Times New Roman" w:cs="Times New Roman"/>
          <w:sz w:val="24"/>
          <w:szCs w:val="24"/>
        </w:rPr>
        <w:t xml:space="preserve">; Hongyang Wang, 225 Changhai Road, Shanghai 200438, China, Tel 86 21 8187 5361, Fax 86 21 6556 6851, </w:t>
      </w:r>
      <w:hyperlink r:id="rId8" w:history="1">
        <w:r w:rsidRPr="004D2D45">
          <w:rPr>
            <w:rFonts w:ascii="Times New Roman" w:hAnsi="Times New Roman" w:cs="Times New Roman"/>
            <w:sz w:val="24"/>
            <w:szCs w:val="24"/>
          </w:rPr>
          <w:t>hywangk@vip.sina.com</w:t>
        </w:r>
      </w:hyperlink>
      <w:r w:rsidR="00410724" w:rsidRPr="00520783">
        <w:rPr>
          <w:rFonts w:ascii="Times New Roman" w:hAnsi="Times New Roman" w:cs="Times New Roman" w:hint="eastAsia"/>
          <w:sz w:val="24"/>
          <w:szCs w:val="24"/>
        </w:rPr>
        <w:t>; Jing Tang, 1277 Jiefang Avenue, Wuhan, Hubei 430022, China, Tel 86 27 8572 6114, tangjingmd@hust.edu.cn.</w:t>
      </w:r>
    </w:p>
    <w:p w:rsidR="004D2D45" w:rsidRPr="004D2D45" w:rsidRDefault="004D2D45">
      <w:pPr>
        <w:spacing w:after="0" w:line="240" w:lineRule="auto"/>
        <w:rPr>
          <w:rFonts w:ascii="Times New Roman" w:hAnsi="Times New Roman" w:cs="Times New Roman"/>
        </w:rPr>
      </w:pPr>
      <w:r w:rsidRPr="004D2D45">
        <w:rPr>
          <w:rFonts w:ascii="Times New Roman" w:hAnsi="Times New Roman" w:cs="Times New Roman"/>
        </w:rPr>
        <w:br w:type="page"/>
      </w:r>
    </w:p>
    <w:p w:rsidR="004D2D45" w:rsidRPr="006D591B" w:rsidRDefault="004D2D45" w:rsidP="004D2D45">
      <w:pPr>
        <w:spacing w:line="360" w:lineRule="auto"/>
        <w:rPr>
          <w:rFonts w:ascii="Times New Roman" w:hAnsi="Times New Roman" w:cs="Times New Roman"/>
          <w:b/>
          <w:color w:val="000000" w:themeColor="text1"/>
          <w:sz w:val="21"/>
          <w:szCs w:val="21"/>
          <w:lang w:val="en-US"/>
        </w:rPr>
      </w:pPr>
      <w:r w:rsidRPr="006D591B">
        <w:rPr>
          <w:rFonts w:ascii="Times New Roman" w:hAnsi="Times New Roman" w:cs="Times New Roman"/>
          <w:b/>
          <w:color w:val="000000" w:themeColor="text1"/>
          <w:sz w:val="21"/>
          <w:szCs w:val="21"/>
          <w:lang w:val="en-US"/>
        </w:rPr>
        <w:lastRenderedPageBreak/>
        <w:t>Supplementary methods</w:t>
      </w:r>
    </w:p>
    <w:p w:rsidR="004D2D45" w:rsidRPr="006D591B" w:rsidRDefault="004D2D45" w:rsidP="004D2D45">
      <w:pPr>
        <w:spacing w:line="360" w:lineRule="auto"/>
        <w:rPr>
          <w:rFonts w:ascii="Times New Roman" w:hAnsi="Times New Roman" w:cs="Times New Roman"/>
          <w:b/>
          <w:color w:val="000000" w:themeColor="text1"/>
          <w:sz w:val="21"/>
          <w:szCs w:val="21"/>
          <w:lang w:val="en-US"/>
        </w:rPr>
      </w:pPr>
      <w:r w:rsidRPr="006D591B">
        <w:rPr>
          <w:rFonts w:ascii="Times New Roman" w:hAnsi="Times New Roman" w:cs="Times New Roman"/>
          <w:b/>
          <w:color w:val="000000" w:themeColor="text1"/>
          <w:sz w:val="21"/>
          <w:szCs w:val="21"/>
          <w:lang w:val="en-US"/>
        </w:rPr>
        <w:t>Study approval and patients sample collection</w:t>
      </w:r>
    </w:p>
    <w:p w:rsidR="004D2D45" w:rsidRPr="006D591B" w:rsidRDefault="004D2D45" w:rsidP="004D2D45">
      <w:pPr>
        <w:rPr>
          <w:rFonts w:ascii="Times New Roman" w:hAnsi="Times New Roman" w:cs="Times New Roman"/>
          <w:sz w:val="21"/>
          <w:szCs w:val="21"/>
        </w:rPr>
      </w:pPr>
      <w:r w:rsidRPr="006D591B">
        <w:rPr>
          <w:rFonts w:ascii="Times New Roman" w:hAnsi="Times New Roman" w:cs="Times New Roman"/>
          <w:sz w:val="21"/>
          <w:szCs w:val="21"/>
        </w:rPr>
        <w:t xml:space="preserve">The present study received ethical approval from the Research Ethics Committees of both the Naval Medical University and the Eastern Hepatobiliary Surgery Hospital. Informed consent was obtained from each participant. The acquisition of fresh patient samples for single-cell RNA sequencing (scRNA-seq) and patient-derived organoid culture was carried out at the Eastern Hepatobiliary Surgery Hospital (EHBH), located in Shanghai, China. All patient diagnoses were meticulously confirmed histologically by two independent pathologists. Detail diagnosis, tumor serum marker tests and pathological examination of patients </w:t>
      </w:r>
      <w:bookmarkStart w:id="2" w:name="OLE_LINK124"/>
      <w:r w:rsidRPr="006D591B">
        <w:rPr>
          <w:rFonts w:ascii="Times New Roman" w:hAnsi="Times New Roman" w:cs="Times New Roman"/>
          <w:sz w:val="21"/>
          <w:szCs w:val="21"/>
        </w:rPr>
        <w:t>for scRNA-seq</w:t>
      </w:r>
      <w:bookmarkEnd w:id="2"/>
      <w:r w:rsidRPr="006D591B">
        <w:rPr>
          <w:rFonts w:ascii="Times New Roman" w:hAnsi="Times New Roman" w:cs="Times New Roman"/>
          <w:sz w:val="21"/>
          <w:szCs w:val="21"/>
        </w:rPr>
        <w:t xml:space="preserve"> were shown in Supplementary Table S1.  </w:t>
      </w:r>
    </w:p>
    <w:p w:rsidR="004D2D45" w:rsidRPr="006D591B" w:rsidRDefault="004D2D45" w:rsidP="004D2D45">
      <w:pPr>
        <w:spacing w:line="360" w:lineRule="auto"/>
        <w:rPr>
          <w:rFonts w:ascii="Times New Roman" w:hAnsi="Times New Roman" w:cs="Times New Roman"/>
          <w:b/>
          <w:color w:val="000000" w:themeColor="text1"/>
          <w:sz w:val="21"/>
          <w:szCs w:val="21"/>
          <w:lang w:val="en-US"/>
        </w:rPr>
      </w:pPr>
      <w:bookmarkStart w:id="3" w:name="_Hlk173740700"/>
      <w:r w:rsidRPr="006D591B">
        <w:rPr>
          <w:rFonts w:ascii="Times New Roman" w:hAnsi="Times New Roman" w:cs="Times New Roman"/>
          <w:b/>
          <w:color w:val="000000" w:themeColor="text1"/>
          <w:sz w:val="21"/>
          <w:szCs w:val="21"/>
          <w:lang w:val="en-US"/>
        </w:rPr>
        <w:t>Single-cell RNA-seq sample preparation, library generation and sequencing</w:t>
      </w:r>
    </w:p>
    <w:p w:rsidR="004D2D45" w:rsidRPr="006D591B" w:rsidRDefault="004D2D45" w:rsidP="004D2D45">
      <w:pPr>
        <w:rPr>
          <w:rFonts w:ascii="Times New Roman" w:hAnsi="Times New Roman" w:cs="Times New Roman"/>
          <w:sz w:val="21"/>
          <w:szCs w:val="21"/>
        </w:rPr>
      </w:pPr>
      <w:r w:rsidRPr="006D591B">
        <w:rPr>
          <w:rFonts w:ascii="Times New Roman" w:hAnsi="Times New Roman" w:cs="Times New Roman"/>
          <w:sz w:val="21"/>
          <w:szCs w:val="21"/>
        </w:rPr>
        <w:t>Sample preparation, library generation and sequencing were performed as previously described and expertly handled by Shanghai Biotechnology Corporation in China</w:t>
      </w:r>
      <w:r w:rsidRPr="006D591B">
        <w:rPr>
          <w:rFonts w:ascii="Times New Roman" w:hAnsi="Times New Roman" w:cs="Times New Roman"/>
          <w:sz w:val="21"/>
          <w:szCs w:val="21"/>
        </w:rPr>
        <w:fldChar w:fldCharType="begin"/>
      </w:r>
      <w:r w:rsidRPr="006D591B">
        <w:rPr>
          <w:rFonts w:ascii="Times New Roman" w:hAnsi="Times New Roman" w:cs="Times New Roman"/>
          <w:sz w:val="21"/>
          <w:szCs w:val="21"/>
        </w:rPr>
        <w:instrText xml:space="preserve"> ADDIN ZOTERO_ITEM CSL_CITATION {"citationID":"CZ5gol4R","properties":{"formattedCitation":"\\super 1\\nosupersub{}","plainCitation":"1","noteIndex":0},"citationItems":[{"id":1745,"uris":["http://zotero.org/users/local/o5E1hp2p/items/8XYK7ZHQ"],"itemData":{"id":1745,"type":"article-journal","abstract":"Abstract\n            \n              Gallbladder carcinoma (GBC) is the most common biliary tract malignancy with the lowest survival rate, primarily arising from chronic inflammation. To better characterize the progression from inflammation to cancer to metastasis, we performed single-cell RNA sequencing across samples of 6 chronic cholecystitis, 12 treatment-naive GBCs, and 6 matched metastases. Benign epithelial cells from inflamed gallbladders displayed resting, immune-regulating, and gastrointestinal metaplastic phenotypes. A small amount of\n              PLA2G2A\n              +\n              epithelial cells with copy number variation were identified from a histologically benign sample. We validated significant overexpression of PLA2G2A across in situ GBCs, together with increased proliferation and cancer stemness in\n              PLA2G2A\n              -overexpressing GBC cells, indicating an important role for\n              PLA2G2A\n              during early carcinogenesis. Malignant epithelial cells displayed pervasive cancer hallmarks and cellular plasticity, differentiating into metaplastic, inflammatory, and mesenchymal subtypes with distinct transcriptomic, genomic, and prognostic patterns. Chronic cholecystitis led to an adapted microenvironment characterized by MDSC-like macrophages, CD8\n              +\n              T\n              RM\n              cells, and\n              CCL2\n              +\n              immunity-regulating fibroblasts. By contrast, GBC instigated an aggressive and immunosuppressive microenvironment, featured by tumor-associated macrophages, Treg cells, CD8\n              +\n              T\n              EX\n              cells, and\n              STMN1\n              +\n              tumor-promoting fibroblasts. Single-cell and bulk RNA-seq profiles consistently showed a more suppressive immune milieu for GBCs with inflammatory epithelial signatures, coupled with strengthened epithelial-immune crosstalk. We further pinpointed a subset of senescence-like fibroblasts (\n              FN1\n              +\n              TGM2\n              +\n              ) preferentially enriched in metastatic lesions, which promoted GBC migration and invasion via their secretory phenotype. Collectively, this study provides comprehensive insights into epithelial and microenvironmental reprogramming throughout cholecystitis-propelled carcinogenesis and metastasis, laying a new foundation for the precision therapy of GBC.","container-title":"Cell Discovery","DOI":"10.1038/s41421-022-00445-8","ISSN":"2056-5968","issue":"1","journalAbbreviation":"Cell Discov","language":"en","page":"101","source":"DOI.org (Crossref)","title":"Single-cell dissection of remodeled inflammatory ecosystem in primary and metastatic gallbladder carcinoma","volume":"8","author":[{"family":"Wang","given":"Xiang"},{"family":"Liu","given":"Chunliang"},{"family":"Chen","given":"Jianan"},{"family":"Chen","given":"Lei"},{"family":"Ren","given":"Xianwen"},{"family":"Hou","given":"Minghui"},{"family":"Cui","given":"Xiuliang"},{"family":"Jiang","given":"Youhai"},{"family":"Liu","given":"Erdong"},{"family":"Zong","given":"Yali"},{"family":"Duan","given":"Anqi"},{"family":"Fu","given":"Xiaohui"},{"family":"Yu","given":"Wenlong"},{"family":"Zhao","given":"Xiaofang"},{"family":"Yang","given":"Zhao"},{"family":"Zhang","given":"Yongjie"},{"family":"Fu","given":"Jing"},{"family":"Wang","given":"Hongyang"}],"issued":{"date-parts":[["2022",10,5]]}}}],"schema":"https://github.com/citation-style-language/schema/raw/master/csl-citation.json"} </w:instrText>
      </w:r>
      <w:r w:rsidRPr="006D591B">
        <w:rPr>
          <w:rFonts w:ascii="Times New Roman" w:hAnsi="Times New Roman" w:cs="Times New Roman"/>
          <w:sz w:val="21"/>
          <w:szCs w:val="21"/>
        </w:rPr>
        <w:fldChar w:fldCharType="separate"/>
      </w:r>
      <w:r w:rsidRPr="006D591B">
        <w:rPr>
          <w:rFonts w:ascii="Times New Roman" w:hAnsi="Times New Roman" w:cs="Times New Roman"/>
          <w:sz w:val="21"/>
          <w:szCs w:val="21"/>
          <w:vertAlign w:val="superscript"/>
        </w:rPr>
        <w:t>1</w:t>
      </w:r>
      <w:r w:rsidRPr="006D591B">
        <w:rPr>
          <w:rFonts w:ascii="Times New Roman" w:hAnsi="Times New Roman" w:cs="Times New Roman"/>
          <w:sz w:val="21"/>
          <w:szCs w:val="21"/>
        </w:rPr>
        <w:fldChar w:fldCharType="end"/>
      </w:r>
      <w:r w:rsidRPr="006D591B">
        <w:rPr>
          <w:rFonts w:ascii="Times New Roman" w:hAnsi="Times New Roman" w:cs="Times New Roman"/>
          <w:sz w:val="21"/>
          <w:szCs w:val="21"/>
        </w:rPr>
        <w:t>. In brief, tissues were minced and transferred into 15mL tube with 5mL digestion buffer (0.25% trypsin (ThermoFisher, 14190144) and 10 μg/mL DNase I (Sigma, 11284932001) dissolved in PBS with 5% FBS (ThermoFisher, SV30087.02)). The 15 mL tube was incubated in 37</w:t>
      </w:r>
      <w:r w:rsidRPr="006D591B">
        <w:rPr>
          <w:rFonts w:ascii="Times New Roman" w:eastAsia="宋体" w:hAnsi="Times New Roman" w:cs="Times New Roman"/>
          <w:sz w:val="21"/>
          <w:szCs w:val="21"/>
        </w:rPr>
        <w:t>℃</w:t>
      </w:r>
      <w:r w:rsidRPr="006D591B">
        <w:rPr>
          <w:rFonts w:ascii="Times New Roman" w:hAnsi="Times New Roman" w:cs="Times New Roman"/>
          <w:sz w:val="21"/>
          <w:szCs w:val="21"/>
        </w:rPr>
        <w:t xml:space="preserve"> with a shaking speed of 50 rpm for about 40 min; repeatedly collected dissociated cells at an interval of 20 min; filtered by a 40 μm nylon cell strainer; removed red blood cells by 1× Red Blood Cell Lysis Solution (ThermoFisher, 00-4333-57); washed with DPBS containing 2% FBS. The viability of cells would be checked on Countess® II Automated Cell Counter after trypan blue staining (ThermoFisher, 14190144).</w:t>
      </w:r>
    </w:p>
    <w:p w:rsidR="004D2D45" w:rsidRPr="006D591B" w:rsidRDefault="004D2D45" w:rsidP="004D2D45">
      <w:pPr>
        <w:rPr>
          <w:rFonts w:ascii="Times New Roman" w:hAnsi="Times New Roman" w:cs="Times New Roman"/>
          <w:sz w:val="21"/>
          <w:szCs w:val="21"/>
        </w:rPr>
      </w:pPr>
      <w:r w:rsidRPr="006D591B">
        <w:rPr>
          <w:rFonts w:ascii="Times New Roman" w:hAnsi="Times New Roman" w:cs="Times New Roman"/>
          <w:sz w:val="21"/>
          <w:szCs w:val="21"/>
        </w:rPr>
        <w:t>To guarantee that each cell was effectively coupled with a bead in a Gel Beads-in Emulsion (GEM), we saturated the 10× library preparation and sequencing beads with unique molecular identifiers (UMIs) and cell-specific barcodes. Polyadenylated RNA molecules hybridized to these beads after being exposed to a cell lysis buffer. The beads were then collected into a single tube for reverse transcription. During cDNA synthesis, each cDNA molecule was labeled at the 5’ end with an UMI and a cell label to indicate its source cell. The process involved 10x beads undergoing second-strand cDNA synthesis, adaptor ligation, and universal amplification. Sequencing libraries were prepared using randomly fragmented whole-transcriptome amplification products to enhance the 3’ end of the transcripts linked with the cell barcode and UMI. Subsequent steps, including library construction, were carried out according to the manufacturer’s standard protocol (CG000206 RevD). The sequencing libraries were quantified using a High Sensitivity DNA Chip on a Bioanalyzer 2100and the Qubit High Sensitivity DNA Assay. The libraries were then sequenced on the NovaSeq6000 platform with 2 × 150 chemistry.</w:t>
      </w:r>
    </w:p>
    <w:bookmarkEnd w:id="3"/>
    <w:p w:rsidR="004D2D45" w:rsidRPr="006D591B" w:rsidRDefault="004D2D45" w:rsidP="004D2D45">
      <w:pPr>
        <w:spacing w:line="360" w:lineRule="auto"/>
        <w:rPr>
          <w:rFonts w:ascii="Times New Roman" w:hAnsi="Times New Roman" w:cs="Times New Roman"/>
          <w:b/>
          <w:color w:val="000000" w:themeColor="text1"/>
          <w:sz w:val="21"/>
          <w:szCs w:val="21"/>
          <w:lang w:val="en-US"/>
        </w:rPr>
      </w:pPr>
      <w:r w:rsidRPr="006D591B">
        <w:rPr>
          <w:rFonts w:ascii="Times New Roman" w:hAnsi="Times New Roman" w:cs="Times New Roman"/>
          <w:b/>
          <w:color w:val="000000" w:themeColor="text1"/>
          <w:sz w:val="21"/>
          <w:szCs w:val="21"/>
          <w:lang w:val="en-US"/>
        </w:rPr>
        <w:lastRenderedPageBreak/>
        <w:t>In-house Single-cell RNA sequencing data analysis and cell type annotation</w:t>
      </w:r>
    </w:p>
    <w:p w:rsidR="004D2D45" w:rsidRPr="006D591B" w:rsidRDefault="004D2D45" w:rsidP="004D2D45">
      <w:pPr>
        <w:rPr>
          <w:rFonts w:ascii="Times New Roman" w:hAnsi="Times New Roman" w:cs="Times New Roman"/>
          <w:sz w:val="21"/>
          <w:szCs w:val="21"/>
        </w:rPr>
      </w:pPr>
      <w:r w:rsidRPr="006D591B">
        <w:rPr>
          <w:rFonts w:ascii="Times New Roman" w:hAnsi="Times New Roman" w:cs="Times New Roman"/>
          <w:sz w:val="21"/>
          <w:szCs w:val="21"/>
        </w:rPr>
        <w:t>Single-cell RNA sequencing data were processed and quantified using Cell Ranger (version 5.0.0) against the human reference genome GRCh38. Following this, the filtered expression matrices were analyzed using the Seurat package (version 4.</w:t>
      </w:r>
      <w:r w:rsidR="00DF0899">
        <w:rPr>
          <w:rFonts w:ascii="Times New Roman" w:hAnsi="Times New Roman" w:cs="Times New Roman" w:hint="eastAsia"/>
          <w:sz w:val="21"/>
          <w:szCs w:val="21"/>
          <w:lang w:eastAsia="zh-CN"/>
        </w:rPr>
        <w:t>0.2</w:t>
      </w:r>
      <w:r w:rsidRPr="006D591B">
        <w:rPr>
          <w:rFonts w:ascii="Times New Roman" w:hAnsi="Times New Roman" w:cs="Times New Roman"/>
          <w:sz w:val="21"/>
          <w:szCs w:val="21"/>
        </w:rPr>
        <w:t>) within R software (version 4.</w:t>
      </w:r>
      <w:r w:rsidR="00DF0899">
        <w:rPr>
          <w:rFonts w:ascii="Times New Roman" w:hAnsi="Times New Roman" w:cs="Times New Roman" w:hint="eastAsia"/>
          <w:sz w:val="21"/>
          <w:szCs w:val="21"/>
          <w:lang w:eastAsia="zh-CN"/>
        </w:rPr>
        <w:t>0</w:t>
      </w:r>
      <w:r w:rsidRPr="006D591B">
        <w:rPr>
          <w:rFonts w:ascii="Times New Roman" w:hAnsi="Times New Roman" w:cs="Times New Roman"/>
          <w:sz w:val="21"/>
          <w:szCs w:val="21"/>
        </w:rPr>
        <w:t>.3)</w:t>
      </w:r>
      <w:r w:rsidR="00520783">
        <w:rPr>
          <w:rFonts w:ascii="Times New Roman" w:hAnsi="Times New Roman" w:cs="Times New Roman"/>
          <w:sz w:val="21"/>
          <w:szCs w:val="21"/>
        </w:rPr>
        <w:fldChar w:fldCharType="begin"/>
      </w:r>
      <w:r w:rsidR="00520783">
        <w:rPr>
          <w:rFonts w:ascii="Times New Roman" w:hAnsi="Times New Roman" w:cs="Times New Roman"/>
          <w:sz w:val="21"/>
          <w:szCs w:val="21"/>
        </w:rPr>
        <w:instrText xml:space="preserve"> ADDIN ZOTERO_ITEM CSL_CITATION {"citationID":"C3O6wKAX","properties":{"formattedCitation":"\\super 2\\nosupersub{}","plainCitation":"2","noteIndex":0},"citationItems":[{"id":2795,"uris":["http://zotero.org/users/local/o5E1hp2p/items/XBM7UB69"],"itemData":{"id":2795,"type":"article-journal","abstract":"&lt;h2&gt;Summary&lt;/h2&gt;&lt;p&gt;The simultaneous measurement of multiple modalities represents an exciting frontier for single-cell genomics and necessitates computational methods that can define cellular states based on multimodal data. Here, we introduce \"weighted-nearest neighbor\" analysis, an unsupervised framework to learn the relative utility of each data type in each cell, enabling an integrative analysis of multiple modalities. We apply our procedure to a CITE-seq dataset of 211,000 human peripheral blood mononuclear cells (PBMCs) with panels extending to 228 antibodies to construct a multimodal reference atlas of the circulating immune system. Multimodal analysis substantially improves our ability to resolve cell states, allowing us to identify and validate previously unreported lymphoid subpopulations. Moreover, we demonstrate how to leverage this reference to rapidly map new datasets and to interpret immune responses to vaccination and coronavirus disease 2019 (COVID-19). Our approach represents a broadly applicable strategy to analyze single-cell multimodal datasets and to look beyond the transcriptome toward a unified and multimodal definition of cellular identity.&lt;/p&gt;","container-title":"Cell","DOI":"10.1016/j.cell.2021.04.048","ISSN":"0092-8674, 1097-4172","issue":"13","journalAbbreviation":"Cell","language":"English","note":"publisher: Elsevier\nPMID: 34062119","page":"3573-3587.e29","source":"www.cell.com","title":"Integrated analysis of multimodal single-cell data","volume":"184","author":[{"family":"Hao","given":"Yuhan"},{"family":"Hao","given":"Stephanie"},{"family":"Andersen-Nissen","given":"Erica"},{"family":"Mauck","given":"William M."},{"family":"Zheng","given":"Shiwei"},{"family":"Butler","given":"Andrew"},{"family":"Lee","given":"Maddie J."},{"family":"Wilk","given":"Aaron J."},{"family":"Darby","given":"Charlotte"},{"family":"Zager","given":"Michael"},{"family":"Hoffman","given":"Paul"},{"family":"Stoeckius","given":"Marlon"},{"family":"Papalexi","given":"Efthymia"},{"family":"Mimitou","given":"Eleni P."},{"family":"Jain","given":"Jaison"},{"family":"Srivastava","given":"Avi"},{"family":"Stuart","given":"Tim"},{"family":"Fleming","given":"Lamar M."},{"family":"Yeung","given":"Bertrand"},{"family":"Rogers","given":"Angela J."},{"family":"McElrath","given":"Juliana M."},{"family":"Blish","given":"Catherine A."},{"family":"Gottardo","given":"Raphael"},{"family":"Smibert","given":"Peter"},{"family":"Satija","given":"Rahul"}],"issued":{"date-parts":[["2021",6,24]]}}}],"schema":"https://github.com/citation-style-language/schema/raw/master/csl-citation.json"} </w:instrText>
      </w:r>
      <w:r w:rsidR="00520783">
        <w:rPr>
          <w:rFonts w:ascii="Times New Roman" w:hAnsi="Times New Roman" w:cs="Times New Roman"/>
          <w:sz w:val="21"/>
          <w:szCs w:val="21"/>
        </w:rPr>
        <w:fldChar w:fldCharType="separate"/>
      </w:r>
      <w:r w:rsidR="00520783" w:rsidRPr="00520783">
        <w:rPr>
          <w:rFonts w:ascii="Times New Roman" w:hAnsi="Times New Roman" w:cs="Times New Roman"/>
          <w:sz w:val="21"/>
          <w:vertAlign w:val="superscript"/>
        </w:rPr>
        <w:t>2</w:t>
      </w:r>
      <w:r w:rsidR="00520783">
        <w:rPr>
          <w:rFonts w:ascii="Times New Roman" w:hAnsi="Times New Roman" w:cs="Times New Roman"/>
          <w:sz w:val="21"/>
          <w:szCs w:val="21"/>
        </w:rPr>
        <w:fldChar w:fldCharType="end"/>
      </w:r>
      <w:r w:rsidRPr="006D591B">
        <w:rPr>
          <w:rFonts w:ascii="Times New Roman" w:hAnsi="Times New Roman" w:cs="Times New Roman"/>
          <w:sz w:val="21"/>
          <w:szCs w:val="21"/>
        </w:rPr>
        <w:t>. Initially, genes expressed in less than three cells and cells with fewer than 200 expressed genes were removed. Low-quality cells were identified based on three criteria: (1) total counts between 200 and 8,000, (2) detection of more than 200 genes, (3) less than 20% of genes derived from the mitochondrial genome, and (4) less 60% of genes from ribosome. After the removal of low-quality cells, downstream analysis was conducted using the sctransform</w:t>
      </w:r>
      <w:r w:rsidR="00DF0899">
        <w:rPr>
          <w:rFonts w:ascii="Times New Roman" w:hAnsi="Times New Roman" w:cs="Times New Roman" w:hint="eastAsia"/>
          <w:sz w:val="21"/>
          <w:szCs w:val="21"/>
          <w:lang w:eastAsia="zh-CN"/>
        </w:rPr>
        <w:t xml:space="preserve"> </w:t>
      </w:r>
      <w:r w:rsidRPr="006D591B">
        <w:rPr>
          <w:rFonts w:ascii="Times New Roman" w:hAnsi="Times New Roman" w:cs="Times New Roman"/>
          <w:sz w:val="21"/>
          <w:szCs w:val="21"/>
        </w:rPr>
        <w:t>and harmony</w:t>
      </w:r>
      <w:r w:rsidR="00CE5892">
        <w:rPr>
          <w:rFonts w:ascii="Times New Roman" w:hAnsi="Times New Roman" w:cs="Times New Roman" w:hint="eastAsia"/>
          <w:sz w:val="21"/>
          <w:szCs w:val="21"/>
          <w:lang w:eastAsia="zh-CN"/>
        </w:rPr>
        <w:t xml:space="preserve"> </w:t>
      </w:r>
      <w:r w:rsidRPr="006D591B">
        <w:rPr>
          <w:rFonts w:ascii="Times New Roman" w:hAnsi="Times New Roman" w:cs="Times New Roman"/>
          <w:sz w:val="21"/>
          <w:szCs w:val="21"/>
        </w:rPr>
        <w:t>pipelines within Seurat</w:t>
      </w:r>
      <w:r w:rsidR="00520783">
        <w:rPr>
          <w:rFonts w:ascii="Times New Roman" w:hAnsi="Times New Roman" w:cs="Times New Roman"/>
          <w:sz w:val="21"/>
          <w:szCs w:val="21"/>
        </w:rPr>
        <w:fldChar w:fldCharType="begin"/>
      </w:r>
      <w:r w:rsidR="00D21DBA">
        <w:rPr>
          <w:rFonts w:ascii="Times New Roman" w:hAnsi="Times New Roman" w:cs="Times New Roman"/>
          <w:sz w:val="21"/>
          <w:szCs w:val="21"/>
        </w:rPr>
        <w:instrText xml:space="preserve"> ADDIN ZOTERO_ITEM CSL_CITATION {"citationID":"jlGXbcBB","properties":{"formattedCitation":"\\super 3,4\\nosupersub{}","plainCitation":"3,4","noteIndex":0},"citationItems":[{"id":2832,"uris":["http://zotero.org/users/local/o5E1hp2p/items/D3RZ725I"],"itemData":{"id":2832,"type":"article-journal","abstract":"Single-cell RNA-seq (scRNA-seq) data exhibits significant cell-to-cell variation due to technical factors, including the number of molecules detected in each cell, which can confound biological heterogeneity with technical effects. To address this, we present a modeling framework for the normalization and variance stabilization of molecular count data from scRNA-seq experiments. We propose that the Pearson residuals from “regularized negative binomial regression,” where cellular sequencing depth is utilized as a covariate in a generalized linear model, successfully remove the influence of technical characteristics from downstream analyses while preserving biological heterogeneity. Importantly, we show that an unconstrained negative binomial model may overfit scRNA-seq data, and overcome this by pooling information across genes with similar abundances to obtain stable parameter estimates. Our procedure omits the need for heuristic steps including pseudocount addition or log-transformation and improves common downstream analytical tasks such as variable gene selection, dimensional reduction, and differential expression. Our approach can be applied to any UMI-based scRNA-seq dataset and is freely available as part of the R package sctransform, with a direct interface to our single-cell toolkit Seurat.","container-title":"Genome Biology","DOI":"10.1186/s13059-019-1874-1","ISSN":"1474-760X","issue":"1","journalAbbreviation":"Genome Biology","page":"296","source":"BioMed Central","title":"Normalization and variance stabilization of single-cell RNA-seq data using regularized negative binomial regression","volume":"20","author":[{"family":"Hafemeister","given":"Christoph"},{"family":"Satija","given":"Rahul"}],"issued":{"date-parts":[["2019",12,23]]}}},{"id":2801,"uris":["http://zotero.org/users/local/o5E1hp2p/items/RMY5LMRX"],"itemData":{"id":2801,"type":"article-journal","abstract":"The emerging diversity of single-cell RNA-seq datasets allows for the full transcriptional characterization of cell types across a wide variety of biological and clinical conditions. However, it is challenging to analyze them together, particularly when datasets are assayed with different technologies, because biological and technical differences are interspersed. We present Harmony (https://github.com/immunogenomics/harmony), an algorithm that projects cells into a shared embedding in which cells group by cell type rather than dataset-specific conditions. Harmony simultaneously accounts for multiple experimental and biological factors. In six analyses, we demonstrate the superior performance of Harmony to previously published algorithms while requiring fewer computational resources. Harmony enables the integration of ~106 cells on a personal computer. We apply Harmony to peripheral blood mononuclear cells from datasets with large experimental differences, five studies of pancreatic islet cells, mouse embryogenesis datasets and the integration of scRNA-seq with spatial transcriptomics data.","container-title":"Nature Methods","DOI":"10.1038/s41592-019-0619-0","ISSN":"1548-7105","issue":"12","journalAbbreviation":"Nat Methods","language":"en","license":"2019 The Author(s), under exclusive licence to Springer Nature America, Inc.","note":"publisher: Nature Publishing Group","page":"1289-1296","source":"www.nature.com","title":"Fast, sensitive and accurate integration of single-cell data with Harmony","volume":"16","author":[{"family":"Korsunsky","given":"Ilya"},{"family":"Millard","given":"Nghia"},{"family":"Fan","given":"Jean"},{"family":"Slowikowski","given":"Kamil"},{"family":"Zhang","given":"Fan"},{"family":"Wei","given":"Kevin"},{"family":"Baglaenko","given":"Yuriy"},{"family":"Brenner","given":"Michael"},{"family":"Loh","given":"Po-ru"},{"family":"Raychaudhuri","given":"Soumya"}],"issued":{"date-parts":[["2019",12]]}}}],"schema":"https://github.com/citation-style-language/schema/raw/master/csl-citation.json"} </w:instrText>
      </w:r>
      <w:r w:rsidR="00520783">
        <w:rPr>
          <w:rFonts w:ascii="Times New Roman" w:hAnsi="Times New Roman" w:cs="Times New Roman"/>
          <w:sz w:val="21"/>
          <w:szCs w:val="21"/>
        </w:rPr>
        <w:fldChar w:fldCharType="separate"/>
      </w:r>
      <w:r w:rsidR="00D21DBA" w:rsidRPr="00D21DBA">
        <w:rPr>
          <w:rFonts w:ascii="Times New Roman" w:hAnsi="Times New Roman" w:cs="Times New Roman"/>
          <w:sz w:val="21"/>
          <w:vertAlign w:val="superscript"/>
        </w:rPr>
        <w:t>3,4</w:t>
      </w:r>
      <w:r w:rsidR="00520783">
        <w:rPr>
          <w:rFonts w:ascii="Times New Roman" w:hAnsi="Times New Roman" w:cs="Times New Roman"/>
          <w:sz w:val="21"/>
          <w:szCs w:val="21"/>
        </w:rPr>
        <w:fldChar w:fldCharType="end"/>
      </w:r>
      <w:r w:rsidRPr="006D591B">
        <w:rPr>
          <w:rFonts w:ascii="Times New Roman" w:hAnsi="Times New Roman" w:cs="Times New Roman"/>
          <w:sz w:val="21"/>
          <w:szCs w:val="21"/>
        </w:rPr>
        <w:t>. This involved normalizing the data with the SCTransform function using default parameters, followed by dimension reduction with the top 15 principal components (PCs). Integration was achieved through RunHarmony, and the data was visualized using UMAP with a reduction of 15 PCs. Clustering was performed with a resolution of 0.5.</w:t>
      </w:r>
    </w:p>
    <w:p w:rsidR="004D2D45" w:rsidRPr="006D591B" w:rsidRDefault="004D2D45" w:rsidP="004D2D45">
      <w:pPr>
        <w:rPr>
          <w:rFonts w:ascii="Times New Roman" w:hAnsi="Times New Roman" w:cs="Times New Roman"/>
          <w:sz w:val="21"/>
          <w:szCs w:val="21"/>
        </w:rPr>
      </w:pPr>
      <w:r w:rsidRPr="006D591B">
        <w:rPr>
          <w:rFonts w:ascii="Times New Roman" w:hAnsi="Times New Roman" w:cs="Times New Roman"/>
          <w:sz w:val="21"/>
          <w:szCs w:val="21"/>
        </w:rPr>
        <w:t xml:space="preserve">To annotate the major cell types within our datasets, we employed the FindAllMarkers function to determine the differentially expressed genes for each cluster. Subsequently, we manually identified the cell types based on classical marker genes, such as </w:t>
      </w:r>
      <w:r w:rsidRPr="006D591B">
        <w:rPr>
          <w:rFonts w:ascii="Times New Roman" w:hAnsi="Times New Roman" w:cs="Times New Roman"/>
          <w:i/>
          <w:iCs/>
          <w:sz w:val="21"/>
          <w:szCs w:val="21"/>
        </w:rPr>
        <w:t>EPCAM</w:t>
      </w:r>
      <w:r w:rsidRPr="006D591B">
        <w:rPr>
          <w:rFonts w:ascii="Times New Roman" w:hAnsi="Times New Roman" w:cs="Times New Roman"/>
          <w:sz w:val="21"/>
          <w:szCs w:val="21"/>
        </w:rPr>
        <w:t xml:space="preserve"> and </w:t>
      </w:r>
      <w:r w:rsidRPr="006D591B">
        <w:rPr>
          <w:rFonts w:ascii="Times New Roman" w:hAnsi="Times New Roman" w:cs="Times New Roman"/>
          <w:i/>
          <w:iCs/>
          <w:sz w:val="21"/>
          <w:szCs w:val="21"/>
        </w:rPr>
        <w:t>KRT19</w:t>
      </w:r>
      <w:r w:rsidRPr="006D591B">
        <w:rPr>
          <w:rFonts w:ascii="Times New Roman" w:hAnsi="Times New Roman" w:cs="Times New Roman"/>
          <w:sz w:val="21"/>
          <w:szCs w:val="21"/>
        </w:rPr>
        <w:t xml:space="preserve"> for epithelial cells, </w:t>
      </w:r>
      <w:r w:rsidRPr="006D591B">
        <w:rPr>
          <w:rFonts w:ascii="Times New Roman" w:hAnsi="Times New Roman" w:cs="Times New Roman"/>
          <w:i/>
          <w:iCs/>
          <w:sz w:val="21"/>
          <w:szCs w:val="21"/>
        </w:rPr>
        <w:t>PECAM1</w:t>
      </w:r>
      <w:r w:rsidRPr="006D591B">
        <w:rPr>
          <w:rFonts w:ascii="Times New Roman" w:hAnsi="Times New Roman" w:cs="Times New Roman"/>
          <w:sz w:val="21"/>
          <w:szCs w:val="21"/>
        </w:rPr>
        <w:t xml:space="preserve">, </w:t>
      </w:r>
      <w:r w:rsidRPr="006D591B">
        <w:rPr>
          <w:rFonts w:ascii="Times New Roman" w:hAnsi="Times New Roman" w:cs="Times New Roman"/>
          <w:i/>
          <w:iCs/>
          <w:sz w:val="21"/>
          <w:szCs w:val="21"/>
        </w:rPr>
        <w:t>VWF</w:t>
      </w:r>
      <w:r w:rsidRPr="006D591B">
        <w:rPr>
          <w:rFonts w:ascii="Times New Roman" w:hAnsi="Times New Roman" w:cs="Times New Roman"/>
          <w:sz w:val="21"/>
          <w:szCs w:val="21"/>
        </w:rPr>
        <w:t xml:space="preserve">, and </w:t>
      </w:r>
      <w:r w:rsidRPr="006D591B">
        <w:rPr>
          <w:rFonts w:ascii="Times New Roman" w:hAnsi="Times New Roman" w:cs="Times New Roman"/>
          <w:i/>
          <w:iCs/>
          <w:sz w:val="21"/>
          <w:szCs w:val="21"/>
        </w:rPr>
        <w:t>CD34</w:t>
      </w:r>
      <w:r w:rsidRPr="006D591B">
        <w:rPr>
          <w:rFonts w:ascii="Times New Roman" w:hAnsi="Times New Roman" w:cs="Times New Roman"/>
          <w:sz w:val="21"/>
          <w:szCs w:val="21"/>
        </w:rPr>
        <w:t xml:space="preserve"> for endothelial cells, </w:t>
      </w:r>
      <w:r w:rsidRPr="006D591B">
        <w:rPr>
          <w:rFonts w:ascii="Times New Roman" w:hAnsi="Times New Roman" w:cs="Times New Roman"/>
          <w:i/>
          <w:iCs/>
          <w:sz w:val="21"/>
          <w:szCs w:val="21"/>
        </w:rPr>
        <w:t>LUM</w:t>
      </w:r>
      <w:r w:rsidRPr="006D591B">
        <w:rPr>
          <w:rFonts w:ascii="Times New Roman" w:hAnsi="Times New Roman" w:cs="Times New Roman"/>
          <w:sz w:val="21"/>
          <w:szCs w:val="21"/>
        </w:rPr>
        <w:t xml:space="preserve">, </w:t>
      </w:r>
      <w:r w:rsidRPr="006D591B">
        <w:rPr>
          <w:rFonts w:ascii="Times New Roman" w:hAnsi="Times New Roman" w:cs="Times New Roman"/>
          <w:i/>
          <w:iCs/>
          <w:sz w:val="21"/>
          <w:szCs w:val="21"/>
        </w:rPr>
        <w:t>COL1A1</w:t>
      </w:r>
      <w:r w:rsidRPr="006D591B">
        <w:rPr>
          <w:rFonts w:ascii="Times New Roman" w:hAnsi="Times New Roman" w:cs="Times New Roman"/>
          <w:sz w:val="21"/>
          <w:szCs w:val="21"/>
        </w:rPr>
        <w:t xml:space="preserve">, and </w:t>
      </w:r>
      <w:r w:rsidRPr="006D591B">
        <w:rPr>
          <w:rFonts w:ascii="Times New Roman" w:hAnsi="Times New Roman" w:cs="Times New Roman"/>
          <w:i/>
          <w:iCs/>
          <w:sz w:val="21"/>
          <w:szCs w:val="21"/>
        </w:rPr>
        <w:t>COL1A2</w:t>
      </w:r>
      <w:r w:rsidRPr="006D591B">
        <w:rPr>
          <w:rFonts w:ascii="Times New Roman" w:hAnsi="Times New Roman" w:cs="Times New Roman"/>
          <w:sz w:val="21"/>
          <w:szCs w:val="21"/>
        </w:rPr>
        <w:t xml:space="preserve"> for mesenchymal cells, </w:t>
      </w:r>
      <w:r w:rsidRPr="006D591B">
        <w:rPr>
          <w:rFonts w:ascii="Times New Roman" w:hAnsi="Times New Roman" w:cs="Times New Roman"/>
          <w:i/>
          <w:iCs/>
          <w:sz w:val="21"/>
          <w:szCs w:val="21"/>
        </w:rPr>
        <w:t>S100B</w:t>
      </w:r>
      <w:r w:rsidRPr="006D591B">
        <w:rPr>
          <w:rFonts w:ascii="Times New Roman" w:hAnsi="Times New Roman" w:cs="Times New Roman"/>
          <w:sz w:val="21"/>
          <w:szCs w:val="21"/>
        </w:rPr>
        <w:t xml:space="preserve">, </w:t>
      </w:r>
      <w:r w:rsidRPr="006D591B">
        <w:rPr>
          <w:rFonts w:ascii="Times New Roman" w:hAnsi="Times New Roman" w:cs="Times New Roman"/>
          <w:i/>
          <w:iCs/>
          <w:sz w:val="21"/>
          <w:szCs w:val="21"/>
        </w:rPr>
        <w:t>GAP43</w:t>
      </w:r>
      <w:r w:rsidRPr="006D591B">
        <w:rPr>
          <w:rFonts w:ascii="Times New Roman" w:hAnsi="Times New Roman" w:cs="Times New Roman"/>
          <w:sz w:val="21"/>
          <w:szCs w:val="21"/>
        </w:rPr>
        <w:t xml:space="preserve">, </w:t>
      </w:r>
      <w:r w:rsidRPr="006D591B">
        <w:rPr>
          <w:rFonts w:ascii="Times New Roman" w:hAnsi="Times New Roman" w:cs="Times New Roman"/>
          <w:i/>
          <w:iCs/>
          <w:sz w:val="21"/>
          <w:szCs w:val="21"/>
        </w:rPr>
        <w:t>NCAM1</w:t>
      </w:r>
      <w:r w:rsidRPr="006D591B">
        <w:rPr>
          <w:rFonts w:ascii="Times New Roman" w:hAnsi="Times New Roman" w:cs="Times New Roman"/>
          <w:sz w:val="21"/>
          <w:szCs w:val="21"/>
        </w:rPr>
        <w:t xml:space="preserve">, and </w:t>
      </w:r>
      <w:r w:rsidRPr="006D591B">
        <w:rPr>
          <w:rFonts w:ascii="Times New Roman" w:hAnsi="Times New Roman" w:cs="Times New Roman"/>
          <w:i/>
          <w:iCs/>
          <w:sz w:val="21"/>
          <w:szCs w:val="21"/>
        </w:rPr>
        <w:t>NGFR</w:t>
      </w:r>
      <w:r w:rsidRPr="006D591B">
        <w:rPr>
          <w:rFonts w:ascii="Times New Roman" w:hAnsi="Times New Roman" w:cs="Times New Roman"/>
          <w:sz w:val="21"/>
          <w:szCs w:val="21"/>
        </w:rPr>
        <w:t xml:space="preserve"> for Schwann cells, </w:t>
      </w:r>
      <w:r w:rsidRPr="006D591B">
        <w:rPr>
          <w:rFonts w:ascii="Times New Roman" w:hAnsi="Times New Roman" w:cs="Times New Roman"/>
          <w:i/>
          <w:iCs/>
          <w:sz w:val="21"/>
          <w:szCs w:val="21"/>
        </w:rPr>
        <w:t>CD163</w:t>
      </w:r>
      <w:r w:rsidRPr="006D591B">
        <w:rPr>
          <w:rFonts w:ascii="Times New Roman" w:hAnsi="Times New Roman" w:cs="Times New Roman"/>
          <w:sz w:val="21"/>
          <w:szCs w:val="21"/>
        </w:rPr>
        <w:t xml:space="preserve">, </w:t>
      </w:r>
      <w:r w:rsidRPr="006D591B">
        <w:rPr>
          <w:rFonts w:ascii="Times New Roman" w:hAnsi="Times New Roman" w:cs="Times New Roman"/>
          <w:i/>
          <w:iCs/>
          <w:sz w:val="21"/>
          <w:szCs w:val="21"/>
        </w:rPr>
        <w:t>CD68</w:t>
      </w:r>
      <w:r w:rsidRPr="006D591B">
        <w:rPr>
          <w:rFonts w:ascii="Times New Roman" w:hAnsi="Times New Roman" w:cs="Times New Roman"/>
          <w:sz w:val="21"/>
          <w:szCs w:val="21"/>
        </w:rPr>
        <w:t xml:space="preserve">, and </w:t>
      </w:r>
      <w:r w:rsidRPr="006D591B">
        <w:rPr>
          <w:rFonts w:ascii="Times New Roman" w:hAnsi="Times New Roman" w:cs="Times New Roman"/>
          <w:i/>
          <w:iCs/>
          <w:sz w:val="21"/>
          <w:szCs w:val="21"/>
        </w:rPr>
        <w:t>CD14</w:t>
      </w:r>
      <w:r w:rsidRPr="006D591B">
        <w:rPr>
          <w:rFonts w:ascii="Times New Roman" w:hAnsi="Times New Roman" w:cs="Times New Roman"/>
          <w:sz w:val="21"/>
          <w:szCs w:val="21"/>
        </w:rPr>
        <w:t xml:space="preserve"> for myeloid cells, </w:t>
      </w:r>
      <w:r w:rsidRPr="006D591B">
        <w:rPr>
          <w:rFonts w:ascii="Times New Roman" w:hAnsi="Times New Roman" w:cs="Times New Roman"/>
          <w:i/>
          <w:iCs/>
          <w:sz w:val="21"/>
          <w:szCs w:val="21"/>
        </w:rPr>
        <w:t>CD79A</w:t>
      </w:r>
      <w:r w:rsidRPr="006D591B">
        <w:rPr>
          <w:rFonts w:ascii="Times New Roman" w:hAnsi="Times New Roman" w:cs="Times New Roman"/>
          <w:sz w:val="21"/>
          <w:szCs w:val="21"/>
        </w:rPr>
        <w:t xml:space="preserve"> and </w:t>
      </w:r>
      <w:r w:rsidRPr="006D591B">
        <w:rPr>
          <w:rFonts w:ascii="Times New Roman" w:hAnsi="Times New Roman" w:cs="Times New Roman"/>
          <w:i/>
          <w:iCs/>
          <w:sz w:val="21"/>
          <w:szCs w:val="21"/>
        </w:rPr>
        <w:t>MS4A1</w:t>
      </w:r>
      <w:r w:rsidRPr="006D591B">
        <w:rPr>
          <w:rFonts w:ascii="Times New Roman" w:hAnsi="Times New Roman" w:cs="Times New Roman"/>
          <w:sz w:val="21"/>
          <w:szCs w:val="21"/>
        </w:rPr>
        <w:t xml:space="preserve"> for B cells, </w:t>
      </w:r>
      <w:r w:rsidRPr="006D591B">
        <w:rPr>
          <w:rFonts w:ascii="Times New Roman" w:hAnsi="Times New Roman" w:cs="Times New Roman"/>
          <w:i/>
          <w:iCs/>
          <w:sz w:val="21"/>
          <w:szCs w:val="21"/>
        </w:rPr>
        <w:t>MZB1</w:t>
      </w:r>
      <w:r w:rsidRPr="006D591B">
        <w:rPr>
          <w:rFonts w:ascii="Times New Roman" w:hAnsi="Times New Roman" w:cs="Times New Roman"/>
          <w:sz w:val="21"/>
          <w:szCs w:val="21"/>
        </w:rPr>
        <w:t xml:space="preserve"> for plasma B cells, </w:t>
      </w:r>
      <w:r w:rsidRPr="006D591B">
        <w:rPr>
          <w:rFonts w:ascii="Times New Roman" w:hAnsi="Times New Roman" w:cs="Times New Roman"/>
          <w:i/>
          <w:iCs/>
          <w:sz w:val="21"/>
          <w:szCs w:val="21"/>
        </w:rPr>
        <w:t>CD3D</w:t>
      </w:r>
      <w:r w:rsidRPr="006D591B">
        <w:rPr>
          <w:rFonts w:ascii="Times New Roman" w:hAnsi="Times New Roman" w:cs="Times New Roman"/>
          <w:sz w:val="21"/>
          <w:szCs w:val="21"/>
        </w:rPr>
        <w:t xml:space="preserve">, </w:t>
      </w:r>
      <w:r w:rsidRPr="006D591B">
        <w:rPr>
          <w:rFonts w:ascii="Times New Roman" w:hAnsi="Times New Roman" w:cs="Times New Roman"/>
          <w:i/>
          <w:iCs/>
          <w:sz w:val="21"/>
          <w:szCs w:val="21"/>
        </w:rPr>
        <w:t>CD3E</w:t>
      </w:r>
      <w:r w:rsidRPr="006D591B">
        <w:rPr>
          <w:rFonts w:ascii="Times New Roman" w:hAnsi="Times New Roman" w:cs="Times New Roman"/>
          <w:sz w:val="21"/>
          <w:szCs w:val="21"/>
        </w:rPr>
        <w:t xml:space="preserve">, and </w:t>
      </w:r>
      <w:r w:rsidRPr="006D591B">
        <w:rPr>
          <w:rFonts w:ascii="Times New Roman" w:hAnsi="Times New Roman" w:cs="Times New Roman"/>
          <w:i/>
          <w:iCs/>
          <w:sz w:val="21"/>
          <w:szCs w:val="21"/>
        </w:rPr>
        <w:t>NKG7</w:t>
      </w:r>
      <w:r w:rsidRPr="006D591B">
        <w:rPr>
          <w:rFonts w:ascii="Times New Roman" w:hAnsi="Times New Roman" w:cs="Times New Roman"/>
          <w:sz w:val="21"/>
          <w:szCs w:val="21"/>
        </w:rPr>
        <w:t xml:space="preserve"> for T/NK cells, and </w:t>
      </w:r>
      <w:r w:rsidRPr="006D591B">
        <w:rPr>
          <w:rFonts w:ascii="Times New Roman" w:hAnsi="Times New Roman" w:cs="Times New Roman"/>
          <w:i/>
          <w:iCs/>
          <w:sz w:val="21"/>
          <w:szCs w:val="21"/>
        </w:rPr>
        <w:t>KIT</w:t>
      </w:r>
      <w:r w:rsidRPr="006D591B">
        <w:rPr>
          <w:rFonts w:ascii="Times New Roman" w:hAnsi="Times New Roman" w:cs="Times New Roman"/>
          <w:sz w:val="21"/>
          <w:szCs w:val="21"/>
        </w:rPr>
        <w:t xml:space="preserve">, </w:t>
      </w:r>
      <w:r w:rsidRPr="006D591B">
        <w:rPr>
          <w:rFonts w:ascii="Times New Roman" w:hAnsi="Times New Roman" w:cs="Times New Roman"/>
          <w:i/>
          <w:iCs/>
          <w:sz w:val="21"/>
          <w:szCs w:val="21"/>
        </w:rPr>
        <w:t>CPA3</w:t>
      </w:r>
      <w:r w:rsidRPr="006D591B">
        <w:rPr>
          <w:rFonts w:ascii="Times New Roman" w:hAnsi="Times New Roman" w:cs="Times New Roman"/>
          <w:sz w:val="21"/>
          <w:szCs w:val="21"/>
        </w:rPr>
        <w:t xml:space="preserve">, and </w:t>
      </w:r>
      <w:r w:rsidRPr="006D591B">
        <w:rPr>
          <w:rFonts w:ascii="Times New Roman" w:hAnsi="Times New Roman" w:cs="Times New Roman"/>
          <w:i/>
          <w:iCs/>
          <w:sz w:val="21"/>
          <w:szCs w:val="21"/>
        </w:rPr>
        <w:t>TPSAB1</w:t>
      </w:r>
      <w:r w:rsidRPr="006D591B">
        <w:rPr>
          <w:rFonts w:ascii="Times New Roman" w:hAnsi="Times New Roman" w:cs="Times New Roman"/>
          <w:sz w:val="21"/>
          <w:szCs w:val="21"/>
        </w:rPr>
        <w:t xml:space="preserve"> for mast cells. Clusters expressing two or more marker genes were categorized as doublets and eliminated from subsequent analyses.</w:t>
      </w:r>
    </w:p>
    <w:p w:rsidR="004D2D45" w:rsidRPr="006D591B" w:rsidRDefault="004D2D45" w:rsidP="004D2D45">
      <w:pPr>
        <w:rPr>
          <w:rFonts w:ascii="Times New Roman" w:hAnsi="Times New Roman" w:cs="Times New Roman"/>
          <w:sz w:val="21"/>
          <w:szCs w:val="21"/>
        </w:rPr>
      </w:pPr>
      <w:r w:rsidRPr="006D591B">
        <w:rPr>
          <w:rFonts w:ascii="Times New Roman" w:hAnsi="Times New Roman" w:cs="Times New Roman"/>
          <w:sz w:val="21"/>
          <w:szCs w:val="21"/>
        </w:rPr>
        <w:t>Subsequently, we segregated the identified cell types into individual Seurat objects to conduct a second round of clustering. This approach allowed us to further delineate the subpopulations within the major cell types using the sctransform and harmony workflows. For benign epithelial cells, the top principal components (PCs) were 21 with a resolution of 0.5. For malignant epithelial cells, the same PCs and resolution were used. For mesenchymal cells, the top PCs were 15 with a resolution of 0.8. For myeloid cells, the top PCs were 14 with a resolution of 0.8. For T/NK cells, the top PCs were 20 with a resolution of 1. Differential expressed genes for subpopulations were also calculated using the FindAllMarkers function within Seurat.</w:t>
      </w:r>
    </w:p>
    <w:p w:rsidR="004D2D45" w:rsidRPr="006D591B" w:rsidRDefault="004D2D45" w:rsidP="004D2D45">
      <w:pPr>
        <w:spacing w:line="360" w:lineRule="auto"/>
        <w:rPr>
          <w:rFonts w:ascii="Times New Roman" w:hAnsi="Times New Roman" w:cs="Times New Roman"/>
          <w:b/>
          <w:color w:val="000000" w:themeColor="text1"/>
          <w:sz w:val="21"/>
          <w:szCs w:val="21"/>
          <w:lang w:val="en-US"/>
        </w:rPr>
      </w:pPr>
      <w:r w:rsidRPr="006D591B">
        <w:rPr>
          <w:rFonts w:ascii="Times New Roman" w:hAnsi="Times New Roman" w:cs="Times New Roman"/>
          <w:b/>
          <w:color w:val="000000" w:themeColor="text1"/>
          <w:sz w:val="21"/>
          <w:szCs w:val="21"/>
          <w:lang w:val="en-US"/>
        </w:rPr>
        <w:t>Sample preference analysis</w:t>
      </w:r>
    </w:p>
    <w:p w:rsidR="004D2D45" w:rsidRPr="006D591B" w:rsidRDefault="004D2D45" w:rsidP="004D2D45">
      <w:pPr>
        <w:rPr>
          <w:rFonts w:ascii="Times New Roman" w:hAnsi="Times New Roman" w:cs="Times New Roman"/>
          <w:sz w:val="21"/>
          <w:szCs w:val="21"/>
        </w:rPr>
      </w:pPr>
      <w:r w:rsidRPr="006D591B">
        <w:rPr>
          <w:rFonts w:ascii="Times New Roman" w:hAnsi="Times New Roman" w:cs="Times New Roman"/>
          <w:sz w:val="21"/>
          <w:szCs w:val="21"/>
        </w:rPr>
        <w:t>The ratio of observed to excepted cell numbers (Ro/e) algorithm was employed to calculate the sample preference of cell clusters or subpopulations as previously described</w:t>
      </w:r>
      <w:r w:rsidRPr="006D591B">
        <w:rPr>
          <w:rFonts w:ascii="Times New Roman" w:hAnsi="Times New Roman" w:cs="Times New Roman"/>
          <w:sz w:val="21"/>
          <w:szCs w:val="21"/>
        </w:rPr>
        <w:fldChar w:fldCharType="begin"/>
      </w:r>
      <w:r w:rsidR="00CE5892">
        <w:rPr>
          <w:rFonts w:ascii="Times New Roman" w:hAnsi="Times New Roman" w:cs="Times New Roman"/>
          <w:sz w:val="21"/>
          <w:szCs w:val="21"/>
        </w:rPr>
        <w:instrText xml:space="preserve"> ADDIN ZOTERO_ITEM CSL_CITATION {"citationID":"Wbc5jmbj","properties":{"formattedCitation":"\\super 1,5\\nosupersub{}","plainCitation":"1,5","noteIndex":0},"citationItems":[{"id":1745,"uris":["http://zotero.org/users/local/o5E1hp2p/items/8XYK7ZHQ"],"itemData":{"id":1745,"type":"article-journal","abstract":"Abstract\n            \n              Gallbladder carcinoma (GBC) is the most common biliary tract malignancy with the lowest survival rate, primarily arising from chronic inflammation. To better characterize the progression from inflammation to cancer to metastasis, we performed single-cell RNA sequencing across samples of 6 chronic cholecystitis, 12 treatment-naive GBCs, and 6 matched metastases. Benign epithelial cells from inflamed gallbladders displayed resting, immune-regulating, and gastrointestinal metaplastic phenotypes. A small amount of\n              PLA2G2A\n              +\n              epithelial cells with copy number variation were identified from a histologically benign sample. We validated significant overexpression of PLA2G2A across in situ GBCs, together with increased proliferation and cancer stemness in\n              PLA2G2A\n              -overexpressing GBC cells, indicating an important role for\n              PLA2G2A\n              during early carcinogenesis. Malignant epithelial cells displayed pervasive cancer hallmarks and cellular plasticity, differentiating into metaplastic, inflammatory, and mesenchymal subtypes with distinct transcriptomic, genomic, and prognostic patterns. Chronic cholecystitis led to an adapted microenvironment characterized by MDSC-like macrophages, CD8\n              +\n              T\n              RM\n              cells, and\n              CCL2\n              +\n              immunity-regulating fibroblasts. By contrast, GBC instigated an aggressive and immunosuppressive microenvironment, featured by tumor-associated macrophages, Treg cells, CD8\n              +\n              T\n              EX\n              cells, and\n              STMN1\n              +\n              tumor-promoting fibroblasts. Single-cell and bulk RNA-seq profiles consistently showed a more suppressive immune milieu for GBCs with inflammatory epithelial signatures, coupled with strengthened epithelial-immune crosstalk. We further pinpointed a subset of senescence-like fibroblasts (\n              FN1\n              +\n              TGM2\n              +\n              ) preferentially enriched in metastatic lesions, which promoted GBC migration and invasion via their secretory phenotype. Collectively, this study provides comprehensive insights into epithelial and microenvironmental reprogramming throughout cholecystitis-propelled carcinogenesis and metastasis, laying a new foundation for the precision therapy of GBC.","container-title":"Cell Discovery","DOI":"10.1038/s41421-022-00445-8","ISSN":"2056-5968","issue":"1","journalAbbreviation":"Cell Discov","language":"en","page":"101","source":"DOI.org (Crossref)","title":"Single-cell dissection of remodeled inflammatory ecosystem in primary and metastatic gallbladder carcinoma","volume":"8","author":[{"family":"Wang","given":"Xiang"},{"family":"Liu","given":"Chunliang"},{"family":"Chen","given":"Jianan"},{"family":"Chen","given":"Lei"},{"family":"Ren","given":"Xianwen"},{"family":"Hou","given":"Minghui"},{"family":"Cui","given":"Xiuliang"},{"family":"Jiang","given":"Youhai"},{"family":"Liu","given":"Erdong"},{"family":"Zong","given":"Yali"},{"family":"Duan","given":"Anqi"},{"family":"Fu","given":"Xiaohui"},{"family":"Yu","given":"Wenlong"},{"family":"Zhao","given":"Xiaofang"},{"family":"Yang","given":"Zhao"},{"family":"Zhang","given":"Yongjie"},{"family":"Fu","given":"Jing"},{"family":"Wang","given":"Hongyang"}],"issued":{"date-parts":[["2022",10,5]]}}},{"id":2799,"uris":["http://zotero.org/users/local/o5E1hp2p/items/RCS3EGNR"],"itemData":{"id":2799,"type":"article-journal","abstract":"T cells are key elements of cancer immunotherapy1 but certain fundamental properties, such as the development and migration of T cells within tumours, remain unknown. The enormous T cell receptor (TCR) repertoire, which is required for the recognition of foreign and self-antigens2, could serve as lineage tags to track these T cells in tumours3. Here we obtained transcriptomes of 11,138 single T cells from 12 patients with colorectal cancer, and developed single T cell analysis by RNA sequencing and TCR tracking (STARTRAC) indices to quantitatively analyse the dynamic relationships among 20 identified T cell subsets with distinct functions and clonalities. Although both CD8+ effector and ‘exhausted’ T cells exhibited high clonal expansion, they were independently connected with tumour-resident CD8+ effector memory cells, implicating a TCR-based fate decision. Of the CD4+ T cells, most tumour-infiltrating T regulatory (Treg) cells showed clonal exclusivity, whereas certain Treg cell clones were developmentally linked to several T helper (TH) cell clones. Notably, we identified two IFNG+ TH1-like cell clusters in tumours that were associated with distinct IFNγ-regulating transcription factors —the GZMK+ effector memory T cells, which were associated with EOMES and RUNX3, and CXCL13+BHLHE40+ TH1-like cell clusters, which were associated with BHLHE40. Only CXCL13+BHLHE40+ TH1-like cells were preferentially enriched in patients with microsatellite-instable tumours, and this might explain their favourable responses to immune-checkpoint blockade. Furthermore, IGFLR1 was highly expressed in both CXCL13+BHLHE40+ TH1-like cells and CD8+ exhausted T cells and possessed co-stimulatory functions. Our integrated STARTRAC analyses provide a powerful approach to dissect the T cell properties in colorectal cancer comprehensively, and could provide insights into the dynamic relationships of T cells in other cancers.","container-title":"Nature","DOI":"10.1038/s41586-018-0694-x","ISSN":"1476-4687","issue":"7735","language":"en","license":"2018 Springer Nature Limited","note":"publisher: Nature Publishing Group","page":"268-272","source":"www.nature.com","title":"Lineage tracking reveals dynamic relationships of T cells in colorectal cancer","volume":"564","author":[{"family":"Zhang","given":"Lei"},{"family":"Yu","given":"Xin"},{"family":"Zheng","given":"Liangtao"},{"family":"Zhang","given":"Yuanyuan"},{"family":"Li","given":"Yansen"},{"family":"Fang","given":"Qiao"},{"family":"Gao","given":"Ranran"},{"family":"Kang","given":"Boxi"},{"family":"Zhang","given":"Qiming"},{"family":"Huang","given":"Julie Y."},{"family":"Konno","given":"Hiroyasu"},{"family":"Guo","given":"Xinyi"},{"family":"Ye","given":"Yingjiang"},{"family":"Gao","given":"Songyuan"},{"family":"Wang","given":"Shan"},{"family":"Hu","given":"Xueda"},{"family":"Ren","given":"Xianwen"},{"family":"Shen","given":"Zhanlong"},{"family":"Ouyang","given":"Wenjun"},{"family":"Zhang","given":"Zemin"}],"issued":{"date-parts":[["2018",12]]}}}],"schema":"https://github.com/citation-style-language/schema/raw/master/csl-citation.json"} </w:instrText>
      </w:r>
      <w:r w:rsidRPr="006D591B">
        <w:rPr>
          <w:rFonts w:ascii="Times New Roman" w:hAnsi="Times New Roman" w:cs="Times New Roman"/>
          <w:sz w:val="21"/>
          <w:szCs w:val="21"/>
        </w:rPr>
        <w:fldChar w:fldCharType="separate"/>
      </w:r>
      <w:r w:rsidR="00CE5892" w:rsidRPr="00CE5892">
        <w:rPr>
          <w:rFonts w:ascii="Times New Roman" w:hAnsi="Times New Roman" w:cs="Times New Roman"/>
          <w:sz w:val="21"/>
          <w:vertAlign w:val="superscript"/>
        </w:rPr>
        <w:t>1,5</w:t>
      </w:r>
      <w:r w:rsidRPr="006D591B">
        <w:rPr>
          <w:rFonts w:ascii="Times New Roman" w:hAnsi="Times New Roman" w:cs="Times New Roman"/>
          <w:sz w:val="21"/>
          <w:szCs w:val="21"/>
        </w:rPr>
        <w:fldChar w:fldCharType="end"/>
      </w:r>
      <w:r w:rsidRPr="006D591B">
        <w:rPr>
          <w:rFonts w:ascii="Times New Roman" w:hAnsi="Times New Roman" w:cs="Times New Roman"/>
          <w:sz w:val="21"/>
          <w:szCs w:val="21"/>
        </w:rPr>
        <w:t>. The expected cell numbers of cell clusters or subpopulations in samples were calculated from the chi-square test. The enrichment of a cell cluster or subpopulation in specific samples was defined when Ro/e &gt; 1. The enrichment was visualized by pheatmap.</w:t>
      </w:r>
    </w:p>
    <w:p w:rsidR="004D2D45" w:rsidRPr="006D591B" w:rsidRDefault="004D2D45" w:rsidP="004D2D45">
      <w:pPr>
        <w:spacing w:line="360" w:lineRule="auto"/>
        <w:rPr>
          <w:rFonts w:ascii="Times New Roman" w:hAnsi="Times New Roman" w:cs="Times New Roman"/>
          <w:b/>
          <w:color w:val="000000" w:themeColor="text1"/>
          <w:sz w:val="21"/>
          <w:szCs w:val="21"/>
          <w:lang w:val="en-US"/>
        </w:rPr>
      </w:pPr>
      <w:r w:rsidRPr="006D591B">
        <w:rPr>
          <w:rFonts w:ascii="Times New Roman" w:hAnsi="Times New Roman" w:cs="Times New Roman"/>
          <w:b/>
          <w:color w:val="000000" w:themeColor="text1"/>
          <w:sz w:val="21"/>
          <w:szCs w:val="21"/>
          <w:lang w:val="en-US"/>
        </w:rPr>
        <w:lastRenderedPageBreak/>
        <w:t>Gene ontology pathway enrichment</w:t>
      </w:r>
    </w:p>
    <w:p w:rsidR="004D2D45" w:rsidRPr="006D591B" w:rsidRDefault="004D2D45" w:rsidP="004D2D45">
      <w:pPr>
        <w:rPr>
          <w:rFonts w:ascii="Times New Roman" w:hAnsi="Times New Roman" w:cs="Times New Roman"/>
          <w:sz w:val="21"/>
          <w:szCs w:val="21"/>
        </w:rPr>
      </w:pPr>
      <w:r w:rsidRPr="006D591B">
        <w:rPr>
          <w:rFonts w:ascii="Times New Roman" w:hAnsi="Times New Roman" w:cs="Times New Roman"/>
          <w:sz w:val="21"/>
          <w:szCs w:val="21"/>
        </w:rPr>
        <w:t>The clusterProfiler package was utilized to conduct Gene ontology (GO) biological process enrichment analysis</w:t>
      </w:r>
      <w:r w:rsidRPr="006D591B">
        <w:rPr>
          <w:rFonts w:ascii="Times New Roman" w:hAnsi="Times New Roman" w:cs="Times New Roman"/>
          <w:sz w:val="21"/>
          <w:szCs w:val="21"/>
        </w:rPr>
        <w:fldChar w:fldCharType="begin"/>
      </w:r>
      <w:r w:rsidR="00CE5892">
        <w:rPr>
          <w:rFonts w:ascii="Times New Roman" w:hAnsi="Times New Roman" w:cs="Times New Roman"/>
          <w:sz w:val="21"/>
          <w:szCs w:val="21"/>
        </w:rPr>
        <w:instrText xml:space="preserve"> ADDIN ZOTERO_ITEM CSL_CITATION {"citationID":"6qfK4SUd","properties":{"formattedCitation":"\\super 6\\nosupersub{}","plainCitation":"6","noteIndex":0},"citationItems":[{"id":1497,"uris":["http://zotero.org/users/local/o5E1hp2p/items/2T2PVYP8"],"itemData":{"id":1497,"type":"article-journal","container-title":"Nature Protocols","DOI":"10.1038/s41596-024-01020-z","ISSN":"1754-2189, 1750-2799","journalAbbreviation":"Nat Protoc","language":"en","source":"DOI.org (Crossref)","title":"Using clusterProfiler to characterize multiomics data","URL":"https://www.nature.com/articles/s41596-024-01020-z","author":[{"family":"Xu","given":"Shuangbin"},{"family":"Hu","given":"Erqiang"},{"family":"Cai","given":"Yantong"},{"family":"Xie","given":"Zijing"},{"family":"Luo","given":"Xiao"},{"family":"Zhan","given":"Li"},{"family":"Tang","given":"Wenli"},{"family":"Wang","given":"Qianwen"},{"family":"Liu","given":"Bingdong"},{"family":"Wang","given":"Rui"},{"family":"Xie","given":"Wenqin"},{"family":"Wu","given":"Tianzhi"},{"family":"Xie","given":"Liwei"},{"family":"Yu","given":"Guangchuang"}],"accessed":{"date-parts":[["2024",7,18]]},"issued":{"date-parts":[["2024",7,17]]}}}],"schema":"https://github.com/citation-style-language/schema/raw/master/csl-citation.json"} </w:instrText>
      </w:r>
      <w:r w:rsidRPr="006D591B">
        <w:rPr>
          <w:rFonts w:ascii="Times New Roman" w:hAnsi="Times New Roman" w:cs="Times New Roman"/>
          <w:sz w:val="21"/>
          <w:szCs w:val="21"/>
        </w:rPr>
        <w:fldChar w:fldCharType="separate"/>
      </w:r>
      <w:r w:rsidR="00CE5892" w:rsidRPr="00CE5892">
        <w:rPr>
          <w:rFonts w:ascii="Times New Roman" w:hAnsi="Times New Roman" w:cs="Times New Roman"/>
          <w:sz w:val="21"/>
          <w:vertAlign w:val="superscript"/>
        </w:rPr>
        <w:t>6</w:t>
      </w:r>
      <w:r w:rsidRPr="006D591B">
        <w:rPr>
          <w:rFonts w:ascii="Times New Roman" w:hAnsi="Times New Roman" w:cs="Times New Roman"/>
          <w:sz w:val="21"/>
          <w:szCs w:val="21"/>
        </w:rPr>
        <w:fldChar w:fldCharType="end"/>
      </w:r>
      <w:r w:rsidRPr="006D591B">
        <w:rPr>
          <w:rFonts w:ascii="Times New Roman" w:hAnsi="Times New Roman" w:cs="Times New Roman"/>
          <w:sz w:val="21"/>
          <w:szCs w:val="21"/>
        </w:rPr>
        <w:t>. For the enrichment analysis, differential expressed genes from each subpopulation were selected based on the following criteria: (1) an average log2 fold change exceeding 0.5, (2) an adjusted p-value less than 0.05, and (3) a higher expression percentage compared to other subpopulations.</w:t>
      </w:r>
    </w:p>
    <w:p w:rsidR="004D2D45" w:rsidRPr="006D591B" w:rsidRDefault="004D2D45" w:rsidP="004D2D45">
      <w:pPr>
        <w:spacing w:line="360" w:lineRule="auto"/>
        <w:rPr>
          <w:rFonts w:ascii="Times New Roman" w:hAnsi="Times New Roman" w:cs="Times New Roman"/>
          <w:b/>
          <w:color w:val="000000" w:themeColor="text1"/>
          <w:sz w:val="21"/>
          <w:szCs w:val="21"/>
          <w:lang w:val="en-US"/>
        </w:rPr>
      </w:pPr>
      <w:r w:rsidRPr="006D591B">
        <w:rPr>
          <w:rFonts w:ascii="Times New Roman" w:hAnsi="Times New Roman" w:cs="Times New Roman"/>
          <w:b/>
          <w:color w:val="000000" w:themeColor="text1"/>
          <w:sz w:val="21"/>
          <w:szCs w:val="21"/>
          <w:lang w:val="en-US"/>
        </w:rPr>
        <w:t>Distinguish malignant and non-malignant epithelial cells based on inferCNV</w:t>
      </w:r>
    </w:p>
    <w:p w:rsidR="004D2D45" w:rsidRPr="006D591B" w:rsidRDefault="004D2D45" w:rsidP="004D2D45">
      <w:pPr>
        <w:rPr>
          <w:rFonts w:ascii="Times New Roman" w:hAnsi="Times New Roman" w:cs="Times New Roman"/>
          <w:sz w:val="21"/>
          <w:szCs w:val="21"/>
        </w:rPr>
      </w:pPr>
      <w:r w:rsidRPr="006D591B">
        <w:rPr>
          <w:rFonts w:ascii="Times New Roman" w:hAnsi="Times New Roman" w:cs="Times New Roman"/>
          <w:sz w:val="21"/>
          <w:szCs w:val="21"/>
        </w:rPr>
        <w:t>The inferCNV package</w:t>
      </w:r>
      <w:r w:rsidR="007D18E3">
        <w:rPr>
          <w:rFonts w:ascii="Times New Roman" w:hAnsi="Times New Roman" w:cs="Times New Roman" w:hint="eastAsia"/>
          <w:sz w:val="21"/>
          <w:szCs w:val="21"/>
          <w:lang w:eastAsia="zh-CN"/>
        </w:rPr>
        <w:t xml:space="preserve"> </w:t>
      </w:r>
      <w:r w:rsidRPr="006D591B">
        <w:rPr>
          <w:rFonts w:ascii="Times New Roman" w:hAnsi="Times New Roman" w:cs="Times New Roman"/>
          <w:sz w:val="21"/>
          <w:szCs w:val="21"/>
        </w:rPr>
        <w:t>was employed to ascertain copy number variations (CNVs)</w:t>
      </w:r>
      <w:r w:rsidR="007D18E3">
        <w:rPr>
          <w:rFonts w:ascii="Times New Roman" w:hAnsi="Times New Roman" w:cs="Times New Roman"/>
          <w:sz w:val="21"/>
          <w:szCs w:val="21"/>
        </w:rPr>
        <w:fldChar w:fldCharType="begin"/>
      </w:r>
      <w:r w:rsidR="007D18E3">
        <w:rPr>
          <w:rFonts w:ascii="Times New Roman" w:hAnsi="Times New Roman" w:cs="Times New Roman"/>
          <w:sz w:val="21"/>
          <w:szCs w:val="21"/>
        </w:rPr>
        <w:instrText xml:space="preserve"> ADDIN ZOTERO_ITEM CSL_CITATION {"citationID":"LjwSkCH1","properties":{"formattedCitation":"\\super 7\\nosupersub{}","plainCitation":"7","noteIndex":0},"citationItems":[{"id":2803,"uris":["http://zotero.org/users/local/o5E1hp2p/items/BV42RG7A"],"itemData":{"id":2803,"type":"article-journal","abstract":"Human cancers are complex ecosystems composed of cells with distinct phenotypes, genotypes and epigenetic states, but current models do not adequately reflect tumor composition in patients. We used single cell RNA-seq to profile 430 cells from five primary glioblastomas, which we found to be inherently variable in their expression of diverse transcriptional programs related to oncogenic signaling, proliferation, complement/immune response and hypoxia. We also observed a continuum of stemness-related expression states that enabled us to identify putative regulators of stemness in vivo. Finally, we show that established glioblastoma subtype classifiers are variably expressed across individual cells within a tumor and demonstrate the potential prognostic implications of such intratumoral heterogeneity. Thus, we reveal previously unappreciated heterogeneity in diverse regulatory programs central to glioblastoma biology, prognosis, and therapy.","container-title":"Science (New York, N.Y.)","DOI":"10.1126/science.1254257","ISSN":"0036-8075","issue":"6190","journalAbbreviation":"Science","note":"PMID: 24925914\nPMCID: PMC4123637","page":"1396-1401","source":"PubMed Central","title":"Single-cell RNA-seq highlights intratumoral heterogeneity in primary glioblastoma","volume":"344","author":[{"family":"Patel","given":"Anoop P."},{"family":"Tirosh","given":"Itay"},{"family":"Trombetta","given":"John J."},{"family":"Shalek","given":"Alex K."},{"family":"Gillespie","given":"Shawn M."},{"family":"Wakimoto","given":"Hiroaki"},{"family":"Cahill","given":"Daniel P."},{"family":"Nahed","given":"Brian V."},{"family":"Curry","given":"William T."},{"family":"Martuza","given":"Robert L."},{"family":"Louis","given":"David N."},{"family":"Rozenblatt-Rosen","given":"Orit"},{"family":"Suvà","given":"Mario L."},{"family":"Regev","given":"Aviv"},{"family":"Bernstein","given":"Bradley E."}],"issued":{"date-parts":[["2014",6,20]]}}}],"schema":"https://github.com/citation-style-language/schema/raw/master/csl-citation.json"} </w:instrText>
      </w:r>
      <w:r w:rsidR="007D18E3">
        <w:rPr>
          <w:rFonts w:ascii="Times New Roman" w:hAnsi="Times New Roman" w:cs="Times New Roman"/>
          <w:sz w:val="21"/>
          <w:szCs w:val="21"/>
        </w:rPr>
        <w:fldChar w:fldCharType="separate"/>
      </w:r>
      <w:r w:rsidR="007D18E3" w:rsidRPr="007D18E3">
        <w:rPr>
          <w:rFonts w:ascii="Times New Roman" w:hAnsi="Times New Roman" w:cs="Times New Roman"/>
          <w:sz w:val="21"/>
          <w:vertAlign w:val="superscript"/>
        </w:rPr>
        <w:t>7</w:t>
      </w:r>
      <w:r w:rsidR="007D18E3">
        <w:rPr>
          <w:rFonts w:ascii="Times New Roman" w:hAnsi="Times New Roman" w:cs="Times New Roman"/>
          <w:sz w:val="21"/>
          <w:szCs w:val="21"/>
        </w:rPr>
        <w:fldChar w:fldCharType="end"/>
      </w:r>
      <w:r w:rsidRPr="006D591B">
        <w:rPr>
          <w:rFonts w:ascii="Times New Roman" w:hAnsi="Times New Roman" w:cs="Times New Roman"/>
          <w:sz w:val="21"/>
          <w:szCs w:val="21"/>
        </w:rPr>
        <w:t xml:space="preserve">. As reference cells, a random sample of 1000 cells each was drawn from the following cell types: endothelial cells, mesenchymal cells, T/NK cells, and myeloid cells. Chromosomes related to sex and mitochondria were excluded from the analysis. Subcluster analysis mode was selected, and the number of groups was set to 20 to facilitate the visualization of CNV patterns across all samples. The CNV score for each cell was computed as the quadratic sum of the CNV </w:t>
      </w:r>
      <w:r w:rsidRPr="006D591B">
        <w:rPr>
          <w:rFonts w:ascii="Times New Roman" w:hAnsi="Times New Roman" w:cs="Times New Roman"/>
          <w:sz w:val="21"/>
          <w:szCs w:val="21"/>
          <w:vertAlign w:val="subscript"/>
        </w:rPr>
        <w:t>regions</w:t>
      </w:r>
      <w:r w:rsidRPr="006D591B">
        <w:rPr>
          <w:rFonts w:ascii="Times New Roman" w:hAnsi="Times New Roman" w:cs="Times New Roman"/>
          <w:sz w:val="21"/>
          <w:szCs w:val="21"/>
          <w:vertAlign w:val="subscript"/>
        </w:rPr>
        <w:fldChar w:fldCharType="begin"/>
      </w:r>
      <w:r w:rsidR="007D18E3">
        <w:rPr>
          <w:rFonts w:ascii="Times New Roman" w:hAnsi="Times New Roman" w:cs="Times New Roman"/>
          <w:sz w:val="21"/>
          <w:szCs w:val="21"/>
          <w:vertAlign w:val="subscript"/>
        </w:rPr>
        <w:instrText xml:space="preserve"> ADDIN ZOTERO_ITEM CSL_CITATION {"citationID":"QVJkKPh9","properties":{"formattedCitation":"\\super 8\\nosupersub{}","plainCitation":"8","noteIndex":0},"citationItems":[{"id":1750,"uris":["http://zotero.org/users/local/o5E1hp2p/items/3VPS263L"],"itemData":{"id":1750,"type":"article-journal","abstract":"Pancreatic ductal adenocarcinoma (PDAC) is the most common type of pancreatic cancer featured with high intra-tumoral heterogeneity and poor prognosis. To comprehensively delineate the PDAC intra-tumoral heterogeneity and the underlying mechanism for PDAC progression, we employed single-cell RNA-seq (scRNA-seq) to acquire the transcriptomic atlas of 57,530 individual pancreatic cells from primary PDAC tumors and control pancreases, and identified diverse malignant and stromal cell types, including two ductal subtypes with abnormal and malignant gene expression profiles respectively, in PDAC. We found that the heterogenous malignant subtype was composed of several subpopulations with differential proliferative and migratory potentials. Cell trajectory analysis revealed that components of multiple tumor-related pathways and transcription factors (TFs) were differentially expressed along PDAC progression. Furthermore, we found a subset of ductal cells with unique proliferative features were associated with an inactivation state in tumor-infiltrating T cells, providing novel markers for the prediction of antitumor immune response. Together, our findings provide a valuable resource for deciphering the intra-tumoral heterogeneity in PDAC and uncover a connection between tumor intrinsic transcriptional state and T cell activation, suggesting potential biomarkers for anticancer treatment such as targeted therapy and immunotherapy.","container-title":"Cell Research","DOI":"10.1038/s41422-019-0195-y","ISSN":"1748-7838","issue":"9","journalAbbreviation":"Cell Res","language":"en","license":"2019 IBCB, SIBS, CAS","note":"publisher: Nature Publishing Group","page":"725-738","source":"www.nature.com","title":"Single-cell RNA-seq highlights intra-tumoral heterogeneity and malignant progression in pancreatic ductal adenocarcinoma","volume":"29","author":[{"family":"Peng","given":"Junya"},{"family":"Sun","given":"Bao-Fa"},{"family":"Chen","given":"Chuan-Yuan"},{"family":"Zhou","given":"Jia-Yi"},{"family":"Chen","given":"Yu-Sheng"},{"family":"Chen","given":"Hao"},{"family":"Liu","given":"Lulu"},{"family":"Huang","given":"Dan"},{"family":"Jiang","given":"Jialin"},{"family":"Cui","given":"Guan-Shen"},{"family":"Yang","given":"Ying"},{"family":"Wang","given":"Wenze"},{"family":"Guo","given":"Dan"},{"family":"Dai","given":"Menghua"},{"family":"Guo","given":"Junchao"},{"family":"Zhang","given":"Taiping"},{"family":"Liao","given":"Quan"},{"family":"Liu","given":"Yi"},{"family":"Zhao","given":"Yong-Liang"},{"family":"Han","given":"Da-Li"},{"family":"Zhao","given":"Yupei"},{"family":"Yang","given":"Yun-Gui"},{"family":"Wu","given":"Wenming"}],"issued":{"date-parts":[["2019",9]]}}}],"schema":"https://github.com/citation-style-language/schema/raw/master/csl-citation.json"} </w:instrText>
      </w:r>
      <w:r w:rsidRPr="006D591B">
        <w:rPr>
          <w:rFonts w:ascii="Times New Roman" w:hAnsi="Times New Roman" w:cs="Times New Roman"/>
          <w:sz w:val="21"/>
          <w:szCs w:val="21"/>
          <w:vertAlign w:val="subscript"/>
        </w:rPr>
        <w:fldChar w:fldCharType="separate"/>
      </w:r>
      <w:r w:rsidR="007D18E3" w:rsidRPr="007D18E3">
        <w:rPr>
          <w:rFonts w:ascii="Times New Roman" w:hAnsi="Times New Roman" w:cs="Times New Roman"/>
          <w:sz w:val="21"/>
          <w:vertAlign w:val="superscript"/>
        </w:rPr>
        <w:t>8</w:t>
      </w:r>
      <w:r w:rsidRPr="006D591B">
        <w:rPr>
          <w:rFonts w:ascii="Times New Roman" w:hAnsi="Times New Roman" w:cs="Times New Roman"/>
          <w:sz w:val="21"/>
          <w:szCs w:val="21"/>
          <w:vertAlign w:val="subscript"/>
        </w:rPr>
        <w:fldChar w:fldCharType="end"/>
      </w:r>
      <w:r w:rsidRPr="006D591B">
        <w:rPr>
          <w:rFonts w:ascii="Times New Roman" w:hAnsi="Times New Roman" w:cs="Times New Roman"/>
          <w:sz w:val="21"/>
          <w:szCs w:val="21"/>
        </w:rPr>
        <w:t>.</w:t>
      </w:r>
    </w:p>
    <w:p w:rsidR="004D2D45" w:rsidRPr="006D591B" w:rsidRDefault="004D2D45" w:rsidP="004D2D45">
      <w:pPr>
        <w:spacing w:line="360" w:lineRule="auto"/>
        <w:rPr>
          <w:rFonts w:ascii="Times New Roman" w:hAnsi="Times New Roman" w:cs="Times New Roman"/>
          <w:b/>
          <w:color w:val="000000" w:themeColor="text1"/>
          <w:sz w:val="21"/>
          <w:szCs w:val="21"/>
          <w:lang w:val="en-US"/>
        </w:rPr>
      </w:pPr>
      <w:r w:rsidRPr="006D591B">
        <w:rPr>
          <w:rFonts w:ascii="Times New Roman" w:hAnsi="Times New Roman" w:cs="Times New Roman"/>
          <w:b/>
          <w:color w:val="000000" w:themeColor="text1"/>
          <w:sz w:val="21"/>
          <w:szCs w:val="21"/>
          <w:lang w:val="en-US"/>
        </w:rPr>
        <w:t>The heterogeneity of CCA malignant cells</w:t>
      </w:r>
    </w:p>
    <w:p w:rsidR="004D2D45" w:rsidRPr="006D591B" w:rsidRDefault="004D2D45" w:rsidP="004D2D45">
      <w:pPr>
        <w:rPr>
          <w:rFonts w:ascii="Times New Roman" w:hAnsi="Times New Roman" w:cs="Times New Roman"/>
          <w:sz w:val="21"/>
          <w:szCs w:val="21"/>
        </w:rPr>
      </w:pPr>
      <w:r w:rsidRPr="006D591B">
        <w:rPr>
          <w:rFonts w:ascii="Times New Roman" w:hAnsi="Times New Roman" w:cs="Times New Roman"/>
          <w:sz w:val="21"/>
          <w:szCs w:val="21"/>
        </w:rPr>
        <w:t>To elucidate the heterogeneity of malignant cells in CCA, we employed two analytical strategies: a continuous approach involving consensus non-negative matrix factorization (cNMF) and a discrete method utilizing UMAP dimensionality reduction</w:t>
      </w:r>
      <w:r w:rsidRPr="006D591B">
        <w:rPr>
          <w:rFonts w:ascii="Times New Roman" w:hAnsi="Times New Roman" w:cs="Times New Roman"/>
          <w:sz w:val="21"/>
          <w:szCs w:val="21"/>
        </w:rPr>
        <w:fldChar w:fldCharType="begin"/>
      </w:r>
      <w:r w:rsidR="007D18E3">
        <w:rPr>
          <w:rFonts w:ascii="Times New Roman" w:hAnsi="Times New Roman" w:cs="Times New Roman"/>
          <w:sz w:val="21"/>
          <w:szCs w:val="21"/>
        </w:rPr>
        <w:instrText xml:space="preserve"> ADDIN ZOTERO_ITEM CSL_CITATION {"citationID":"Ysc6FsX3","properties":{"formattedCitation":"\\super 9\\nosupersub{}","plainCitation":"9","noteIndex":0},"citationItems":[{"id":1752,"uris":["http://zotero.org/users/local/o5E1hp2p/items/MJYV6M6Z"],"itemData":{"id":1752,"type":"article-journal","abstract":"Cultured cell lines are the workhorse of cancer research, but the extent to which they recapitulate the heterogeneity observed among malignant cells in tumors is unclear. Here we used multiplexed single-cell RNA-seq to profile 198 cancer cell lines from 22 cancer types. We identified 12 expression programs that are recurrently heterogeneous within multiple cancer cell lines. These programs are associated with diverse biological processes, including cell cycle, senescence, stress and interferon responses, epithelial–mesenchymal transition and protein metabolism. Most of these programs recapitulate those recently identified as heterogeneous within human tumors. We prioritized specific cell lines as models of cellular heterogeneity and used them to study subpopulations of senescence-related cells, demonstrating their dynamics, regulation and unique drug sensitivities, which were predictive of clinical response. Our work describes the landscape of heterogeneity within diverse cancer cell lines and identifies recurrent patterns of heterogeneity that are shared between tumors and specific cell lines.","container-title":"Nature Genetics","DOI":"10.1038/s41588-020-00726-6","ISSN":"1546-1718","issue":"11","journalAbbreviation":"Nat Genet","language":"en","license":"2020 The Author(s), under exclusive licence to Springer Nature America, Inc.","note":"publisher: Nature Publishing Group","page":"1208-1218","source":"www.nature.com","title":"Pan-cancer single-cell RNA-seq identifies recurring programs of cellular heterogeneity","volume":"52","author":[{"family":"Kinker","given":"Gabriela S."},{"family":"Greenwald","given":"Alissa C."},{"family":"Tal","given":"Rotem"},{"family":"Orlova","given":"Zhanna"},{"family":"Cuoco","given":"Michael S."},{"family":"McFarland","given":"James M."},{"family":"Warren","given":"Allison"},{"family":"Rodman","given":"Christopher"},{"family":"Roth","given":"Jennifer A."},{"family":"Bender","given":"Samantha A."},{"family":"Kumar","given":"Bhavna"},{"family":"Rocco","given":"James W."},{"family":"Fernandes","given":"Pedro A. C. M."},{"family":"Mader","given":"Christopher C."},{"family":"Keren-Shaul","given":"Hadas"},{"family":"Plotnikov","given":"Alexander"},{"family":"Barr","given":"Haim"},{"family":"Tsherniak","given":"Aviad"},{"family":"Rozenblatt-Rosen","given":"Orit"},{"family":"Krizhanovsky","given":"Valery"},{"family":"Puram","given":"Sidharth V."},{"family":"Regev","given":"Aviv"},{"family":"Tirosh","given":"Itay"}],"issued":{"date-parts":[["2020",11]]}}}],"schema":"https://github.com/citation-style-language/schema/raw/master/csl-citation.json"} </w:instrText>
      </w:r>
      <w:r w:rsidRPr="006D591B">
        <w:rPr>
          <w:rFonts w:ascii="Times New Roman" w:hAnsi="Times New Roman" w:cs="Times New Roman"/>
          <w:sz w:val="21"/>
          <w:szCs w:val="21"/>
        </w:rPr>
        <w:fldChar w:fldCharType="separate"/>
      </w:r>
      <w:r w:rsidR="007D18E3" w:rsidRPr="007D18E3">
        <w:rPr>
          <w:rFonts w:ascii="Times New Roman" w:hAnsi="Times New Roman" w:cs="Times New Roman"/>
          <w:sz w:val="21"/>
          <w:vertAlign w:val="superscript"/>
        </w:rPr>
        <w:t>9</w:t>
      </w:r>
      <w:r w:rsidRPr="006D591B">
        <w:rPr>
          <w:rFonts w:ascii="Times New Roman" w:hAnsi="Times New Roman" w:cs="Times New Roman"/>
          <w:sz w:val="21"/>
          <w:szCs w:val="21"/>
        </w:rPr>
        <w:fldChar w:fldCharType="end"/>
      </w:r>
      <w:r w:rsidRPr="006D591B">
        <w:rPr>
          <w:rFonts w:ascii="Times New Roman" w:hAnsi="Times New Roman" w:cs="Times New Roman"/>
          <w:sz w:val="21"/>
          <w:szCs w:val="21"/>
        </w:rPr>
        <w:t>.</w:t>
      </w:r>
    </w:p>
    <w:p w:rsidR="004D2D45" w:rsidRPr="006D591B" w:rsidRDefault="004D2D45" w:rsidP="004D2D45">
      <w:pPr>
        <w:rPr>
          <w:rFonts w:ascii="Times New Roman" w:hAnsi="Times New Roman" w:cs="Times New Roman"/>
          <w:sz w:val="21"/>
          <w:szCs w:val="21"/>
        </w:rPr>
      </w:pPr>
      <w:r w:rsidRPr="006D591B">
        <w:rPr>
          <w:rFonts w:ascii="Times New Roman" w:hAnsi="Times New Roman" w:cs="Times New Roman"/>
          <w:sz w:val="21"/>
          <w:szCs w:val="21"/>
        </w:rPr>
        <w:t>Initially, we conducted a cNMF analysis to delineate meta-gene programs and assess their prevalence across the three CCA subtypes. The cNMF package was utilized to decipher the gene expression programs within malignant cells from each patient</w:t>
      </w:r>
      <w:r w:rsidRPr="006D591B">
        <w:rPr>
          <w:rFonts w:ascii="Times New Roman" w:hAnsi="Times New Roman" w:cs="Times New Roman"/>
          <w:sz w:val="21"/>
          <w:szCs w:val="21"/>
        </w:rPr>
        <w:fldChar w:fldCharType="begin"/>
      </w:r>
      <w:r w:rsidR="007D18E3">
        <w:rPr>
          <w:rFonts w:ascii="Times New Roman" w:hAnsi="Times New Roman" w:cs="Times New Roman"/>
          <w:sz w:val="21"/>
          <w:szCs w:val="21"/>
        </w:rPr>
        <w:instrText xml:space="preserve"> ADDIN ZOTERO_ITEM CSL_CITATION {"citationID":"pPLkOXuh","properties":{"formattedCitation":"\\super 10\\nosupersub{}","plainCitation":"10","noteIndex":0},"citationItems":[{"id":1748,"uris":["http://zotero.org/users/local/o5E1hp2p/items/KMHYU3KD"],"itemData":{"id":1748,"type":"article-journal","abstract":"Identifying gene expression programs underlying both cell-type identity and cellular activities (e.g. life-cycle processes, responses to environmental cues) is crucial for understanding the organization of cells and tissues. Although single-cell RNA-Seq (scRNA-Seq) can quantify transcripts in individual cells, each cell’s expression profile may be a mixture of both types of programs, making them difficult to disentangle. Here, we benchmark and enhance the use of matrix factorization to solve this problem. We show with simulations that a method we call consensus non-negative matrix factorization (cNMF) accurately infers identity and activity programs, including their relative contributions in each cell. To illustrate the insights this approach enables, we apply it to published brain organoid and visual cortex scRNA-Seq datasets; cNMF refines cell types and identifies both expected (e.g. cell cycle and hypoxia) and novel activity programs, including programs that may underlie a neurosecretory phenotype and synaptogenesis.","container-title":"eLife","DOI":"10.7554/eLife.43803","ISSN":"2050-084X","note":"publisher: eLife Sciences Publications, Ltd","page":"e43803","source":"eLife","title":"Identifying gene expression programs of cell-type identity and cellular activity with single-cell RNA-Seq","volume":"8","author":[{"family":"Kotliar","given":"Dylan"},{"family":"Veres","given":"Adrian"},{"family":"Nagy","given":"M Aurel"},{"family":"Tabrizi","given":"Shervin"},{"family":"Hodis","given":"Eran"},{"family":"Melton","given":"Douglas A"},{"family":"Sabeti","given":"Pardis C"}],"editor":[{"family":"Valencia","given":"Alfonso"},{"family":"Barkai","given":"Naama"},{"family":"Mereu","given":"Elisabetta"},{"family":"Göttgens","given":"Berthold"}],"issued":{"date-parts":[["2019",7,8]]}}}],"schema":"https://github.com/citation-style-language/schema/raw/master/csl-citation.json"} </w:instrText>
      </w:r>
      <w:r w:rsidRPr="006D591B">
        <w:rPr>
          <w:rFonts w:ascii="Times New Roman" w:hAnsi="Times New Roman" w:cs="Times New Roman"/>
          <w:sz w:val="21"/>
          <w:szCs w:val="21"/>
        </w:rPr>
        <w:fldChar w:fldCharType="separate"/>
      </w:r>
      <w:r w:rsidR="007D18E3" w:rsidRPr="007D18E3">
        <w:rPr>
          <w:rFonts w:ascii="Times New Roman" w:hAnsi="Times New Roman" w:cs="Times New Roman"/>
          <w:sz w:val="21"/>
          <w:vertAlign w:val="superscript"/>
        </w:rPr>
        <w:t>10</w:t>
      </w:r>
      <w:r w:rsidRPr="006D591B">
        <w:rPr>
          <w:rFonts w:ascii="Times New Roman" w:hAnsi="Times New Roman" w:cs="Times New Roman"/>
          <w:sz w:val="21"/>
          <w:szCs w:val="21"/>
        </w:rPr>
        <w:fldChar w:fldCharType="end"/>
      </w:r>
      <w:r w:rsidRPr="006D591B">
        <w:rPr>
          <w:rFonts w:ascii="Times New Roman" w:hAnsi="Times New Roman" w:cs="Times New Roman"/>
          <w:sz w:val="21"/>
          <w:szCs w:val="21"/>
        </w:rPr>
        <w:t xml:space="preserve">. For this purpose, the count matrix for each patient was refined to include the top 3000 highly variable genes, excluding mitochondrial and ribosomal genes, prior to cNMF execution. The range for K was set between 3 and 10, with a sampling number of 2000 and an iteration limit of 100. To establish consensus programs, the components were selected based on stability and error plots. Programs present in less than ten percent of cells were discarded. Jaccard similarity scores among the remaining programs were computed and used for clustering purposes. Seven meta-programs were manually curated. Genes expressed in more than twenty-five percent of the meta-programs were designated as meta-program genes. The functional annotations of the meta-programs were determined through </w:t>
      </w:r>
      <w:r w:rsidR="00070A3B">
        <w:rPr>
          <w:rFonts w:ascii="Times New Roman" w:hAnsi="Times New Roman" w:cs="Times New Roman" w:hint="eastAsia"/>
          <w:sz w:val="21"/>
          <w:szCs w:val="21"/>
          <w:lang w:eastAsia="zh-CN"/>
        </w:rPr>
        <w:t>GO</w:t>
      </w:r>
      <w:r w:rsidRPr="006D591B">
        <w:rPr>
          <w:rFonts w:ascii="Times New Roman" w:hAnsi="Times New Roman" w:cs="Times New Roman"/>
          <w:sz w:val="21"/>
          <w:szCs w:val="21"/>
        </w:rPr>
        <w:t xml:space="preserve"> biological process enrichment analysis of the meta-program genes. Meta-program scores for individual cells were calculated using the AddModuleScore function with the meta-program genes. The meta-program scores for each sample type and patient were derived by averaging the scores across cells.</w:t>
      </w:r>
    </w:p>
    <w:p w:rsidR="004D2D45" w:rsidRPr="006D591B" w:rsidRDefault="004D2D45" w:rsidP="004D2D45">
      <w:pPr>
        <w:rPr>
          <w:rFonts w:ascii="Times New Roman" w:hAnsi="Times New Roman" w:cs="Times New Roman"/>
          <w:sz w:val="21"/>
          <w:szCs w:val="21"/>
        </w:rPr>
      </w:pPr>
      <w:r w:rsidRPr="006D591B">
        <w:rPr>
          <w:rFonts w:ascii="Times New Roman" w:hAnsi="Times New Roman" w:cs="Times New Roman"/>
          <w:sz w:val="21"/>
          <w:szCs w:val="21"/>
        </w:rPr>
        <w:t xml:space="preserve">Subsequently, we quantified the inter- and intra-patient heterogeneity of CCA malignant cells using the Seurat pipeline as previously outlined. The patient center was defined as the average </w:t>
      </w:r>
      <w:r w:rsidRPr="006D591B">
        <w:rPr>
          <w:rFonts w:ascii="Times New Roman" w:hAnsi="Times New Roman" w:cs="Times New Roman"/>
          <w:sz w:val="21"/>
          <w:szCs w:val="21"/>
        </w:rPr>
        <w:lastRenderedPageBreak/>
        <w:t>UMAP coordinate of the malignant cells for each patient. The global center was computed as the average of all patient centers. The intra-patient heterogeneity was defined as the average Euclidean distance from the malignant cells to their respective patient center, while the inter-patient heterogeneity was defined as the average distance from the patient centers to the global center</w:t>
      </w:r>
      <w:r w:rsidR="00F57EBF">
        <w:rPr>
          <w:rFonts w:ascii="Times New Roman" w:hAnsi="Times New Roman" w:cs="Times New Roman"/>
          <w:sz w:val="21"/>
          <w:szCs w:val="21"/>
        </w:rPr>
        <w:fldChar w:fldCharType="begin"/>
      </w:r>
      <w:r w:rsidR="00F57EBF">
        <w:rPr>
          <w:rFonts w:ascii="Times New Roman" w:hAnsi="Times New Roman" w:cs="Times New Roman"/>
          <w:sz w:val="21"/>
          <w:szCs w:val="21"/>
        </w:rPr>
        <w:instrText xml:space="preserve"> ADDIN ZOTERO_ITEM CSL_CITATION {"citationID":"umoKbd1q","properties":{"formattedCitation":"\\super 11\\nosupersub{}","plainCitation":"11","noteIndex":0},"citationItems":[{"id":2806,"uris":["http://zotero.org/users/local/o5E1hp2p/items/WMP3QYSC"],"itemData":{"id":2806,"type":"article-journal","abstract":"Esophageal squamous-cell carcinoma (ESCC), one of the most prevalent and lethal malignant disease, has a complex but unknown tumor ecosystem. Here, we investigate the composition of ESCC tumors based on 208,659 single-cell transcriptomes derived from 60 individuals. We identify 8 common expression programs from malignant epithelial cells and discover 42 cell types, including 26 immune cell and 16 nonimmune stromal cell subtypes in the tumor microenvironment (TME), and analyse the interactions between cancer cells and other cells and the interactions among different cell types in the TME. Moreover, we link the cancer cell transcriptomes to the somatic mutations and identify several markers significantly associated with patients’ survival, which may be relevant to precision care of ESCC patients. These results reveal the immunosuppressive status in the ESCC TME and further our understanding of ESCC.","container-title":"Nature Communications","DOI":"10.1038/s41467-021-25539-x","ISSN":"2041-1723","issue":"1","journalAbbreviation":"Nat Commun","language":"en","license":"2021 The Author(s)","note":"publisher: Nature Publishing Group","page":"5291","source":"www.nature.com","title":"Dissecting esophageal squamous-cell carcinoma ecosystem by single-cell transcriptomic analysis","volume":"12","author":[{"family":"Zhang","given":"Xiannian"},{"family":"Peng","given":"Linna"},{"family":"Luo","given":"Yingying"},{"family":"Zhang","given":"Shaosen"},{"family":"Pu","given":"Yang"},{"family":"Chen","given":"Yamei"},{"family":"Guo","given":"Wenjia"},{"family":"Yao","given":"Jiacheng"},{"family":"Shao","given":"Mingming"},{"family":"Fan","given":"Wenyi"},{"family":"Cui","given":"Qionghua"},{"family":"Xi","given":"Yiyi"},{"family":"Sun","given":"Yanxia"},{"family":"Niu","given":"Xiangjie"},{"family":"Zhao","given":"Xuan"},{"family":"Chen","given":"Liping"},{"family":"Wang","given":"Yuqian"},{"family":"Liu","given":"Yachen"},{"family":"Yang","given":"Xinyu"},{"family":"Wang","given":"Chengcheng"},{"family":"Zhong","given":"Ce"},{"family":"Tan","given":"Wen"},{"family":"Wang","given":"Jianbin"},{"family":"Wu","given":"Chen"},{"family":"Lin","given":"Dongxin"}],"issued":{"date-parts":[["2021",9,6]]}}}],"schema":"https://github.com/citation-style-language/schema/raw/master/csl-citation.json"} </w:instrText>
      </w:r>
      <w:r w:rsidR="00F57EBF">
        <w:rPr>
          <w:rFonts w:ascii="Times New Roman" w:hAnsi="Times New Roman" w:cs="Times New Roman"/>
          <w:sz w:val="21"/>
          <w:szCs w:val="21"/>
        </w:rPr>
        <w:fldChar w:fldCharType="separate"/>
      </w:r>
      <w:r w:rsidR="00F57EBF" w:rsidRPr="00F57EBF">
        <w:rPr>
          <w:rFonts w:ascii="Times New Roman" w:hAnsi="Times New Roman" w:cs="Times New Roman"/>
          <w:sz w:val="21"/>
          <w:vertAlign w:val="superscript"/>
        </w:rPr>
        <w:t>11</w:t>
      </w:r>
      <w:r w:rsidR="00F57EBF">
        <w:rPr>
          <w:rFonts w:ascii="Times New Roman" w:hAnsi="Times New Roman" w:cs="Times New Roman"/>
          <w:sz w:val="21"/>
          <w:szCs w:val="21"/>
        </w:rPr>
        <w:fldChar w:fldCharType="end"/>
      </w:r>
      <w:r w:rsidRPr="006D591B">
        <w:rPr>
          <w:rFonts w:ascii="Times New Roman" w:hAnsi="Times New Roman" w:cs="Times New Roman"/>
          <w:sz w:val="21"/>
          <w:szCs w:val="21"/>
        </w:rPr>
        <w:t>.</w:t>
      </w:r>
    </w:p>
    <w:p w:rsidR="004D2D45" w:rsidRPr="006D591B" w:rsidRDefault="004D2D45" w:rsidP="004D2D45">
      <w:pPr>
        <w:spacing w:line="360" w:lineRule="auto"/>
        <w:rPr>
          <w:rFonts w:ascii="Times New Roman" w:hAnsi="Times New Roman" w:cs="Times New Roman"/>
          <w:b/>
          <w:color w:val="000000" w:themeColor="text1"/>
          <w:sz w:val="21"/>
          <w:szCs w:val="21"/>
          <w:lang w:val="en-US"/>
        </w:rPr>
      </w:pPr>
      <w:r w:rsidRPr="006D591B">
        <w:rPr>
          <w:rFonts w:ascii="Times New Roman" w:hAnsi="Times New Roman" w:cs="Times New Roman"/>
          <w:b/>
          <w:color w:val="000000" w:themeColor="text1"/>
          <w:sz w:val="21"/>
          <w:szCs w:val="21"/>
          <w:lang w:val="en-US"/>
        </w:rPr>
        <w:t>Patient-derived cholangiocarcinoma organoids culture</w:t>
      </w:r>
    </w:p>
    <w:p w:rsidR="004D2D45" w:rsidRPr="006D591B" w:rsidRDefault="004D2D45" w:rsidP="004D2D45">
      <w:pPr>
        <w:rPr>
          <w:rFonts w:ascii="Times New Roman" w:hAnsi="Times New Roman" w:cs="Times New Roman"/>
          <w:sz w:val="21"/>
          <w:szCs w:val="21"/>
        </w:rPr>
      </w:pPr>
      <w:r w:rsidRPr="006D591B">
        <w:rPr>
          <w:rFonts w:ascii="Times New Roman" w:hAnsi="Times New Roman" w:cs="Times New Roman"/>
          <w:sz w:val="21"/>
          <w:szCs w:val="21"/>
        </w:rPr>
        <w:t xml:space="preserve">Patient-derived cholangiocarcinoma organoids were constructed as previously described. Fresh CCA tissues were rinsed with PBS (Gibco, 20012027) to wash away obvious blood. Tissues were cut into pieces and placed into 15 mL tube with digestion buffer (DMEM (BasalMedia, L110KJ) with 4 mg/mL collagenase D (Roche, 11088866001), 10 </w:t>
      </w:r>
      <w:r w:rsidRPr="006D591B">
        <w:rPr>
          <w:rFonts w:ascii="Times New Roman" w:eastAsiaTheme="minorHAnsi" w:hAnsi="Times New Roman" w:cs="Times New Roman"/>
          <w:sz w:val="21"/>
          <w:szCs w:val="21"/>
        </w:rPr>
        <w:t>µ</w:t>
      </w:r>
      <w:r w:rsidRPr="006D591B">
        <w:rPr>
          <w:rFonts w:ascii="Times New Roman" w:hAnsi="Times New Roman" w:cs="Times New Roman"/>
          <w:sz w:val="21"/>
          <w:szCs w:val="21"/>
        </w:rPr>
        <w:t xml:space="preserve">M Y27632, 1% penicillin/streptomycin (Gibco, 15140-122), and 100 </w:t>
      </w:r>
      <w:r w:rsidRPr="006D591B">
        <w:rPr>
          <w:rFonts w:ascii="Times New Roman" w:eastAsia="等线" w:hAnsi="Times New Roman" w:cs="Times New Roman"/>
          <w:sz w:val="21"/>
          <w:szCs w:val="21"/>
        </w:rPr>
        <w:t>µ</w:t>
      </w:r>
      <w:r w:rsidRPr="006D591B">
        <w:rPr>
          <w:rFonts w:ascii="Times New Roman" w:hAnsi="Times New Roman" w:cs="Times New Roman"/>
          <w:sz w:val="21"/>
          <w:szCs w:val="21"/>
        </w:rPr>
        <w:t>g/mL Primocin (InvivoGen, ant-pm-1)) to incubate at 37</w:t>
      </w:r>
      <w:r w:rsidRPr="006D591B">
        <w:rPr>
          <w:rFonts w:ascii="Times New Roman" w:eastAsia="宋体" w:hAnsi="Times New Roman" w:cs="Times New Roman"/>
          <w:sz w:val="21"/>
          <w:szCs w:val="21"/>
        </w:rPr>
        <w:t>℃</w:t>
      </w:r>
      <w:r w:rsidRPr="006D591B">
        <w:rPr>
          <w:rFonts w:ascii="Times New Roman" w:hAnsi="Times New Roman" w:cs="Times New Roman"/>
          <w:sz w:val="21"/>
          <w:szCs w:val="21"/>
        </w:rPr>
        <w:t xml:space="preserve"> for 30 ~120 min on an orbital shaker. DMEM media with 10% FBS (Gibco,10099-141C) was added to the tube to neutralize collagenase D after digestion. Suspension with cells was filtered through a 70 </w:t>
      </w:r>
      <w:r w:rsidRPr="006D591B">
        <w:rPr>
          <w:rFonts w:ascii="Times New Roman" w:eastAsiaTheme="minorHAnsi" w:hAnsi="Times New Roman" w:cs="Times New Roman"/>
          <w:sz w:val="21"/>
          <w:szCs w:val="21"/>
        </w:rPr>
        <w:t>µ</w:t>
      </w:r>
      <w:r w:rsidRPr="006D591B">
        <w:rPr>
          <w:rFonts w:ascii="Times New Roman" w:hAnsi="Times New Roman" w:cs="Times New Roman"/>
          <w:sz w:val="21"/>
          <w:szCs w:val="21"/>
        </w:rPr>
        <w:t xml:space="preserve">m Nylon cell strainer. 10 µL cell suspension was taken to stain by Trypan Blue (ThermoFisher, 14190144) and calculate the concentration of live cells. The other suspension was centrifuged for 5 min at 300–400 g. The deposit was rinsed gently twice with cold Advanced DMEM/F12 (Gibco, 12634-010) and then resuspended with optimized hepatobiliary tumor organoid culture medium as previously described. 5,000 to 10,000 cells were mixed with cold Matrigel Basement Membrane Matrix (Corning, 356231) and 70 µL Matrigel-cell mixtures were seeded in prewarmed 24-well suspension culture plates to incubated at 37 °C for 30 min. 500 µL of organoid medium per well was added after mixtures complete gelation. The culture media was changed every 3-4 days. The organoids were passaged with a split ratio of 1:3 every 2-3 weeks. </w:t>
      </w:r>
    </w:p>
    <w:p w:rsidR="004D2D45" w:rsidRPr="006D591B" w:rsidRDefault="004D2D45" w:rsidP="004D2D45">
      <w:pPr>
        <w:spacing w:line="360" w:lineRule="auto"/>
        <w:rPr>
          <w:rFonts w:ascii="Times New Roman" w:hAnsi="Times New Roman" w:cs="Times New Roman"/>
          <w:b/>
          <w:color w:val="000000" w:themeColor="text1"/>
          <w:sz w:val="21"/>
          <w:szCs w:val="21"/>
          <w:lang w:val="en-US"/>
        </w:rPr>
      </w:pPr>
      <w:r w:rsidRPr="006D591B">
        <w:rPr>
          <w:rFonts w:ascii="Times New Roman" w:hAnsi="Times New Roman" w:cs="Times New Roman"/>
          <w:b/>
          <w:color w:val="000000" w:themeColor="text1"/>
          <w:sz w:val="21"/>
          <w:szCs w:val="21"/>
          <w:lang w:val="en-US"/>
        </w:rPr>
        <w:t>RNA-sequencing of organoid</w:t>
      </w:r>
    </w:p>
    <w:p w:rsidR="004D2D45" w:rsidRPr="006D591B" w:rsidRDefault="004D2D45" w:rsidP="004D2D45">
      <w:pPr>
        <w:rPr>
          <w:rFonts w:ascii="Times New Roman" w:hAnsi="Times New Roman" w:cs="Times New Roman"/>
          <w:sz w:val="21"/>
          <w:szCs w:val="21"/>
        </w:rPr>
      </w:pPr>
      <w:r w:rsidRPr="006D591B">
        <w:rPr>
          <w:rFonts w:ascii="Times New Roman" w:hAnsi="Times New Roman" w:cs="Times New Roman"/>
          <w:sz w:val="21"/>
          <w:szCs w:val="21"/>
        </w:rPr>
        <w:t>Total RNA was extracted from organoids using TRIzol reagent (ThermoFisher, 15596018CN), adhering to the manufacturer's recommended protocols. The quality and quantity of the RNA were assessed using a NanoDrop 2000 spectrophotometer and the integrity was confirmed with an Agilent 2100 Bioanalyzer. Library preparation was conducted using the VAHTS Universal V6 RNA-seq Library Prep Kit (15596018CN, NR604) according to the manufacturer's guidelines. Transcriptome sequencing was executed by OE Biotech Co., Ltd. (Shanghai, China). The libraries were sequenced on an Illumina Novaseq 6000 platform, producing 150 bp paired-end reads.</w:t>
      </w:r>
    </w:p>
    <w:p w:rsidR="004D2D45" w:rsidRPr="006D591B" w:rsidRDefault="004D2D45" w:rsidP="004D2D45">
      <w:pPr>
        <w:rPr>
          <w:rFonts w:ascii="Times New Roman" w:hAnsi="Times New Roman" w:cs="Times New Roman"/>
          <w:sz w:val="21"/>
          <w:szCs w:val="21"/>
        </w:rPr>
      </w:pPr>
      <w:r w:rsidRPr="006D591B">
        <w:rPr>
          <w:rFonts w:ascii="Times New Roman" w:hAnsi="Times New Roman" w:cs="Times New Roman"/>
          <w:sz w:val="21"/>
          <w:szCs w:val="21"/>
        </w:rPr>
        <w:t>Raw fastq reads were initially processed by fastp (version 0.20.1) to eliminate low-quality sequences and generate clean reads</w:t>
      </w:r>
      <w:r w:rsidR="00407597">
        <w:rPr>
          <w:rFonts w:ascii="Times New Roman" w:hAnsi="Times New Roman" w:cs="Times New Roman"/>
          <w:sz w:val="21"/>
          <w:szCs w:val="21"/>
        </w:rPr>
        <w:fldChar w:fldCharType="begin"/>
      </w:r>
      <w:r w:rsidR="00407597">
        <w:rPr>
          <w:rFonts w:ascii="Times New Roman" w:hAnsi="Times New Roman" w:cs="Times New Roman"/>
          <w:sz w:val="21"/>
          <w:szCs w:val="21"/>
        </w:rPr>
        <w:instrText xml:space="preserve"> ADDIN ZOTERO_ITEM CSL_CITATION {"citationID":"myGYTKsp","properties":{"formattedCitation":"\\super 12\\nosupersub{}","plainCitation":"12","noteIndex":0},"citationItems":[{"id":2824,"uris":["http://zotero.org/users/local/o5E1hp2p/items/MRH79SZK"],"itemData":{"id":2824,"type":"article-journal","abstract":"Quality control and preprocessing of FASTQ files are essential to providing clean data for downstream analysis. Traditionally, a different tool is used for each operation, such as quality control, adapter trimming and quality filtering. These tools are often insufficiently fast as most are developed using high-level programming languages (e.g. Python and Java) and provide limited multi-threading support. Reading and loading data multiple times also renders preprocessing slow and I/O inefficient.We developed fastp as an ultra-fast FASTQ preprocessor with useful quality control and data-filtering features. It can perform quality control, adapter trimming, quality filtering, per-read quality pruning and many other operations with a single scan of the FASTQ data. This tool is developed in C++ and has multi-threading support. Based on our evaluation, fastp is 2–5 times faster than other FASTQ preprocessing tools such as Trimmomatic or Cutadapt despite performing far more operations than similar tools.The open-source code and corresponding instructions are available at https://github.com/OpenGene/fastp.","container-title":"Bioinformatics","DOI":"10.1093/bioinformatics/bty560","ISSN":"1367-4803","issue":"17","journalAbbreviation":"Bioinformatics","page":"i884-i890","source":"Silverchair","title":"fastp: an ultra-fast all-in-one FASTQ preprocessor","title-short":"fastp","volume":"34","author":[{"family":"Chen","given":"Shifu"},{"family":"Zhou","given":"Yanqing"},{"family":"Chen","given":"Yaru"},{"family":"Gu","given":"Jia"}],"issued":{"date-parts":[["2018",9,1]]}}}],"schema":"https://github.com/citation-style-language/schema/raw/master/csl-citation.json"} </w:instrText>
      </w:r>
      <w:r w:rsidR="00407597">
        <w:rPr>
          <w:rFonts w:ascii="Times New Roman" w:hAnsi="Times New Roman" w:cs="Times New Roman"/>
          <w:sz w:val="21"/>
          <w:szCs w:val="21"/>
        </w:rPr>
        <w:fldChar w:fldCharType="separate"/>
      </w:r>
      <w:r w:rsidR="00407597" w:rsidRPr="00407597">
        <w:rPr>
          <w:rFonts w:ascii="Times New Roman" w:hAnsi="Times New Roman" w:cs="Times New Roman"/>
          <w:sz w:val="21"/>
          <w:vertAlign w:val="superscript"/>
        </w:rPr>
        <w:t>12</w:t>
      </w:r>
      <w:r w:rsidR="00407597">
        <w:rPr>
          <w:rFonts w:ascii="Times New Roman" w:hAnsi="Times New Roman" w:cs="Times New Roman"/>
          <w:sz w:val="21"/>
          <w:szCs w:val="21"/>
        </w:rPr>
        <w:fldChar w:fldCharType="end"/>
      </w:r>
      <w:r w:rsidRPr="006D591B">
        <w:rPr>
          <w:rFonts w:ascii="Times New Roman" w:hAnsi="Times New Roman" w:cs="Times New Roman"/>
          <w:sz w:val="21"/>
          <w:szCs w:val="21"/>
        </w:rPr>
        <w:t>. These clean reads were then aligned to the reference genome using HISAT2 (version version 2.1.0)</w:t>
      </w:r>
      <w:r w:rsidR="00407597">
        <w:rPr>
          <w:rFonts w:ascii="Times New Roman" w:hAnsi="Times New Roman" w:cs="Times New Roman"/>
          <w:sz w:val="21"/>
          <w:szCs w:val="21"/>
        </w:rPr>
        <w:fldChar w:fldCharType="begin"/>
      </w:r>
      <w:r w:rsidR="00407597">
        <w:rPr>
          <w:rFonts w:ascii="Times New Roman" w:hAnsi="Times New Roman" w:cs="Times New Roman"/>
          <w:sz w:val="21"/>
          <w:szCs w:val="21"/>
        </w:rPr>
        <w:instrText xml:space="preserve"> ADDIN ZOTERO_ITEM CSL_CITATION {"citationID":"ttminPW4","properties":{"formattedCitation":"\\super 13\\nosupersub{}","plainCitation":"13","noteIndex":0},"citationItems":[{"id":2827,"uris":["http://zotero.org/users/local/o5E1hp2p/items/V2ZXYW6W"],"itemData":{"id":2827,"type":"article-journal","abstract":"The human reference genome represents only a small number of individuals, which limits its usefulness for genotyping. We present a method named HISAT2 (hierarchical indexing for spliced alignment of transcripts 2) that can align both DNA and RNA sequences using a graph Ferragina Manzini index. We use HISAT2 to represent and search an expanded model of the human reference genome in which over 14.5 million genomic variants in combination with haplotypes are incorporated into the data structure used for searching and alignment. We benchmark HISAT2 using simulated and real datasets to demonstrate that our strategy of representing a population of genomes, together with a fast, memory-efficient search algorithm, provides more detailed and accurate variant analyses than other methods. We apply HISAT2 for HLA typing and DNA fingerprinting; both applications form part of the HISAT-genotype software that enables analysis of haplotype-resolved genes or genomic regions. HISAT-genotype outperforms other computational methods and matches or exceeds the performance of laboratory-based assays.","container-title":"Nature Biotechnology","DOI":"10.1038/s41587-019-0201-4","ISSN":"1546-1696","issue":"8","journalAbbreviation":"Nat Biotechnol","language":"en","license":"2019 The Author(s), under exclusive licence to Springer Nature America, Inc.","note":"publisher: Nature Publishing Group","page":"907-915","source":"www.nature.com","title":"Graph-based genome alignment and genotyping with HISAT2 and HISAT-genotype","volume":"37","author":[{"family":"Kim","given":"Daehwan"},{"family":"Paggi","given":"Joseph M."},{"family":"Park","given":"Chanhee"},{"family":"Bennett","given":"Christopher"},{"family":"Salzberg","given":"Steven L."}],"issued":{"date-parts":[["2019",8]]}}}],"schema":"https://github.com/citation-style-language/schema/raw/master/csl-citation.json"} </w:instrText>
      </w:r>
      <w:r w:rsidR="00407597">
        <w:rPr>
          <w:rFonts w:ascii="Times New Roman" w:hAnsi="Times New Roman" w:cs="Times New Roman"/>
          <w:sz w:val="21"/>
          <w:szCs w:val="21"/>
        </w:rPr>
        <w:fldChar w:fldCharType="separate"/>
      </w:r>
      <w:r w:rsidR="00407597" w:rsidRPr="00407597">
        <w:rPr>
          <w:rFonts w:ascii="Times New Roman" w:hAnsi="Times New Roman" w:cs="Times New Roman"/>
          <w:sz w:val="21"/>
          <w:vertAlign w:val="superscript"/>
        </w:rPr>
        <w:t>13</w:t>
      </w:r>
      <w:r w:rsidR="00407597">
        <w:rPr>
          <w:rFonts w:ascii="Times New Roman" w:hAnsi="Times New Roman" w:cs="Times New Roman"/>
          <w:sz w:val="21"/>
          <w:szCs w:val="21"/>
        </w:rPr>
        <w:fldChar w:fldCharType="end"/>
      </w:r>
      <w:r w:rsidRPr="006D591B">
        <w:rPr>
          <w:rFonts w:ascii="Times New Roman" w:hAnsi="Times New Roman" w:cs="Times New Roman"/>
          <w:sz w:val="21"/>
          <w:szCs w:val="21"/>
        </w:rPr>
        <w:t>. Gene read counts were subsequently determined using HTSeq-count (version 0.11.2)</w:t>
      </w:r>
      <w:r w:rsidR="005469F1">
        <w:rPr>
          <w:rFonts w:ascii="Times New Roman" w:hAnsi="Times New Roman" w:cs="Times New Roman"/>
          <w:sz w:val="21"/>
          <w:szCs w:val="21"/>
        </w:rPr>
        <w:fldChar w:fldCharType="begin"/>
      </w:r>
      <w:r w:rsidR="005469F1">
        <w:rPr>
          <w:rFonts w:ascii="Times New Roman" w:hAnsi="Times New Roman" w:cs="Times New Roman"/>
          <w:sz w:val="21"/>
          <w:szCs w:val="21"/>
        </w:rPr>
        <w:instrText xml:space="preserve"> ADDIN ZOTERO_ITEM CSL_CITATION {"citationID":"r2MIbgVL","properties":{"formattedCitation":"\\super 14\\nosupersub{}","plainCitation":"14","noteIndex":0},"citationItems":[{"id":2829,"uris":["http://zotero.org/users/local/o5E1hp2p/items/KS4IRMKL"],"itemData":{"id":2829,"type":"article-journal","abstract":"Motivation: A large choice of tools exists for many standard tasks in the analysis of high-throughput sequencing (HTS) data. However, once a project deviates from standard workflows, custom scripts are needed. Results: We present HTSeq, a Python library to facilitate the rapid development of such scripts. HTSeq offers parsers for many common data formats in HTS projects, as well as classes to represent data, such as genomic coordinates, sequences, sequencing reads, alignments, gene model information and variant calls, and provides data structures that allow for querying via genomic coordinates. We also present htseq-count, a tool developed with HTSeq that preprocesses RNA-Seq data for differential expression analysis by counting the overlap of reads with genes. Availability and implementation: HTSeq is released as an open-source software under the GNU General Public Licence and available from http://www-huber.embl.de/HTSeq or from the Python Package Index at https://pypi.python.org/pypi/HTSeq . Contact:  sanders@fs.tum.de","container-title":"Bioinformatics","DOI":"10.1093/bioinformatics/btu638","ISSN":"1367-4803","issue":"2","journalAbbreviation":"Bioinformatics","page":"166-169","source":"Silverchair","title":"HTSeq—a Python framework to work with high-throughput sequencing data","volume":"31","author":[{"family":"Anders","given":"Simon"},{"family":"Pyl","given":"Paul Theodor"},{"family":"Huber","given":"Wolfgang"}],"issued":{"date-parts":[["2015",1,15]]}}}],"schema":"https://github.com/citation-style-language/schema/raw/master/csl-citation.json"} </w:instrText>
      </w:r>
      <w:r w:rsidR="005469F1">
        <w:rPr>
          <w:rFonts w:ascii="Times New Roman" w:hAnsi="Times New Roman" w:cs="Times New Roman"/>
          <w:sz w:val="21"/>
          <w:szCs w:val="21"/>
        </w:rPr>
        <w:fldChar w:fldCharType="separate"/>
      </w:r>
      <w:r w:rsidR="005469F1" w:rsidRPr="005469F1">
        <w:rPr>
          <w:rFonts w:ascii="Times New Roman" w:hAnsi="Times New Roman" w:cs="Times New Roman"/>
          <w:sz w:val="21"/>
          <w:vertAlign w:val="superscript"/>
        </w:rPr>
        <w:t>14</w:t>
      </w:r>
      <w:r w:rsidR="005469F1">
        <w:rPr>
          <w:rFonts w:ascii="Times New Roman" w:hAnsi="Times New Roman" w:cs="Times New Roman"/>
          <w:sz w:val="21"/>
          <w:szCs w:val="21"/>
        </w:rPr>
        <w:fldChar w:fldCharType="end"/>
      </w:r>
      <w:r w:rsidRPr="006D591B">
        <w:rPr>
          <w:rFonts w:ascii="Times New Roman" w:hAnsi="Times New Roman" w:cs="Times New Roman"/>
          <w:sz w:val="21"/>
          <w:szCs w:val="21"/>
        </w:rPr>
        <w:t>.</w:t>
      </w:r>
    </w:p>
    <w:p w:rsidR="004D2D45" w:rsidRPr="006D591B" w:rsidRDefault="004D2D45" w:rsidP="004D2D45">
      <w:pPr>
        <w:spacing w:line="360" w:lineRule="auto"/>
        <w:rPr>
          <w:rFonts w:ascii="Times New Roman" w:hAnsi="Times New Roman" w:cs="Times New Roman"/>
          <w:b/>
          <w:color w:val="000000" w:themeColor="text1"/>
          <w:sz w:val="21"/>
          <w:szCs w:val="21"/>
          <w:lang w:val="en-US"/>
        </w:rPr>
      </w:pPr>
      <w:r w:rsidRPr="006D591B">
        <w:rPr>
          <w:rFonts w:ascii="Times New Roman" w:hAnsi="Times New Roman" w:cs="Times New Roman"/>
          <w:b/>
          <w:color w:val="000000" w:themeColor="text1"/>
          <w:sz w:val="21"/>
          <w:szCs w:val="21"/>
          <w:lang w:val="en-US"/>
        </w:rPr>
        <w:lastRenderedPageBreak/>
        <w:t>Subtyping of CCA patients in in-house scRNA-seq cohort, organoid cohort and validation by ICGA-CCA dataset</w:t>
      </w:r>
    </w:p>
    <w:p w:rsidR="004D2D45" w:rsidRPr="006D591B" w:rsidRDefault="004D2D45" w:rsidP="004D2D45">
      <w:pPr>
        <w:rPr>
          <w:rFonts w:ascii="Times New Roman" w:hAnsi="Times New Roman" w:cs="Times New Roman"/>
          <w:sz w:val="21"/>
          <w:szCs w:val="21"/>
        </w:rPr>
      </w:pPr>
      <w:r w:rsidRPr="006D591B">
        <w:rPr>
          <w:rFonts w:ascii="Times New Roman" w:hAnsi="Times New Roman" w:cs="Times New Roman"/>
          <w:sz w:val="21"/>
          <w:szCs w:val="21"/>
        </w:rPr>
        <w:t>The subtypes of cholangiocarcinoma (CCA) patients were identified through clustering based on the meta-program scores computed for each patient as outlined earlier. The k-means clustering algorithm was employed, utilizing Euclidean distance and the ward.D2 method. The number of clusters was predetermined as four.</w:t>
      </w:r>
    </w:p>
    <w:p w:rsidR="004D2D45" w:rsidRPr="006D591B" w:rsidRDefault="004D2D45" w:rsidP="004D2D45">
      <w:pPr>
        <w:rPr>
          <w:rFonts w:ascii="Times New Roman" w:hAnsi="Times New Roman" w:cs="Times New Roman"/>
          <w:sz w:val="21"/>
          <w:szCs w:val="21"/>
        </w:rPr>
      </w:pPr>
      <w:r w:rsidRPr="006D591B">
        <w:rPr>
          <w:rFonts w:ascii="Times New Roman" w:hAnsi="Times New Roman" w:cs="Times New Roman"/>
          <w:sz w:val="21"/>
          <w:szCs w:val="21"/>
        </w:rPr>
        <w:t>For the organoid cohort, the RNA-seq count matrix underwent initial preprocessing as previously reported</w:t>
      </w:r>
      <w:r w:rsidRPr="006D591B">
        <w:rPr>
          <w:rFonts w:ascii="Times New Roman" w:hAnsi="Times New Roman" w:cs="Times New Roman"/>
          <w:sz w:val="21"/>
          <w:szCs w:val="21"/>
        </w:rPr>
        <w:fldChar w:fldCharType="begin"/>
      </w:r>
      <w:r w:rsidRPr="006D591B">
        <w:rPr>
          <w:rFonts w:ascii="Times New Roman" w:hAnsi="Times New Roman" w:cs="Times New Roman"/>
          <w:sz w:val="21"/>
          <w:szCs w:val="21"/>
        </w:rPr>
        <w:instrText xml:space="preserve"> ADDIN ZOTERO_ITEM CSL_CITATION {"citationID":"D82uS4Tc","properties":{"formattedCitation":"\\super 1\\nosupersub{}","plainCitation":"1","noteIndex":0},"citationItems":[{"id":1745,"uris":["http://zotero.org/users/local/o5E1hp2p/items/8XYK7ZHQ"],"itemData":{"id":1745,"type":"article-journal","abstract":"Abstract\n            \n              Gallbladder carcinoma (GBC) is the most common biliary tract malignancy with the lowest survival rate, primarily arising from chronic inflammation. To better characterize the progression from inflammation to cancer to metastasis, we performed single-cell RNA sequencing across samples of 6 chronic cholecystitis, 12 treatment-naive GBCs, and 6 matched metastases. Benign epithelial cells from inflamed gallbladders displayed resting, immune-regulating, and gastrointestinal metaplastic phenotypes. A small amount of\n              PLA2G2A\n              +\n              epithelial cells with copy number variation were identified from a histologically benign sample. We validated significant overexpression of PLA2G2A across in situ GBCs, together with increased proliferation and cancer stemness in\n              PLA2G2A\n              -overexpressing GBC cells, indicating an important role for\n              PLA2G2A\n              during early carcinogenesis. Malignant epithelial cells displayed pervasive cancer hallmarks and cellular plasticity, differentiating into metaplastic, inflammatory, and mesenchymal subtypes with distinct transcriptomic, genomic, and prognostic patterns. Chronic cholecystitis led to an adapted microenvironment characterized by MDSC-like macrophages, CD8\n              +\n              T\n              RM\n              cells, and\n              CCL2\n              +\n              immunity-regulating fibroblasts. By contrast, GBC instigated an aggressive and immunosuppressive microenvironment, featured by tumor-associated macrophages, Treg cells, CD8\n              +\n              T\n              EX\n              cells, and\n              STMN1\n              +\n              tumor-promoting fibroblasts. Single-cell and bulk RNA-seq profiles consistently showed a more suppressive immune milieu for GBCs with inflammatory epithelial signatures, coupled with strengthened epithelial-immune crosstalk. We further pinpointed a subset of senescence-like fibroblasts (\n              FN1\n              +\n              TGM2\n              +\n              ) preferentially enriched in metastatic lesions, which promoted GBC migration and invasion via their secretory phenotype. Collectively, this study provides comprehensive insights into epithelial and microenvironmental reprogramming throughout cholecystitis-propelled carcinogenesis and metastasis, laying a new foundation for the precision therapy of GBC.","container-title":"Cell Discovery","DOI":"10.1038/s41421-022-00445-8","ISSN":"2056-5968","issue":"1","journalAbbreviation":"Cell Discov","language":"en","page":"101","source":"DOI.org (Crossref)","title":"Single-cell dissection of remodeled inflammatory ecosystem in primary and metastatic gallbladder carcinoma","volume":"8","author":[{"family":"Wang","given":"Xiang"},{"family":"Liu","given":"Chunliang"},{"family":"Chen","given":"Jianan"},{"family":"Chen","given":"Lei"},{"family":"Ren","given":"Xianwen"},{"family":"Hou","given":"Minghui"},{"family":"Cui","given":"Xiuliang"},{"family":"Jiang","given":"Youhai"},{"family":"Liu","given":"Erdong"},{"family":"Zong","given":"Yali"},{"family":"Duan","given":"Anqi"},{"family":"Fu","given":"Xiaohui"},{"family":"Yu","given":"Wenlong"},{"family":"Zhao","given":"Xiaofang"},{"family":"Yang","given":"Zhao"},{"family":"Zhang","given":"Yongjie"},{"family":"Fu","given":"Jing"},{"family":"Wang","given":"Hongyang"}],"issued":{"date-parts":[["2022",10,5]]}}}],"schema":"https://github.com/citation-style-language/schema/raw/master/csl-citation.json"} </w:instrText>
      </w:r>
      <w:r w:rsidRPr="006D591B">
        <w:rPr>
          <w:rFonts w:ascii="Times New Roman" w:hAnsi="Times New Roman" w:cs="Times New Roman"/>
          <w:sz w:val="21"/>
          <w:szCs w:val="21"/>
        </w:rPr>
        <w:fldChar w:fldCharType="separate"/>
      </w:r>
      <w:r w:rsidRPr="006D591B">
        <w:rPr>
          <w:rFonts w:ascii="Times New Roman" w:hAnsi="Times New Roman" w:cs="Times New Roman"/>
          <w:sz w:val="21"/>
          <w:szCs w:val="21"/>
          <w:vertAlign w:val="superscript"/>
        </w:rPr>
        <w:t>1</w:t>
      </w:r>
      <w:r w:rsidRPr="006D591B">
        <w:rPr>
          <w:rFonts w:ascii="Times New Roman" w:hAnsi="Times New Roman" w:cs="Times New Roman"/>
          <w:sz w:val="21"/>
          <w:szCs w:val="21"/>
        </w:rPr>
        <w:fldChar w:fldCharType="end"/>
      </w:r>
      <w:r w:rsidRPr="006D591B">
        <w:rPr>
          <w:rFonts w:ascii="Times New Roman" w:hAnsi="Times New Roman" w:cs="Times New Roman"/>
          <w:sz w:val="21"/>
          <w:szCs w:val="21"/>
        </w:rPr>
        <w:t>. Subsequently, the meta-program scores for each patient were derived in a manner analogous to the AddModuleScore approach. Specifically, the procedure involved calculating the average expression values for each gene and sorting them in ascending order. The genes were then divided into 24 bins, and a background set of 100 genes, excluding those in the meta-program gene set, was randomly selected. The meta-program score was computed as the difference between the average expression of the meta-program gene set and the average expression of the background genes. Patients were then clustered based on the Euclidean distance of their meta-program scores, as previously mentioned.</w:t>
      </w:r>
    </w:p>
    <w:p w:rsidR="004D2D45" w:rsidRPr="006D591B" w:rsidRDefault="004D2D45" w:rsidP="004D2D45">
      <w:pPr>
        <w:rPr>
          <w:rFonts w:ascii="Times New Roman" w:hAnsi="Times New Roman" w:cs="Times New Roman"/>
          <w:sz w:val="21"/>
          <w:szCs w:val="21"/>
        </w:rPr>
      </w:pPr>
      <w:r w:rsidRPr="006D591B">
        <w:rPr>
          <w:rFonts w:ascii="Times New Roman" w:hAnsi="Times New Roman" w:cs="Times New Roman"/>
          <w:sz w:val="21"/>
          <w:szCs w:val="21"/>
        </w:rPr>
        <w:t>To validate the subtypes identified in our in-house cohort, the The International Cancer Genome Consortium cholangiocarcinoma cohort (ICGC-CCA) gene expression array dataset was obtained from the Gene Expression Omnibus (GEO) using the accession number GSE89749</w:t>
      </w:r>
      <w:r w:rsidR="00F57EBF">
        <w:rPr>
          <w:rFonts w:ascii="Times New Roman" w:hAnsi="Times New Roman" w:cs="Times New Roman"/>
          <w:sz w:val="21"/>
          <w:szCs w:val="21"/>
        </w:rPr>
        <w:fldChar w:fldCharType="begin"/>
      </w:r>
      <w:r w:rsidR="005469F1">
        <w:rPr>
          <w:rFonts w:ascii="Times New Roman" w:hAnsi="Times New Roman" w:cs="Times New Roman"/>
          <w:sz w:val="21"/>
          <w:szCs w:val="21"/>
        </w:rPr>
        <w:instrText xml:space="preserve"> ADDIN ZOTERO_ITEM CSL_CITATION {"citationID":"6bzYCmyt","properties":{"formattedCitation":"\\super 15\\nosupersub{}","plainCitation":"15","noteIndex":0},"citationItems":[{"id":2808,"uris":["http://zotero.org/users/local/o5E1hp2p/items/TSYVX8KI"],"itemData":{"id":2808,"type":"article-journal","abstract":"Cholangiocarcinoma (CCA) is a hepatobiliary malignancy exhibiting high incidence in countries with endemic liver-fluke infection. We analyzed 489 CCAs from 10 countries, combining whole-genome (71 cases), targeted/exome, copy-number, gene expression, and DNA methylation information. Integrative clustering defined 4 CCA clusters-fluke-positive CCAs (clusters 1/2) are enriched in ERBB2 amplifications and TP53 mutations; conversely, fluke-negative CCAs (clusters 3/4) exhibit high copy-number alterations and PD-1/PD-L2 expression, or epigenetic mutations (IDH1/2, BAP1) and FGFR/PRKA-related gene rearrangements. Whole-genome analysis highlighted FGFR2 3' untranslated region deletion as a mechanism of FGFR2 upregulation. Integration of noncoding promoter mutations with protein-DNA binding profiles demonstrates pervasive modulation of H3K27me3-associated sites in CCA. Clusters 1 and 4 exhibit distinct DNA hypermethylation patterns targeting either CpG islands or shores-mutation signature and subclonality analysis suggests that these reflect different mutational pathways. Our results exemplify how genetics, epigenetics, and environmental carcinogens can interplay across different geographies to generate distinct molecular subtypes of cancer.Significance: Integrated whole-genome and epigenomic analysis of CCA on an international scale identifies new CCA driver genes, noncoding promoter mutations, and structural variants. CCA molecular landscapes differ radically by etiology, underscoring how distinct cancer subtypes in the same organ may arise through different extrinsic and intrinsic carcinogenic processes. Cancer Discov; 7(10); 1116-35. ©2017 AACR.This article is highlighted in the In This Issue feature, p. 1047.","container-title":"Cancer Discovery","DOI":"10.1158/2159-8290.CD-17-0368","ISSN":"2159-8290","issue":"10","journalAbbreviation":"Cancer Discov","language":"eng","note":"PMID: 28667006\nPMCID: PMC5628134","page":"1116-1135","source":"PubMed","title":"Whole-Genome and Epigenomic Landscapes of Etiologically Distinct Subtypes of Cholangiocarcinoma","volume":"7","author":[{"family":"Jusakul","given":"Apinya"},{"family":"Cutcutache","given":"Ioana"},{"family":"Yong","given":"Chern Han"},{"family":"Lim","given":"Jing Quan"},{"family":"Huang","given":"Mi Ni"},{"family":"Padmanabhan","given":"Nisha"},{"family":"Nellore","given":"Vishwa"},{"family":"Kongpetch","given":"Sarinya"},{"family":"Ng","given":"Alvin Wei Tian"},{"family":"Ng","given":"Ley Moy"},{"family":"Choo","given":"Su Pin"},{"family":"Myint","given":"Swe Swe"},{"family":"Thanan","given":"Raynoo"},{"family":"Nagarajan","given":"Sanjanaa"},{"family":"Lim","given":"Weng Khong"},{"family":"Ng","given":"Cedric Chuan Young"},{"family":"Boot","given":"Arnoud"},{"family":"Liu","given":"Mo"},{"family":"Ong","given":"Choon Kiat"},{"family":"Rajasegaran","given":"Vikneswari"},{"family":"Lie","given":"Stefanus"},{"family":"Lim","given":"Alvin Soon Tiong"},{"family":"Lim","given":"Tse Hui"},{"family":"Tan","given":"Jing"},{"family":"Loh","given":"Jia Liang"},{"family":"McPherson","given":"John R."},{"family":"Khuntikeo","given":"Narong"},{"family":"Bhudhisawasdi","given":"Vajaraphongsa"},{"family":"Yongvanit","given":"Puangrat"},{"family":"Wongkham","given":"Sopit"},{"family":"Totoki","given":"Yasushi"},{"family":"Nakamura","given":"Hiromi"},{"family":"Arai","given":"Yasuhito"},{"family":"Yamasaki","given":"Satoshi"},{"family":"Chow","given":"Pierce Kah-Hoe"},{"family":"Chung","given":"Alexander Yaw Fui"},{"family":"Ooi","given":"London Lucien Peng Jin"},{"family":"Lim","given":"Kiat Hon"},{"family":"Dima","given":"Simona"},{"family":"Duda","given":"Dan G."},{"family":"Popescu","given":"Irinel"},{"family":"Broet","given":"Philippe"},{"family":"Hsieh","given":"Sen-Yung"},{"family":"Yu","given":"Ming-Chin"},{"family":"Scarpa","given":"Aldo"},{"family":"Lai","given":"Jiaming"},{"family":"Luo","given":"Di-Xian"},{"family":"Carvalho","given":"André Lopes"},{"family":"Vettore","given":"André Luiz"},{"family":"Rhee","given":"Hyungjin"},{"family":"Park","given":"Young Nyun"},{"family":"Alexandrov","given":"Ludmil B."},{"family":"Gordân","given":"Raluca"},{"family":"Rozen","given":"Steven G."},{"family":"Shibata","given":"Tatsuhiro"},{"family":"Pairojkul","given":"Chawalit"},{"family":"Teh","given":"Bin Tean"},{"family":"Tan","given":"Patrick"}],"issued":{"date-parts":[["2017",10]]}}}],"schema":"https://github.com/citation-style-language/schema/raw/master/csl-citation.json"} </w:instrText>
      </w:r>
      <w:r w:rsidR="00F57EBF">
        <w:rPr>
          <w:rFonts w:ascii="Times New Roman" w:hAnsi="Times New Roman" w:cs="Times New Roman"/>
          <w:sz w:val="21"/>
          <w:szCs w:val="21"/>
        </w:rPr>
        <w:fldChar w:fldCharType="separate"/>
      </w:r>
      <w:r w:rsidR="005469F1" w:rsidRPr="005469F1">
        <w:rPr>
          <w:rFonts w:ascii="Times New Roman" w:hAnsi="Times New Roman" w:cs="Times New Roman"/>
          <w:sz w:val="21"/>
          <w:vertAlign w:val="superscript"/>
        </w:rPr>
        <w:t>15</w:t>
      </w:r>
      <w:r w:rsidR="00F57EBF">
        <w:rPr>
          <w:rFonts w:ascii="Times New Roman" w:hAnsi="Times New Roman" w:cs="Times New Roman"/>
          <w:sz w:val="21"/>
          <w:szCs w:val="21"/>
        </w:rPr>
        <w:fldChar w:fldCharType="end"/>
      </w:r>
      <w:r w:rsidRPr="006D591B">
        <w:rPr>
          <w:rFonts w:ascii="Times New Roman" w:hAnsi="Times New Roman" w:cs="Times New Roman"/>
          <w:sz w:val="21"/>
          <w:szCs w:val="21"/>
        </w:rPr>
        <w:t>. The dataset was processed using the affy package (version 1.68.0)</w:t>
      </w:r>
      <w:r w:rsidR="00F01F40">
        <w:rPr>
          <w:rFonts w:ascii="Times New Roman" w:hAnsi="Times New Roman" w:cs="Times New Roman"/>
          <w:sz w:val="21"/>
          <w:szCs w:val="21"/>
        </w:rPr>
        <w:fldChar w:fldCharType="begin"/>
      </w:r>
      <w:r w:rsidR="005469F1">
        <w:rPr>
          <w:rFonts w:ascii="Times New Roman" w:hAnsi="Times New Roman" w:cs="Times New Roman"/>
          <w:sz w:val="21"/>
          <w:szCs w:val="21"/>
        </w:rPr>
        <w:instrText xml:space="preserve"> ADDIN ZOTERO_ITEM CSL_CITATION {"citationID":"k5jxjOve","properties":{"formattedCitation":"\\super 16\\nosupersub{}","plainCitation":"16","noteIndex":0},"citationItems":[{"id":2811,"uris":["http://zotero.org/users/local/o5E1hp2p/items/HNYY8MSG"],"itemData":{"id":2811,"type":"article-journal","abstract":"Motivation: The processing of the Affymetrix GeneChip data has been a recent focus for data analysts. Alternatives to the original procedure have been proposed and some of these new methods are widely used.Results: The affy package is an R package of functions and classes for the analysis of oligonucleotide arrays manufactured by Affymetrix. The package is currently in its second release, affy provides the user with extreme flexibility when carrying out an analysis and make it possible to access and manipulate probe intensity data. In this paper, we present the main classes and functions in the package and demonstrate how they can be used to process probe-level data. We also demonstrate the importance of probe-level analysis when using the Affymetrix GeneChip platform.","container-title":"Bioinformatics","DOI":"10.1093/bioinformatics/btg405","ISSN":"1367-4803","issue":"3","journalAbbreviation":"Bioinformatics","page":"307-315","source":"Silverchair","title":"affy—analysis of Affymetrix GeneChip data at the probe level","volume":"20","author":[{"family":"Gautier","given":"Laurent"},{"family":"Cope","given":"Leslie"},{"family":"Bolstad","given":"Benjamin M."},{"family":"Irizarry","given":"Rafael A."}],"issued":{"date-parts":[["2004",2,12]]}}}],"schema":"https://github.com/citation-style-language/schema/raw/master/csl-citation.json"} </w:instrText>
      </w:r>
      <w:r w:rsidR="00F01F40">
        <w:rPr>
          <w:rFonts w:ascii="Times New Roman" w:hAnsi="Times New Roman" w:cs="Times New Roman"/>
          <w:sz w:val="21"/>
          <w:szCs w:val="21"/>
        </w:rPr>
        <w:fldChar w:fldCharType="separate"/>
      </w:r>
      <w:r w:rsidR="005469F1" w:rsidRPr="005469F1">
        <w:rPr>
          <w:rFonts w:ascii="Times New Roman" w:hAnsi="Times New Roman" w:cs="Times New Roman"/>
          <w:sz w:val="21"/>
          <w:vertAlign w:val="superscript"/>
        </w:rPr>
        <w:t>16</w:t>
      </w:r>
      <w:r w:rsidR="00F01F40">
        <w:rPr>
          <w:rFonts w:ascii="Times New Roman" w:hAnsi="Times New Roman" w:cs="Times New Roman"/>
          <w:sz w:val="21"/>
          <w:szCs w:val="21"/>
        </w:rPr>
        <w:fldChar w:fldCharType="end"/>
      </w:r>
      <w:r w:rsidRPr="006D591B">
        <w:rPr>
          <w:rFonts w:ascii="Times New Roman" w:hAnsi="Times New Roman" w:cs="Times New Roman"/>
          <w:sz w:val="21"/>
          <w:szCs w:val="21"/>
        </w:rPr>
        <w:t>. Batch effects were removed using the ComBat function from the sva package (version 3.38.0)</w:t>
      </w:r>
      <w:r w:rsidR="00F01F40">
        <w:rPr>
          <w:rFonts w:ascii="Times New Roman" w:hAnsi="Times New Roman" w:cs="Times New Roman"/>
          <w:sz w:val="21"/>
          <w:szCs w:val="21"/>
        </w:rPr>
        <w:fldChar w:fldCharType="begin"/>
      </w:r>
      <w:r w:rsidR="005469F1">
        <w:rPr>
          <w:rFonts w:ascii="Times New Roman" w:hAnsi="Times New Roman" w:cs="Times New Roman"/>
          <w:sz w:val="21"/>
          <w:szCs w:val="21"/>
        </w:rPr>
        <w:instrText xml:space="preserve"> ADDIN ZOTERO_ITEM CSL_CITATION {"citationID":"C7qNe3RI","properties":{"formattedCitation":"\\super 17\\nosupersub{}","plainCitation":"17","noteIndex":0},"citationItems":[{"id":2812,"uris":["http://zotero.org/users/local/o5E1hp2p/items/LAWKGQ7I"],"itemData":{"id":2812,"type":"article-journal","abstract":"Summary: Heterogeneity and latent variables are now widely recognized as major sources of bias and variability in high-throughput experiments. The most well-known source of latent variation in genomic experiments are batch effects—when samples are processed on different days, in different groups or by different people. However, there are also a large number of other variables that may have a major impact on high-throughput measurements. Here we describe the sva package for identifying, estimating and removing unwanted sources of variation in high-throughput experiments. The sva package supports surrogate variable estimation with the sva function, direct adjustment for known batch effects with the ComBat function and adjustment for batch and latent variables in prediction problems with the fsva function.Availability: The R package sva is freely available from http://www.bioconductor.org.Contact:  jleek@jhsph.eduSupplementary information:  Supplementary data are available at Bioinformatics online.","container-title":"Bioinformatics","DOI":"10.1093/bioinformatics/bts034","ISSN":"1367-4803","issue":"6","journalAbbreviation":"Bioinformatics","page":"882-883","source":"Silverchair","title":"The sva package for removing batch effects and other unwanted variation in high-throughput experiments","volume":"28","author":[{"family":"Leek","given":"Jeffrey T."},{"family":"Johnson","given":"W. Evan"},{"family":"Parker","given":"Hilary S."},{"family":"Jaffe","given":"Andrew E."},{"family":"Storey","given":"John D."}],"issued":{"date-parts":[["2012",3,15]]}}}],"schema":"https://github.com/citation-style-language/schema/raw/master/csl-citation.json"} </w:instrText>
      </w:r>
      <w:r w:rsidR="00F01F40">
        <w:rPr>
          <w:rFonts w:ascii="Times New Roman" w:hAnsi="Times New Roman" w:cs="Times New Roman"/>
          <w:sz w:val="21"/>
          <w:szCs w:val="21"/>
        </w:rPr>
        <w:fldChar w:fldCharType="separate"/>
      </w:r>
      <w:r w:rsidR="005469F1" w:rsidRPr="005469F1">
        <w:rPr>
          <w:rFonts w:ascii="Times New Roman" w:hAnsi="Times New Roman" w:cs="Times New Roman"/>
          <w:sz w:val="21"/>
          <w:vertAlign w:val="superscript"/>
        </w:rPr>
        <w:t>17</w:t>
      </w:r>
      <w:r w:rsidR="00F01F40">
        <w:rPr>
          <w:rFonts w:ascii="Times New Roman" w:hAnsi="Times New Roman" w:cs="Times New Roman"/>
          <w:sz w:val="21"/>
          <w:szCs w:val="21"/>
        </w:rPr>
        <w:fldChar w:fldCharType="end"/>
      </w:r>
      <w:r w:rsidRPr="006D591B">
        <w:rPr>
          <w:rFonts w:ascii="Times New Roman" w:hAnsi="Times New Roman" w:cs="Times New Roman"/>
          <w:sz w:val="21"/>
          <w:szCs w:val="21"/>
        </w:rPr>
        <w:t>. The meta-program scores for each patient were calculated as described above, and the subtypes were clustered using the k-means algorithm, consistent with the previous analysis.</w:t>
      </w:r>
    </w:p>
    <w:p w:rsidR="004D2D45" w:rsidRPr="006D591B" w:rsidRDefault="004D2D45" w:rsidP="004D2D45">
      <w:pPr>
        <w:spacing w:line="360" w:lineRule="auto"/>
        <w:rPr>
          <w:rFonts w:ascii="Times New Roman" w:hAnsi="Times New Roman" w:cs="Times New Roman"/>
          <w:b/>
          <w:color w:val="000000" w:themeColor="text1"/>
          <w:sz w:val="21"/>
          <w:szCs w:val="21"/>
          <w:lang w:val="en-US"/>
        </w:rPr>
      </w:pPr>
      <w:r w:rsidRPr="006D591B">
        <w:rPr>
          <w:rFonts w:ascii="Times New Roman" w:hAnsi="Times New Roman" w:cs="Times New Roman"/>
          <w:b/>
          <w:color w:val="000000" w:themeColor="text1"/>
          <w:sz w:val="21"/>
          <w:szCs w:val="21"/>
          <w:lang w:val="en-US"/>
        </w:rPr>
        <w:t>Drug screening based on cholangiocarcinoma organoid</w:t>
      </w:r>
    </w:p>
    <w:p w:rsidR="004D2D45" w:rsidRPr="006D591B" w:rsidRDefault="004D2D45" w:rsidP="004D2D45">
      <w:pPr>
        <w:rPr>
          <w:rFonts w:ascii="Times New Roman" w:hAnsi="Times New Roman" w:cs="Times New Roman"/>
          <w:sz w:val="21"/>
          <w:szCs w:val="21"/>
        </w:rPr>
      </w:pPr>
      <w:r w:rsidRPr="006D591B">
        <w:rPr>
          <w:rFonts w:ascii="Times New Roman" w:hAnsi="Times New Roman" w:cs="Times New Roman"/>
          <w:sz w:val="21"/>
          <w:szCs w:val="21"/>
        </w:rPr>
        <w:t>A mixture of 5 µL medium and 5 µL Matrigel was dispensed into 384-well microplates and allowed to polymerize. Cells, dissociated from organoids using TrypLE Express (Gibco, 12604013), were seeded at a density of 1 x 10</w:t>
      </w:r>
      <w:r w:rsidRPr="006D591B">
        <w:rPr>
          <w:rFonts w:ascii="Times New Roman" w:hAnsi="Times New Roman" w:cs="Times New Roman"/>
          <w:sz w:val="21"/>
          <w:szCs w:val="21"/>
          <w:vertAlign w:val="superscript"/>
        </w:rPr>
        <w:t>3</w:t>
      </w:r>
      <w:r w:rsidRPr="006D591B">
        <w:rPr>
          <w:rFonts w:ascii="Times New Roman" w:hAnsi="Times New Roman" w:cs="Times New Roman"/>
          <w:sz w:val="21"/>
          <w:szCs w:val="21"/>
        </w:rPr>
        <w:t xml:space="preserve"> cells per well in a total volume of 30 µL and cultured overnight. Subsequently, 30 µL of drug solution was added to the culture medium to achieve a final concentration of 10 µM according to the instruction of 175 compounds library (Selleck, L2000). After a 4-day incubation with the drugs, cell viability was assessed using the CellTiter-Glo 3D Reagent (Promega, G9683), following the manufacturer’s protocol. </w:t>
      </w:r>
    </w:p>
    <w:p w:rsidR="004D2D45" w:rsidRPr="006D591B" w:rsidRDefault="004D2D45" w:rsidP="004D2D45">
      <w:pPr>
        <w:spacing w:line="360" w:lineRule="auto"/>
        <w:rPr>
          <w:rFonts w:ascii="Times New Roman" w:hAnsi="Times New Roman" w:cs="Times New Roman"/>
          <w:b/>
          <w:color w:val="000000" w:themeColor="text1"/>
          <w:sz w:val="21"/>
          <w:szCs w:val="21"/>
          <w:lang w:val="en-US"/>
        </w:rPr>
      </w:pPr>
      <w:r w:rsidRPr="006D591B">
        <w:rPr>
          <w:rFonts w:ascii="Times New Roman" w:hAnsi="Times New Roman" w:cs="Times New Roman"/>
          <w:b/>
          <w:color w:val="000000" w:themeColor="text1"/>
          <w:sz w:val="21"/>
          <w:szCs w:val="21"/>
          <w:lang w:val="en-US"/>
        </w:rPr>
        <w:t>Organoid viability analysis and visualization</w:t>
      </w:r>
    </w:p>
    <w:p w:rsidR="004D2D45" w:rsidRPr="006D591B" w:rsidRDefault="004D2D45" w:rsidP="004D2D45">
      <w:pPr>
        <w:rPr>
          <w:rFonts w:ascii="Times New Roman" w:hAnsi="Times New Roman" w:cs="Times New Roman"/>
          <w:sz w:val="21"/>
          <w:szCs w:val="21"/>
        </w:rPr>
      </w:pPr>
      <w:r w:rsidRPr="006D591B">
        <w:rPr>
          <w:rFonts w:ascii="Times New Roman" w:hAnsi="Times New Roman" w:cs="Times New Roman"/>
          <w:sz w:val="21"/>
          <w:szCs w:val="21"/>
        </w:rPr>
        <w:t xml:space="preserve">The viability of the organoids was computed using the formula after subtracting background: </w:t>
      </w:r>
      <w:r w:rsidR="00A15783" w:rsidRPr="00A15783">
        <w:rPr>
          <w:rFonts w:ascii="Times New Roman" w:hAnsi="Times New Roman" w:cs="Times New Roman" w:hint="eastAsia"/>
          <w:sz w:val="21"/>
          <w:szCs w:val="21"/>
        </w:rPr>
        <w:t xml:space="preserve">luminescence of drug-treated wells / luminescence of DMSO control wells </w:t>
      </w:r>
      <w:r w:rsidR="00A15783" w:rsidRPr="00375E70">
        <w:rPr>
          <w:rFonts w:ascii="Times New Roman" w:hAnsi="Times New Roman" w:cs="Times New Roman"/>
          <w:sz w:val="21"/>
          <w:szCs w:val="21"/>
        </w:rPr>
        <w:t xml:space="preserve">× </w:t>
      </w:r>
      <w:r w:rsidR="00A15783" w:rsidRPr="00A15783">
        <w:rPr>
          <w:rFonts w:ascii="Times New Roman" w:hAnsi="Times New Roman" w:cs="Times New Roman" w:hint="eastAsia"/>
          <w:sz w:val="21"/>
          <w:szCs w:val="21"/>
        </w:rPr>
        <w:t>100%</w:t>
      </w:r>
      <w:r w:rsidRPr="006D591B">
        <w:rPr>
          <w:rFonts w:ascii="Times New Roman" w:hAnsi="Times New Roman" w:cs="Times New Roman"/>
          <w:sz w:val="21"/>
          <w:szCs w:val="21"/>
        </w:rPr>
        <w:t xml:space="preserve">. To determine </w:t>
      </w:r>
      <w:r w:rsidRPr="006D591B">
        <w:rPr>
          <w:rFonts w:ascii="Times New Roman" w:hAnsi="Times New Roman" w:cs="Times New Roman"/>
          <w:sz w:val="21"/>
          <w:szCs w:val="21"/>
        </w:rPr>
        <w:lastRenderedPageBreak/>
        <w:t>the Z-scores of the organoids, the following calculation was applied: (viability of drug-treated wells - viability of DMSO control wells) / standard deviation of DMSO control viabilities</w:t>
      </w:r>
      <w:r w:rsidRPr="006D591B">
        <w:rPr>
          <w:rFonts w:ascii="Times New Roman" w:hAnsi="Times New Roman" w:cs="Times New Roman"/>
          <w:sz w:val="21"/>
          <w:szCs w:val="21"/>
        </w:rPr>
        <w:fldChar w:fldCharType="begin"/>
      </w:r>
      <w:r w:rsidR="005469F1">
        <w:rPr>
          <w:rFonts w:ascii="Times New Roman" w:hAnsi="Times New Roman" w:cs="Times New Roman"/>
          <w:sz w:val="21"/>
          <w:szCs w:val="21"/>
        </w:rPr>
        <w:instrText xml:space="preserve"> ADDIN ZOTERO_ITEM CSL_CITATION {"citationID":"KkX4BkjJ","properties":{"formattedCitation":"\\super 18\\nosupersub{}","plainCitation":"18","noteIndex":0},"citationItems":[{"id":1712,"uris":["http://zotero.org/users/local/o5E1hp2p/items/73KNW66B"],"itemData":{"id":1712,"type":"article-journal","container-title":"SCIENCE ADVANCES","language":"en","source":"Zotero","title":"Personalized chordoma organoids for drug discovery studies","author":[{"family":"Lam","given":"Huyen Thi"}],"issued":{"date-parts":[["2022"]]}}}],"schema":"https://github.com/citation-style-language/schema/raw/master/csl-citation.json"} </w:instrText>
      </w:r>
      <w:r w:rsidRPr="006D591B">
        <w:rPr>
          <w:rFonts w:ascii="Times New Roman" w:hAnsi="Times New Roman" w:cs="Times New Roman"/>
          <w:sz w:val="21"/>
          <w:szCs w:val="21"/>
        </w:rPr>
        <w:fldChar w:fldCharType="separate"/>
      </w:r>
      <w:r w:rsidR="005469F1" w:rsidRPr="005469F1">
        <w:rPr>
          <w:rFonts w:ascii="Times New Roman" w:hAnsi="Times New Roman" w:cs="Times New Roman"/>
          <w:sz w:val="21"/>
          <w:vertAlign w:val="superscript"/>
        </w:rPr>
        <w:t>18</w:t>
      </w:r>
      <w:r w:rsidRPr="006D591B">
        <w:rPr>
          <w:rFonts w:ascii="Times New Roman" w:hAnsi="Times New Roman" w:cs="Times New Roman"/>
          <w:sz w:val="21"/>
          <w:szCs w:val="21"/>
        </w:rPr>
        <w:fldChar w:fldCharType="end"/>
      </w:r>
      <w:r w:rsidRPr="006D591B">
        <w:rPr>
          <w:rFonts w:ascii="Times New Roman" w:hAnsi="Times New Roman" w:cs="Times New Roman"/>
          <w:sz w:val="21"/>
          <w:szCs w:val="21"/>
        </w:rPr>
        <w:t>. The response for each drug was quantified as the cumulative sum of its respective Z-scores and scaled from 1 to 100. Information on the target pathways of the drugs was supplied by the manufacturer, while the drug statuses in our assay were searched from the PubChem database. The ComplexHeatmap R package was employed to graphically represent the viability and Z-score data</w:t>
      </w:r>
      <w:r w:rsidR="00C37290">
        <w:rPr>
          <w:rFonts w:ascii="Times New Roman" w:hAnsi="Times New Roman" w:cs="Times New Roman"/>
          <w:sz w:val="21"/>
          <w:szCs w:val="21"/>
        </w:rPr>
        <w:fldChar w:fldCharType="begin"/>
      </w:r>
      <w:r w:rsidR="005469F1">
        <w:rPr>
          <w:rFonts w:ascii="Times New Roman" w:hAnsi="Times New Roman" w:cs="Times New Roman"/>
          <w:sz w:val="21"/>
          <w:szCs w:val="21"/>
        </w:rPr>
        <w:instrText xml:space="preserve"> ADDIN ZOTERO_ITEM CSL_CITATION {"citationID":"tUUtpzDC","properties":{"formattedCitation":"\\super 19\\nosupersub{}","plainCitation":"19","noteIndex":0},"citationItems":[{"id":2792,"uris":["http://zotero.org/users/local/o5E1hp2p/items/KSPSUZN9"],"itemData":{"id":2792,"type":"article-journal","abstract":"Heatmap is a widely used statistical visualization method on matrix-like data to reveal similar patterns shared by subsets of rows and columns. In the R programming language, there are many packages that make heatmaps. Among them, the ComplexHeatmap package provides the richest toolset for constructing highly customizable heatmaps. ComplexHeatmap can easily establish connections between multisource information by automatically concatenating and adjusting a list of heatmaps as well as complex annotations, which makes it widely applied in data analysis in many fields, especially in bioinformatics, to find hidden structures in the data. In this article, we give a comprehensive introduction to the current state of ComplexHeatmap, including its modular design, its rich functionalities, and its broad applications.","container-title":"iMeta","DOI":"10.1002/imt2.43","ISSN":"2770-596X","issue":"3","journalAbbreviation":"Imeta","language":"eng","note":"PMID: 38868715\nPMCID: PMC10989952","page":"e43","source":"PubMed","title":"Complex heatmap visualization","volume":"1","author":[{"family":"Gu","given":"Zuguang"}],"issued":{"date-parts":[["2022",9]]}}}],"schema":"https://github.com/citation-style-language/schema/raw/master/csl-citation.json"} </w:instrText>
      </w:r>
      <w:r w:rsidR="00C37290">
        <w:rPr>
          <w:rFonts w:ascii="Times New Roman" w:hAnsi="Times New Roman" w:cs="Times New Roman"/>
          <w:sz w:val="21"/>
          <w:szCs w:val="21"/>
        </w:rPr>
        <w:fldChar w:fldCharType="separate"/>
      </w:r>
      <w:r w:rsidR="005469F1" w:rsidRPr="005469F1">
        <w:rPr>
          <w:rFonts w:ascii="Times New Roman" w:hAnsi="Times New Roman" w:cs="Times New Roman"/>
          <w:sz w:val="21"/>
          <w:vertAlign w:val="superscript"/>
        </w:rPr>
        <w:t>19</w:t>
      </w:r>
      <w:r w:rsidR="00C37290">
        <w:rPr>
          <w:rFonts w:ascii="Times New Roman" w:hAnsi="Times New Roman" w:cs="Times New Roman"/>
          <w:sz w:val="21"/>
          <w:szCs w:val="21"/>
        </w:rPr>
        <w:fldChar w:fldCharType="end"/>
      </w:r>
      <w:r w:rsidRPr="006D591B">
        <w:rPr>
          <w:rFonts w:ascii="Times New Roman" w:hAnsi="Times New Roman" w:cs="Times New Roman"/>
          <w:sz w:val="21"/>
          <w:szCs w:val="21"/>
        </w:rPr>
        <w:t>. Initially, the drugs were categorized according to their target pathways, and subsequently, they were ordered in ascending sequence based on their overall response.</w:t>
      </w:r>
    </w:p>
    <w:p w:rsidR="004D2D45" w:rsidRPr="006D591B" w:rsidRDefault="004D2D45" w:rsidP="004D2D45">
      <w:pPr>
        <w:spacing w:line="360" w:lineRule="auto"/>
        <w:rPr>
          <w:rFonts w:ascii="Times New Roman" w:hAnsi="Times New Roman" w:cs="Times New Roman"/>
          <w:b/>
          <w:color w:val="000000" w:themeColor="text1"/>
          <w:sz w:val="21"/>
          <w:szCs w:val="21"/>
          <w:lang w:val="en-US"/>
        </w:rPr>
      </w:pPr>
      <w:r w:rsidRPr="006D591B">
        <w:rPr>
          <w:rFonts w:ascii="Times New Roman" w:hAnsi="Times New Roman" w:cs="Times New Roman"/>
          <w:b/>
          <w:color w:val="000000" w:themeColor="text1"/>
          <w:sz w:val="21"/>
          <w:szCs w:val="21"/>
          <w:lang w:val="en-US"/>
        </w:rPr>
        <w:t xml:space="preserve">Cell stemness </w:t>
      </w:r>
    </w:p>
    <w:p w:rsidR="004D2D45" w:rsidRPr="006D591B" w:rsidRDefault="004D2D45" w:rsidP="004D2D45">
      <w:pPr>
        <w:rPr>
          <w:rFonts w:ascii="Times New Roman" w:hAnsi="Times New Roman" w:cs="Times New Roman"/>
          <w:sz w:val="21"/>
          <w:szCs w:val="21"/>
        </w:rPr>
      </w:pPr>
      <w:r w:rsidRPr="006D591B">
        <w:rPr>
          <w:rFonts w:ascii="Times New Roman" w:hAnsi="Times New Roman" w:cs="Times New Roman"/>
          <w:sz w:val="21"/>
          <w:szCs w:val="21"/>
        </w:rPr>
        <w:t>CytoTRACE analysis was performed to infer the stemness of malignant epithelial cells and mesenchymal cells with default parameters</w:t>
      </w:r>
      <w:r w:rsidRPr="006D591B">
        <w:rPr>
          <w:rFonts w:ascii="Times New Roman" w:hAnsi="Times New Roman" w:cs="Times New Roman"/>
          <w:sz w:val="21"/>
          <w:szCs w:val="21"/>
        </w:rPr>
        <w:fldChar w:fldCharType="begin"/>
      </w:r>
      <w:r w:rsidR="005469F1">
        <w:rPr>
          <w:rFonts w:ascii="Times New Roman" w:hAnsi="Times New Roman" w:cs="Times New Roman"/>
          <w:sz w:val="21"/>
          <w:szCs w:val="21"/>
        </w:rPr>
        <w:instrText xml:space="preserve"> ADDIN ZOTERO_ITEM CSL_CITATION {"citationID":"qZSKChro","properties":{"formattedCitation":"\\super 20\\nosupersub{}","plainCitation":"20","noteIndex":0},"citationItems":[{"id":1754,"uris":["http://zotero.org/users/local/o5E1hp2p/items/L34E4ZBE"],"itemData":{"id":1754,"type":"article-journal","abstract":"Single-cell RNA sequencing (scRNA-seq) is a powerful approach for reconstructing cellular differentiation trajectories. However, inferring both the state and direction of differentiation is challenging. Here, we demonstrate a simple, yet robust, determinant of developmental potential—the number of expressed genes per cell—and leverage this measure of transcriptional diversity to develop a computational framework (CytoTRACE) for predicting differentiation states from scRNA-seq data. When applied to diverse tissue types and organisms, CytoTRACE outperformed previous methods and nearly 19,000 annotated gene sets for resolving 52 experimentally determined developmental trajectories. Additionally, it facilitated the identification of quiescent stem cells and revealed genes that contribute to breast tumorigenesis. This study thus establishes a key RNA-based feature of developmental potential and a platform for delineation of cellular hierarchies.","container-title":"Science","DOI":"10.1126/science.aax0249","issue":"6476","note":"publisher: American Association for the Advancement of Science","page":"405-411","source":"science.org (Atypon)","title":"Single-cell transcriptional diversity is a hallmark of developmental potential","volume":"367","author":[{"family":"Gulati","given":"Gunsagar S."},{"family":"Sikandar","given":"Shaheen S."},{"family":"Wesche","given":"Daniel J."},{"family":"Manjunath","given":"Anoop"},{"family":"Bharadwaj","given":"Anjan"},{"family":"Berger","given":"Mark J."},{"family":"Ilagan","given":"Francisco"},{"family":"Kuo","given":"Angera H."},{"family":"Hsieh","given":"Robert W."},{"family":"Cai","given":"Shang"},{"family":"Zabala","given":"Maider"},{"family":"Scheeren","given":"Ferenc A."},{"family":"Lobo","given":"Neethan A."},{"family":"Qian","given":"Dalong"},{"family":"Yu","given":"Feiqiao B."},{"family":"Dirbas","given":"Frederick M."},{"family":"Clarke","given":"Michael F."},{"family":"Newman","given":"Aaron M."}],"issued":{"date-parts":[["2020",1,24]]}}}],"schema":"https://github.com/citation-style-language/schema/raw/master/csl-citation.json"} </w:instrText>
      </w:r>
      <w:r w:rsidRPr="006D591B">
        <w:rPr>
          <w:rFonts w:ascii="Times New Roman" w:hAnsi="Times New Roman" w:cs="Times New Roman"/>
          <w:sz w:val="21"/>
          <w:szCs w:val="21"/>
        </w:rPr>
        <w:fldChar w:fldCharType="separate"/>
      </w:r>
      <w:r w:rsidR="005469F1" w:rsidRPr="005469F1">
        <w:rPr>
          <w:rFonts w:ascii="Times New Roman" w:hAnsi="Times New Roman" w:cs="Times New Roman"/>
          <w:sz w:val="21"/>
          <w:vertAlign w:val="superscript"/>
        </w:rPr>
        <w:t>20</w:t>
      </w:r>
      <w:r w:rsidRPr="006D591B">
        <w:rPr>
          <w:rFonts w:ascii="Times New Roman" w:hAnsi="Times New Roman" w:cs="Times New Roman"/>
          <w:sz w:val="21"/>
          <w:szCs w:val="21"/>
        </w:rPr>
        <w:fldChar w:fldCharType="end"/>
      </w:r>
      <w:r w:rsidRPr="006D591B">
        <w:rPr>
          <w:rFonts w:ascii="Times New Roman" w:hAnsi="Times New Roman" w:cs="Times New Roman"/>
          <w:sz w:val="21"/>
          <w:szCs w:val="21"/>
        </w:rPr>
        <w:t xml:space="preserve">. </w:t>
      </w:r>
    </w:p>
    <w:p w:rsidR="00986C37" w:rsidRPr="006D591B" w:rsidRDefault="00986C37" w:rsidP="00986C37">
      <w:pPr>
        <w:spacing w:line="360" w:lineRule="auto"/>
        <w:rPr>
          <w:rFonts w:ascii="Times New Roman" w:hAnsi="Times New Roman" w:cs="Times New Roman"/>
          <w:b/>
          <w:color w:val="000000" w:themeColor="text1"/>
          <w:sz w:val="21"/>
          <w:szCs w:val="21"/>
          <w:lang w:val="en-US"/>
        </w:rPr>
      </w:pPr>
      <w:r w:rsidRPr="006D591B">
        <w:rPr>
          <w:rFonts w:ascii="Times New Roman" w:hAnsi="Times New Roman" w:cs="Times New Roman"/>
          <w:b/>
          <w:color w:val="000000" w:themeColor="text1"/>
          <w:sz w:val="21"/>
          <w:szCs w:val="21"/>
          <w:lang w:val="en-US"/>
        </w:rPr>
        <w:t>Trajectory analysis</w:t>
      </w:r>
    </w:p>
    <w:p w:rsidR="00986C37" w:rsidRPr="006D591B" w:rsidRDefault="00986C37" w:rsidP="00986C37">
      <w:pPr>
        <w:rPr>
          <w:rFonts w:ascii="Times New Roman" w:hAnsi="Times New Roman" w:cs="Times New Roman"/>
          <w:sz w:val="21"/>
          <w:szCs w:val="21"/>
        </w:rPr>
      </w:pPr>
      <w:r w:rsidRPr="006D591B">
        <w:rPr>
          <w:rFonts w:ascii="Times New Roman" w:hAnsi="Times New Roman" w:cs="Times New Roman"/>
          <w:sz w:val="21"/>
          <w:szCs w:val="21"/>
        </w:rPr>
        <w:t>Monocle2 (version 2.18.0) was employed to deduce the pseudo-temporal trajectory of eCCA malignant cells based on their transcriptional profiles</w:t>
      </w:r>
      <w:r w:rsidRPr="006D591B">
        <w:rPr>
          <w:rFonts w:ascii="Times New Roman" w:hAnsi="Times New Roman" w:cs="Times New Roman"/>
          <w:sz w:val="21"/>
          <w:szCs w:val="21"/>
        </w:rPr>
        <w:fldChar w:fldCharType="begin"/>
      </w:r>
      <w:r w:rsidR="005469F1">
        <w:rPr>
          <w:rFonts w:ascii="Times New Roman" w:hAnsi="Times New Roman" w:cs="Times New Roman"/>
          <w:sz w:val="21"/>
          <w:szCs w:val="21"/>
        </w:rPr>
        <w:instrText xml:space="preserve"> ADDIN ZOTERO_ITEM CSL_CITATION {"citationID":"ZWtFYsNp","properties":{"formattedCitation":"\\super 21\\nosupersub{}","plainCitation":"21","noteIndex":0},"citationItems":[{"id":1759,"uris":["http://zotero.org/users/local/o5E1hp2p/items/QBWQ9KXJ"],"itemData":{"id":1759,"type":"article-journal","abstract":"Monocle 2 uses reversed graph embedding to automatically learn complex, branched pseudotime trajectories of differentiation or cellular state changes from single-cell expression data.","container-title":"Nature Methods","DOI":"10.1038/nmeth.4402","ISSN":"1548-7105","issue":"10","journalAbbreviation":"Nat Methods","language":"en","license":"2017 Springer Nature Limited","note":"publisher: Nature Publishing Group","page":"979-982","source":"www.nature.com","title":"Reversed graph embedding resolves complex single-cell trajectories","volume":"14","author":[{"family":"Qiu","given":"Xiaojie"},{"family":"Mao","given":"Qi"},{"family":"Tang","given":"Ying"},{"family":"Wang","given":"Li"},{"family":"Chawla","given":"Raghav"},{"family":"Pliner","given":"Hannah A."},{"family":"Trapnell","given":"Cole"}],"issued":{"date-parts":[["2017",10]]}}}],"schema":"https://github.com/citation-style-language/schema/raw/master/csl-citation.json"} </w:instrText>
      </w:r>
      <w:r w:rsidRPr="006D591B">
        <w:rPr>
          <w:rFonts w:ascii="Times New Roman" w:hAnsi="Times New Roman" w:cs="Times New Roman"/>
          <w:sz w:val="21"/>
          <w:szCs w:val="21"/>
        </w:rPr>
        <w:fldChar w:fldCharType="separate"/>
      </w:r>
      <w:r w:rsidR="005469F1" w:rsidRPr="005469F1">
        <w:rPr>
          <w:rFonts w:ascii="Times New Roman" w:hAnsi="Times New Roman" w:cs="Times New Roman"/>
          <w:sz w:val="21"/>
          <w:vertAlign w:val="superscript"/>
        </w:rPr>
        <w:t>21</w:t>
      </w:r>
      <w:r w:rsidRPr="006D591B">
        <w:rPr>
          <w:rFonts w:ascii="Times New Roman" w:hAnsi="Times New Roman" w:cs="Times New Roman"/>
          <w:sz w:val="21"/>
          <w:szCs w:val="21"/>
        </w:rPr>
        <w:fldChar w:fldCharType="end"/>
      </w:r>
      <w:r w:rsidRPr="006D591B">
        <w:rPr>
          <w:rFonts w:ascii="Times New Roman" w:hAnsi="Times New Roman" w:cs="Times New Roman"/>
          <w:sz w:val="21"/>
          <w:szCs w:val="21"/>
        </w:rPr>
        <w:t>. A CellDataSet object was created from the Seurat object. Genes that were expressed in less than 10% of the cells were excluded from the analysis. The top 500 genes with the highest variability were chosen for subsequent cell ordering using the setOrderingFilter function. The DDRTree algorithm within the reduceDimension function was utilized to construct the trajectory. The initial root of the trajectory was identified using CytoTRACE, which highlighted cells with a high potential for differentiation (stemness score).</w:t>
      </w:r>
    </w:p>
    <w:p w:rsidR="004D2D45" w:rsidRPr="006D591B" w:rsidRDefault="004D2D45" w:rsidP="004D2D45">
      <w:pPr>
        <w:spacing w:line="360" w:lineRule="auto"/>
        <w:rPr>
          <w:rFonts w:ascii="Times New Roman" w:hAnsi="Times New Roman" w:cs="Times New Roman"/>
          <w:b/>
          <w:color w:val="000000" w:themeColor="text1"/>
          <w:sz w:val="21"/>
          <w:szCs w:val="21"/>
          <w:lang w:val="en-US"/>
        </w:rPr>
      </w:pPr>
      <w:r w:rsidRPr="006D591B">
        <w:rPr>
          <w:rFonts w:ascii="Times New Roman" w:hAnsi="Times New Roman" w:cs="Times New Roman"/>
          <w:b/>
          <w:color w:val="000000" w:themeColor="text1"/>
          <w:sz w:val="21"/>
          <w:szCs w:val="21"/>
          <w:lang w:val="en-US"/>
        </w:rPr>
        <w:t xml:space="preserve">RNA in situ sequencing of eCCA </w:t>
      </w:r>
    </w:p>
    <w:p w:rsidR="004D2D45" w:rsidRPr="006D591B" w:rsidRDefault="004D2D45" w:rsidP="004D2D45">
      <w:pPr>
        <w:rPr>
          <w:rFonts w:ascii="Times New Roman" w:hAnsi="Times New Roman" w:cs="Times New Roman"/>
          <w:sz w:val="21"/>
          <w:szCs w:val="21"/>
        </w:rPr>
      </w:pPr>
      <w:r w:rsidRPr="006D591B">
        <w:rPr>
          <w:rFonts w:ascii="Times New Roman" w:hAnsi="Times New Roman" w:cs="Times New Roman"/>
          <w:sz w:val="21"/>
          <w:szCs w:val="21"/>
        </w:rPr>
        <w:t>RNA in situ sequencing of eCCA was carried by Dynamic Biosystems (Suzhou, China). Formalin-fixed paraffin embedded tissue of eCCA were cut into 5-μm thickness sections, followed by baking 30 min at 60°C in an oven and deparaffinization in xylene for 15 and 10 minutes respectively. To rehydrate tissue sections, slides were immersed into 100%, 95% and 70% ethanol successively, each twice for 2 minutes, and submerged in diethyl DEPC-H</w:t>
      </w:r>
      <w:r w:rsidRPr="006D591B">
        <w:rPr>
          <w:rFonts w:ascii="Times New Roman" w:hAnsi="Times New Roman" w:cs="Times New Roman"/>
          <w:sz w:val="21"/>
          <w:szCs w:val="21"/>
          <w:vertAlign w:val="subscript"/>
        </w:rPr>
        <w:t>2</w:t>
      </w:r>
      <w:r w:rsidRPr="006D591B">
        <w:rPr>
          <w:rFonts w:ascii="Times New Roman" w:hAnsi="Times New Roman" w:cs="Times New Roman"/>
          <w:sz w:val="21"/>
          <w:szCs w:val="21"/>
        </w:rPr>
        <w:t xml:space="preserve">Ofor 5 minutes, followed by washed with DEPC-PBS for 2 minutes. To fix tissues, the slides were soaked into 4% (w/v) </w:t>
      </w:r>
      <w:bookmarkStart w:id="4" w:name="_Hlk173742469"/>
      <w:r w:rsidRPr="006D591B">
        <w:rPr>
          <w:rFonts w:ascii="Times New Roman" w:hAnsi="Times New Roman" w:cs="Times New Roman"/>
          <w:sz w:val="21"/>
          <w:szCs w:val="21"/>
        </w:rPr>
        <w:t xml:space="preserve">paraformaldehyde </w:t>
      </w:r>
      <w:bookmarkEnd w:id="4"/>
      <w:r w:rsidRPr="006D591B">
        <w:rPr>
          <w:rFonts w:ascii="Times New Roman" w:hAnsi="Times New Roman" w:cs="Times New Roman"/>
          <w:sz w:val="21"/>
          <w:szCs w:val="21"/>
        </w:rPr>
        <w:t>(Sigma, 16005) in DEPC-PBS for 10 minutes, followed by rinsing with DEPC-PBS. Then, the slides were permeabilized in 0.1 mg/mL pepsin (Sigma, P7012) dissolved in 0.1M HCl for 30 min at 37°C and washed with DEPC-H</w:t>
      </w:r>
      <w:r w:rsidRPr="006D591B">
        <w:rPr>
          <w:rFonts w:ascii="Times New Roman" w:hAnsi="Times New Roman" w:cs="Times New Roman"/>
          <w:sz w:val="21"/>
          <w:szCs w:val="21"/>
          <w:vertAlign w:val="subscript"/>
        </w:rPr>
        <w:t>2</w:t>
      </w:r>
      <w:r w:rsidRPr="006D591B">
        <w:rPr>
          <w:rFonts w:ascii="Times New Roman" w:hAnsi="Times New Roman" w:cs="Times New Roman"/>
          <w:sz w:val="21"/>
          <w:szCs w:val="21"/>
        </w:rPr>
        <w:t xml:space="preserve">O and DEPC-PBS for 5 min and 2 min respectively. The slides were dehydrated in an ethanol series at last. </w:t>
      </w:r>
    </w:p>
    <w:p w:rsidR="004D2D45" w:rsidRPr="006D591B" w:rsidRDefault="004D2D45" w:rsidP="004D2D45">
      <w:pPr>
        <w:rPr>
          <w:rFonts w:ascii="Times New Roman" w:hAnsi="Times New Roman" w:cs="Times New Roman"/>
          <w:sz w:val="21"/>
          <w:szCs w:val="21"/>
        </w:rPr>
      </w:pPr>
      <w:r w:rsidRPr="006D591B">
        <w:rPr>
          <w:rFonts w:ascii="Times New Roman" w:hAnsi="Times New Roman" w:cs="Times New Roman"/>
          <w:sz w:val="21"/>
          <w:szCs w:val="21"/>
        </w:rPr>
        <w:t xml:space="preserve">They were exposed to a hybridization mixture containing target probes labeled with unique barcodes for individual RNA species at 37°C for a duration of four hours. Following this, they were incubated with a ligation cocktail at 37°C for half an hour. Subsequently, the slides were </w:t>
      </w:r>
      <w:r w:rsidRPr="006D591B">
        <w:rPr>
          <w:rFonts w:ascii="Times New Roman" w:hAnsi="Times New Roman" w:cs="Times New Roman"/>
          <w:sz w:val="21"/>
          <w:szCs w:val="21"/>
        </w:rPr>
        <w:lastRenderedPageBreak/>
        <w:t>treated with splint primers in a circularization solution at 37°C for an additional half hour. Finally, an amplification mixture for rolling circle amplification (RCA) was applied, and the slides were incubated at 30°C throughout the night. After each of these steps, the slides were rinsed thrice at ambient temperature using Wash Buffer (1P1030, Dynamic Biosystems).</w:t>
      </w:r>
    </w:p>
    <w:p w:rsidR="004D2D45" w:rsidRPr="006D591B" w:rsidRDefault="004D2D45" w:rsidP="004D2D45">
      <w:pPr>
        <w:rPr>
          <w:rFonts w:ascii="Times New Roman" w:hAnsi="Times New Roman" w:cs="Times New Roman"/>
          <w:sz w:val="21"/>
          <w:szCs w:val="21"/>
          <w:highlight w:val="yellow"/>
        </w:rPr>
      </w:pPr>
      <w:r w:rsidRPr="006D591B">
        <w:rPr>
          <w:rFonts w:ascii="Times New Roman" w:hAnsi="Times New Roman" w:cs="Times New Roman"/>
          <w:sz w:val="21"/>
          <w:szCs w:val="21"/>
        </w:rPr>
        <w:t>For the sequencing process, the slides were treated with a ligation buffter containing anchor primers, labeled sequencing interrogation probes, and ligase, and incubated at 30°C for a period of 45 minutes. Thereafter, they were mounted in SlowFade Gold Antifade Mountant (ThermoFisher Scientific, S36936) supplemented with 0.5 μg/mL DAPI (Sigma, D9542). Imaging was conducted using the 3D-Hitech Pannoramic® MIDI II system, equipped with a pco.edge 4.2bi camera, and a 20x objective lens was employed. A set of DAPI images was designated as the reference, and the SIFI algorithm was applied to extract features from the DAPI images across various rounds. The feature points from the DAPI images of different rounds were then aligned, and the matched feature points were utilized to perform affine transformation, thereby registering the images from each round. Subsequent to this, the tophat function of OpenCV was used for background subtraction. Through the identification of genuine signals and their decoding, the spatial localization and quantification of RNA were ultimately ascertained</w:t>
      </w:r>
      <w:r w:rsidRPr="006D591B">
        <w:rPr>
          <w:rFonts w:ascii="Times New Roman" w:hAnsi="Times New Roman" w:cs="Times New Roman"/>
          <w:sz w:val="21"/>
          <w:szCs w:val="21"/>
        </w:rPr>
        <w:fldChar w:fldCharType="begin"/>
      </w:r>
      <w:r w:rsidR="005469F1">
        <w:rPr>
          <w:rFonts w:ascii="Times New Roman" w:hAnsi="Times New Roman" w:cs="Times New Roman"/>
          <w:sz w:val="21"/>
          <w:szCs w:val="21"/>
        </w:rPr>
        <w:instrText xml:space="preserve"> ADDIN ZOTERO_ITEM CSL_CITATION {"citationID":"tGZ0RMkC","properties":{"formattedCitation":"\\super 22\\nosupersub{}","plainCitation":"22","noteIndex":0},"citationItems":[{"id":1765,"uris":["http://zotero.org/users/local/o5E1hp2p/items/YYXULD93"],"itemData":{"id":1765,"type":"article-journal","abstract":"A method based on in situ sequencing by ligation enables direct reading of short segments of RNA or sequence tags in preserved tissue sections and cells.","container-title":"Nature Methods","DOI":"10.1038/nmeth.2563","ISSN":"1548-7105","issue":"9","journalAbbreviation":"Nat Methods","language":"en","license":"2013 Springer Nature America, Inc.","note":"publisher: Nature Publishing Group","page":"857-860","source":"www.nature.com","title":"In situ sequencing for RNA analysis in preserved tissue and cells","volume":"10","author":[{"family":"Ke","given":"Rongqin"},{"family":"Mignardi","given":"Marco"},{"family":"Pacureanu","given":"Alexandra"},{"family":"Svedlund","given":"Jessica"},{"family":"Botling","given":"Johan"},{"family":"Wählby","given":"Carolina"},{"family":"Nilsson","given":"Mats"}],"issued":{"date-parts":[["2013",9]]}}}],"schema":"https://github.com/citation-style-language/schema/raw/master/csl-citation.json"} </w:instrText>
      </w:r>
      <w:r w:rsidRPr="006D591B">
        <w:rPr>
          <w:rFonts w:ascii="Times New Roman" w:hAnsi="Times New Roman" w:cs="Times New Roman"/>
          <w:sz w:val="21"/>
          <w:szCs w:val="21"/>
        </w:rPr>
        <w:fldChar w:fldCharType="separate"/>
      </w:r>
      <w:r w:rsidR="005469F1" w:rsidRPr="005469F1">
        <w:rPr>
          <w:rFonts w:ascii="Times New Roman" w:hAnsi="Times New Roman" w:cs="Times New Roman"/>
          <w:sz w:val="21"/>
          <w:vertAlign w:val="superscript"/>
        </w:rPr>
        <w:t>22</w:t>
      </w:r>
      <w:r w:rsidRPr="006D591B">
        <w:rPr>
          <w:rFonts w:ascii="Times New Roman" w:hAnsi="Times New Roman" w:cs="Times New Roman"/>
          <w:sz w:val="21"/>
          <w:szCs w:val="21"/>
        </w:rPr>
        <w:fldChar w:fldCharType="end"/>
      </w:r>
      <w:r w:rsidRPr="006D591B">
        <w:rPr>
          <w:rFonts w:ascii="Times New Roman" w:hAnsi="Times New Roman" w:cs="Times New Roman"/>
          <w:sz w:val="21"/>
          <w:szCs w:val="21"/>
        </w:rPr>
        <w:t>.</w:t>
      </w:r>
    </w:p>
    <w:p w:rsidR="004D2D45" w:rsidRPr="006D591B" w:rsidRDefault="004D2D45" w:rsidP="004D2D45">
      <w:pPr>
        <w:spacing w:line="360" w:lineRule="auto"/>
        <w:rPr>
          <w:rFonts w:ascii="Times New Roman" w:hAnsi="Times New Roman" w:cs="Times New Roman"/>
          <w:b/>
          <w:color w:val="000000" w:themeColor="text1"/>
          <w:sz w:val="21"/>
          <w:szCs w:val="21"/>
          <w:lang w:val="en-US"/>
        </w:rPr>
      </w:pPr>
      <w:r w:rsidRPr="006D591B">
        <w:rPr>
          <w:rFonts w:ascii="Times New Roman" w:hAnsi="Times New Roman" w:cs="Times New Roman"/>
          <w:b/>
          <w:color w:val="000000" w:themeColor="text1"/>
          <w:sz w:val="21"/>
          <w:szCs w:val="21"/>
          <w:lang w:val="en-US"/>
        </w:rPr>
        <w:t>Analysis of in situ sequencing data</w:t>
      </w:r>
    </w:p>
    <w:p w:rsidR="004D2D45" w:rsidRPr="006D591B" w:rsidRDefault="004D2D45" w:rsidP="004D2D45">
      <w:pPr>
        <w:rPr>
          <w:rFonts w:ascii="Times New Roman" w:hAnsi="Times New Roman" w:cs="Times New Roman"/>
          <w:sz w:val="21"/>
          <w:szCs w:val="21"/>
        </w:rPr>
      </w:pPr>
      <w:r w:rsidRPr="006D591B">
        <w:rPr>
          <w:rFonts w:ascii="Times New Roman" w:hAnsi="Times New Roman" w:cs="Times New Roman"/>
          <w:sz w:val="21"/>
          <w:szCs w:val="21"/>
        </w:rPr>
        <w:t>The data analysis of RNA in situ sequencing (ISS) was performed by Dynamic Biosystems in Suzhou, China. ISS employs multiple imaging cycles to target more genes than the number of distinct fluorophores. However, experimental conditions, such as the movement of the microscope slide on the stage, can cause shifts in the field of view. To correct this error and ensure accurate localization of RNA targets, the scale invariant feature transform (SIFT) algorithm is utilized to extract matching feature points between a common reference image and the image to be registered. The change matrix between the two images is then calculated based on the relative position of each set of matching feature points, and the image is corrected by affine transformation to achieve image registration.</w:t>
      </w:r>
    </w:p>
    <w:p w:rsidR="004D2D45" w:rsidRPr="006D591B" w:rsidRDefault="004D2D45" w:rsidP="004D2D45">
      <w:pPr>
        <w:rPr>
          <w:rFonts w:ascii="Times New Roman" w:hAnsi="Times New Roman" w:cs="Times New Roman"/>
          <w:sz w:val="21"/>
          <w:szCs w:val="21"/>
        </w:rPr>
      </w:pPr>
      <w:r w:rsidRPr="006D591B">
        <w:rPr>
          <w:rFonts w:ascii="Times New Roman" w:hAnsi="Times New Roman" w:cs="Times New Roman"/>
          <w:sz w:val="21"/>
          <w:szCs w:val="21"/>
        </w:rPr>
        <w:t>Image correction is essential due to the influence of shooting equipment, tissue status, and experimental conditions. Autofluorescence in tissues can lead to more background noise in cellular compartments than intracellular regions. To address uneven illumination, adaptive histogram equalization is applied. Fourier transform and high-pass filtering are used to filter the image in the frequency domain, removing background noise while retaining signal points. Gray value stretching is then used to enhance the signal points.</w:t>
      </w:r>
    </w:p>
    <w:p w:rsidR="004D2D45" w:rsidRPr="006D591B" w:rsidRDefault="004D2D45" w:rsidP="004D2D45">
      <w:pPr>
        <w:rPr>
          <w:rFonts w:ascii="Times New Roman" w:hAnsi="Times New Roman" w:cs="Times New Roman"/>
          <w:sz w:val="21"/>
          <w:szCs w:val="21"/>
        </w:rPr>
      </w:pPr>
      <w:r w:rsidRPr="006D591B">
        <w:rPr>
          <w:rFonts w:ascii="Times New Roman" w:hAnsi="Times New Roman" w:cs="Times New Roman"/>
          <w:sz w:val="21"/>
          <w:szCs w:val="21"/>
        </w:rPr>
        <w:t xml:space="preserve">Watershed algorithm based on local extremum is employed to identify and locate signals in each cycle of images, and the quartile method filters detected signal points. Signal point recognition is based on the central area having a significantly higher gray value than the surrounding area. The </w:t>
      </w:r>
      <w:r w:rsidRPr="006D591B">
        <w:rPr>
          <w:rFonts w:ascii="Times New Roman" w:hAnsi="Times New Roman" w:cs="Times New Roman"/>
          <w:sz w:val="21"/>
          <w:szCs w:val="21"/>
        </w:rPr>
        <w:lastRenderedPageBreak/>
        <w:t xml:space="preserve">base score (BS) is defined as the difference between the average gray value of a 4 * 4 pixels area in the center of the signal point and the surrounding 10 * 10 pixels. The sequencing quality is further defined by the formula </w:t>
      </w:r>
      <w:r w:rsidRPr="006D591B">
        <w:rPr>
          <w:rFonts w:ascii="Times New Roman" w:hAnsi="Times New Roman" w:cs="Times New Roman"/>
          <w:i/>
          <w:sz w:val="21"/>
          <w:szCs w:val="21"/>
        </w:rPr>
        <w:br/>
      </w:r>
      <m:oMath>
        <m:r>
          <w:rPr>
            <w:rFonts w:ascii="Cambria Math" w:hAnsi="Cambria Math" w:cs="Times New Roman"/>
            <w:sz w:val="21"/>
            <w:szCs w:val="21"/>
          </w:rPr>
          <m:t>Q</m:t>
        </m:r>
        <m:r>
          <m:rPr>
            <m:sty m:val="p"/>
          </m:rPr>
          <w:rPr>
            <w:rFonts w:ascii="Cambria Math" w:hAnsi="Cambria Math" w:cs="Times New Roman"/>
            <w:sz w:val="21"/>
            <w:szCs w:val="21"/>
          </w:rPr>
          <m:t>=</m:t>
        </m:r>
        <m:r>
          <m:rPr>
            <m:sty m:val="p"/>
          </m:rPr>
          <w:rPr>
            <w:rFonts w:ascii="Cambria Math" w:eastAsia="微软雅黑" w:hAnsi="Cambria Math" w:cs="Times New Roman"/>
            <w:sz w:val="21"/>
            <w:szCs w:val="21"/>
          </w:rPr>
          <m:t>-</m:t>
        </m:r>
        <m:r>
          <m:rPr>
            <m:sty m:val="p"/>
          </m:rPr>
          <w:rPr>
            <w:rFonts w:ascii="Cambria Math" w:hAnsi="Cambria Math" w:cs="Times New Roman"/>
            <w:sz w:val="21"/>
            <w:szCs w:val="21"/>
          </w:rPr>
          <m:t>10</m:t>
        </m:r>
        <m:sSubSup>
          <m:sSubSupPr>
            <m:ctrlPr>
              <w:rPr>
                <w:rFonts w:ascii="Cambria Math" w:hAnsi="Cambria Math" w:cs="Times New Roman"/>
                <w:sz w:val="21"/>
                <w:szCs w:val="21"/>
              </w:rPr>
            </m:ctrlPr>
          </m:sSubSupPr>
          <m:e>
            <m:r>
              <w:rPr>
                <w:rFonts w:ascii="Cambria Math" w:hAnsi="Cambria Math" w:cs="Times New Roman"/>
                <w:sz w:val="21"/>
                <w:szCs w:val="21"/>
              </w:rPr>
              <m:t>log</m:t>
            </m:r>
          </m:e>
          <m:sub>
            <m:r>
              <m:rPr>
                <m:sty m:val="p"/>
              </m:rPr>
              <w:rPr>
                <w:rFonts w:ascii="Cambria Math" w:hAnsi="Cambria Math" w:cs="Times New Roman"/>
                <w:sz w:val="21"/>
                <w:szCs w:val="21"/>
              </w:rPr>
              <m:t>10</m:t>
            </m:r>
          </m:sub>
          <m:sup>
            <m:r>
              <m:rPr>
                <m:sty m:val="p"/>
              </m:rPr>
              <w:rPr>
                <w:rFonts w:ascii="Cambria Math" w:hAnsi="Cambria Math" w:cs="Times New Roman"/>
                <w:sz w:val="21"/>
                <w:szCs w:val="21"/>
              </w:rPr>
              <m:t>（</m:t>
            </m:r>
            <m:r>
              <m:rPr>
                <m:sty m:val="p"/>
              </m:rPr>
              <w:rPr>
                <w:rFonts w:ascii="Cambria Math" w:hAnsi="Cambria Math" w:cs="Times New Roman"/>
                <w:sz w:val="21"/>
                <w:szCs w:val="21"/>
              </w:rPr>
              <m:t>1</m:t>
            </m:r>
            <m:r>
              <m:rPr>
                <m:sty m:val="p"/>
              </m:rPr>
              <w:rPr>
                <w:rFonts w:ascii="Cambria Math" w:eastAsia="微软雅黑" w:hAnsi="Cambria Math" w:cs="Times New Roman"/>
                <w:sz w:val="21"/>
                <w:szCs w:val="21"/>
              </w:rPr>
              <m:t>-</m:t>
            </m:r>
            <m:f>
              <m:fPr>
                <m:ctrlPr>
                  <w:rPr>
                    <w:rFonts w:ascii="Cambria Math" w:hAnsi="Cambria Math" w:cs="Times New Roman"/>
                    <w:sz w:val="21"/>
                    <w:szCs w:val="21"/>
                  </w:rPr>
                </m:ctrlPr>
              </m:fPr>
              <m:num>
                <m:r>
                  <w:rPr>
                    <w:rFonts w:ascii="Cambria Math" w:hAnsi="Cambria Math" w:cs="Times New Roman"/>
                    <w:sz w:val="21"/>
                    <w:szCs w:val="21"/>
                  </w:rPr>
                  <m:t>BSmax</m:t>
                </m:r>
              </m:num>
              <m:den>
                <m:r>
                  <w:rPr>
                    <w:rFonts w:ascii="Cambria Math" w:hAnsi="Cambria Math" w:cs="Times New Roman"/>
                    <w:sz w:val="21"/>
                    <w:szCs w:val="21"/>
                  </w:rPr>
                  <m:t>BSmax</m:t>
                </m:r>
                <m:r>
                  <m:rPr>
                    <m:sty m:val="p"/>
                  </m:rPr>
                  <w:rPr>
                    <w:rFonts w:ascii="Cambria Math" w:hAnsi="Cambria Math" w:cs="Times New Roman"/>
                    <w:sz w:val="21"/>
                    <w:szCs w:val="21"/>
                  </w:rPr>
                  <m:t>+</m:t>
                </m:r>
                <m:r>
                  <w:rPr>
                    <w:rFonts w:ascii="Cambria Math" w:hAnsi="Cambria Math" w:cs="Times New Roman"/>
                    <w:sz w:val="21"/>
                    <w:szCs w:val="21"/>
                  </w:rPr>
                  <m:t>BS</m:t>
                </m:r>
                <m:r>
                  <m:rPr>
                    <m:sty m:val="p"/>
                  </m:rPr>
                  <w:rPr>
                    <w:rFonts w:ascii="Cambria Math" w:hAnsi="Cambria Math" w:cs="Times New Roman"/>
                    <w:sz w:val="21"/>
                    <w:szCs w:val="21"/>
                  </w:rPr>
                  <m:t>2+</m:t>
                </m:r>
                <m:r>
                  <w:rPr>
                    <w:rFonts w:ascii="Cambria Math" w:hAnsi="Cambria Math" w:cs="Times New Roman"/>
                    <w:sz w:val="21"/>
                    <w:szCs w:val="21"/>
                  </w:rPr>
                  <m:t>BS</m:t>
                </m:r>
                <m:r>
                  <m:rPr>
                    <m:sty m:val="p"/>
                  </m:rPr>
                  <w:rPr>
                    <w:rFonts w:ascii="Cambria Math" w:hAnsi="Cambria Math" w:cs="Times New Roman"/>
                    <w:sz w:val="21"/>
                    <w:szCs w:val="21"/>
                  </w:rPr>
                  <m:t>3+</m:t>
                </m:r>
                <m:r>
                  <w:rPr>
                    <w:rFonts w:ascii="Cambria Math" w:hAnsi="Cambria Math" w:cs="Times New Roman"/>
                    <w:sz w:val="21"/>
                    <w:szCs w:val="21"/>
                  </w:rPr>
                  <m:t>BS</m:t>
                </m:r>
                <m:r>
                  <m:rPr>
                    <m:sty m:val="p"/>
                  </m:rPr>
                  <w:rPr>
                    <w:rFonts w:ascii="Cambria Math" w:hAnsi="Cambria Math" w:cs="Times New Roman"/>
                    <w:sz w:val="21"/>
                    <w:szCs w:val="21"/>
                  </w:rPr>
                  <m:t>4</m:t>
                </m:r>
              </m:den>
            </m:f>
            <m:r>
              <m:rPr>
                <m:sty m:val="p"/>
              </m:rPr>
              <w:rPr>
                <w:rFonts w:ascii="Cambria Math" w:hAnsi="Cambria Math" w:cs="Times New Roman"/>
                <w:sz w:val="21"/>
                <w:szCs w:val="21"/>
              </w:rPr>
              <m:t>）</m:t>
            </m:r>
          </m:sup>
        </m:sSubSup>
      </m:oMath>
      <w:r w:rsidRPr="006D591B">
        <w:rPr>
          <w:rFonts w:ascii="Times New Roman" w:hAnsi="Times New Roman" w:cs="Times New Roman"/>
          <w:sz w:val="21"/>
          <w:szCs w:val="21"/>
        </w:rPr>
        <w:t>.</w:t>
      </w:r>
    </w:p>
    <w:p w:rsidR="004D2D45" w:rsidRPr="006D591B" w:rsidRDefault="004D2D45" w:rsidP="004D2D45">
      <w:pPr>
        <w:rPr>
          <w:rFonts w:ascii="Times New Roman" w:hAnsi="Times New Roman" w:cs="Times New Roman"/>
          <w:sz w:val="21"/>
          <w:szCs w:val="21"/>
        </w:rPr>
      </w:pPr>
      <w:r w:rsidRPr="006D591B">
        <w:rPr>
          <w:rFonts w:ascii="Times New Roman" w:hAnsi="Times New Roman" w:cs="Times New Roman"/>
          <w:sz w:val="21"/>
          <w:szCs w:val="21"/>
        </w:rPr>
        <w:t>Barcodes with single base quality less than 5 and average quality less than 10 are filtered out. A gene-by-space matrix is generated for downstream analyses.</w:t>
      </w:r>
    </w:p>
    <w:p w:rsidR="004D2D45" w:rsidRPr="006D591B" w:rsidRDefault="004D2D45" w:rsidP="004D2D45">
      <w:pPr>
        <w:rPr>
          <w:rFonts w:ascii="Times New Roman" w:hAnsi="Times New Roman" w:cs="Times New Roman"/>
          <w:sz w:val="21"/>
          <w:szCs w:val="21"/>
        </w:rPr>
      </w:pPr>
      <w:r w:rsidRPr="006D591B">
        <w:rPr>
          <w:rFonts w:ascii="Times New Roman" w:hAnsi="Times New Roman" w:cs="Times New Roman"/>
          <w:sz w:val="21"/>
          <w:szCs w:val="21"/>
        </w:rPr>
        <w:t>Cell segmentation is performed using DAPI images and the deep learning algorithm cellpose for cellular segmentation. Nuclei are expanded until a maximum distance of 20 pixels or until the boundary of another cell is reached. A gene-by-cell matrix is generated for downstream analyses</w:t>
      </w:r>
      <w:r w:rsidRPr="006D591B">
        <w:rPr>
          <w:rFonts w:ascii="Times New Roman" w:hAnsi="Times New Roman" w:cs="Times New Roman"/>
          <w:sz w:val="21"/>
          <w:szCs w:val="21"/>
        </w:rPr>
        <w:fldChar w:fldCharType="begin"/>
      </w:r>
      <w:r w:rsidR="005469F1">
        <w:rPr>
          <w:rFonts w:ascii="Times New Roman" w:hAnsi="Times New Roman" w:cs="Times New Roman"/>
          <w:sz w:val="21"/>
          <w:szCs w:val="21"/>
        </w:rPr>
        <w:instrText xml:space="preserve"> ADDIN ZOTERO_ITEM CSL_CITATION {"citationID":"S8ZgZTMu","properties":{"formattedCitation":"\\super 23\\nosupersub{}","plainCitation":"23","noteIndex":0},"citationItems":[{"id":1764,"uris":["http://zotero.org/users/local/o5E1hp2p/items/T2ET7GCU"],"itemData":{"id":1764,"type":"article-journal","abstract":"Many biological applications require the segmentation of cell bodies, membranes and nuclei from microscopy images. Deep learning has enabled great progress on this problem, but current methods are specialized for images that have large training datasets. Here we introduce a generalist, deep learning-based segmentation method called Cellpose, which can precisely segment cells from a wide range of image types and does not require model retraining or parameter adjustments. Cellpose was trained on a new dataset of highly varied images of cells, containing over 70,000 segmented objects. We also demonstrate a three-dimensional (3D) extension of Cellpose that reuses the two-dimensional (2D) model and does not require 3D-labeled data. To support community contributions to the training data, we developed software for manual labeling and for curation of the automated results. Periodically retraining the model on the community-contributed data will ensure that Cellpose improves constantly.","container-title":"Nature Methods","DOI":"10.1038/s41592-020-01018-x","ISSN":"1548-7105","issue":"1","journalAbbreviation":"Nat Methods","language":"en","license":"2020 The Author(s), under exclusive licence to Springer Nature America, Inc.","note":"publisher: Nature Publishing Group","page":"100-106","source":"www.nature.com","title":"Cellpose: a generalist algorithm for cellular segmentation","title-short":"Cellpose","volume":"18","author":[{"family":"Stringer","given":"Carsen"},{"family":"Wang","given":"Tim"},{"family":"Michaelos","given":"Michalis"},{"family":"Pachitariu","given":"Marius"}],"issued":{"date-parts":[["2021",1]]}}}],"schema":"https://github.com/citation-style-language/schema/raw/master/csl-citation.json"} </w:instrText>
      </w:r>
      <w:r w:rsidRPr="006D591B">
        <w:rPr>
          <w:rFonts w:ascii="Times New Roman" w:hAnsi="Times New Roman" w:cs="Times New Roman"/>
          <w:sz w:val="21"/>
          <w:szCs w:val="21"/>
        </w:rPr>
        <w:fldChar w:fldCharType="separate"/>
      </w:r>
      <w:r w:rsidR="005469F1" w:rsidRPr="005469F1">
        <w:rPr>
          <w:rFonts w:ascii="Times New Roman" w:hAnsi="Times New Roman" w:cs="Times New Roman"/>
          <w:sz w:val="21"/>
          <w:vertAlign w:val="superscript"/>
        </w:rPr>
        <w:t>23</w:t>
      </w:r>
      <w:r w:rsidRPr="006D591B">
        <w:rPr>
          <w:rFonts w:ascii="Times New Roman" w:hAnsi="Times New Roman" w:cs="Times New Roman"/>
          <w:sz w:val="21"/>
          <w:szCs w:val="21"/>
        </w:rPr>
        <w:fldChar w:fldCharType="end"/>
      </w:r>
      <w:r w:rsidRPr="006D591B">
        <w:rPr>
          <w:rFonts w:ascii="Times New Roman" w:hAnsi="Times New Roman" w:cs="Times New Roman"/>
          <w:sz w:val="21"/>
          <w:szCs w:val="21"/>
        </w:rPr>
        <w:t>. Cell type annotation is based on the total gene count of each cell type marker in every cell, with the cell being named after the cell type with the maximum gene count. If all cell type markers have a gene count of 0, the cell is labeled as unknown.</w:t>
      </w:r>
    </w:p>
    <w:p w:rsidR="004D2D45" w:rsidRPr="006D591B" w:rsidRDefault="004D2D45" w:rsidP="004D2D45">
      <w:pPr>
        <w:rPr>
          <w:rFonts w:ascii="Times New Roman" w:hAnsi="Times New Roman" w:cs="Times New Roman"/>
          <w:sz w:val="21"/>
          <w:szCs w:val="21"/>
          <w:lang w:eastAsia="zh-CN"/>
        </w:rPr>
      </w:pPr>
      <w:r w:rsidRPr="006D591B">
        <w:rPr>
          <w:rFonts w:ascii="Times New Roman" w:hAnsi="Times New Roman" w:cs="Times New Roman"/>
          <w:sz w:val="21"/>
          <w:szCs w:val="21"/>
        </w:rPr>
        <w:t xml:space="preserve">Cell types are annotated by markers based on scRNA-seq, such as </w:t>
      </w:r>
      <w:r w:rsidRPr="006D591B">
        <w:rPr>
          <w:rFonts w:ascii="Times New Roman" w:hAnsi="Times New Roman" w:cs="Times New Roman"/>
          <w:i/>
          <w:iCs/>
          <w:sz w:val="21"/>
          <w:szCs w:val="21"/>
        </w:rPr>
        <w:t>EPCAM</w:t>
      </w:r>
      <w:r w:rsidRPr="006D591B">
        <w:rPr>
          <w:rFonts w:ascii="Times New Roman" w:hAnsi="Times New Roman" w:cs="Times New Roman"/>
          <w:sz w:val="21"/>
          <w:szCs w:val="21"/>
        </w:rPr>
        <w:t xml:space="preserve"> and </w:t>
      </w:r>
      <w:r w:rsidRPr="006D591B">
        <w:rPr>
          <w:rFonts w:ascii="Times New Roman" w:hAnsi="Times New Roman" w:cs="Times New Roman"/>
          <w:i/>
          <w:iCs/>
          <w:sz w:val="21"/>
          <w:szCs w:val="21"/>
        </w:rPr>
        <w:t>KRT19</w:t>
      </w:r>
      <w:r w:rsidRPr="006D591B">
        <w:rPr>
          <w:rFonts w:ascii="Times New Roman" w:hAnsi="Times New Roman" w:cs="Times New Roman"/>
          <w:sz w:val="21"/>
          <w:szCs w:val="21"/>
        </w:rPr>
        <w:t xml:space="preserve"> for epithelial cells, </w:t>
      </w:r>
      <w:r w:rsidRPr="006D591B">
        <w:rPr>
          <w:rFonts w:ascii="Times New Roman" w:hAnsi="Times New Roman" w:cs="Times New Roman"/>
          <w:i/>
          <w:iCs/>
          <w:sz w:val="21"/>
          <w:szCs w:val="21"/>
        </w:rPr>
        <w:t>PDGFRA</w:t>
      </w:r>
      <w:r w:rsidRPr="006D591B">
        <w:rPr>
          <w:rFonts w:ascii="Times New Roman" w:hAnsi="Times New Roman" w:cs="Times New Roman"/>
          <w:sz w:val="21"/>
          <w:szCs w:val="21"/>
        </w:rPr>
        <w:t xml:space="preserve">, </w:t>
      </w:r>
      <w:r w:rsidRPr="006D591B">
        <w:rPr>
          <w:rFonts w:ascii="Times New Roman" w:hAnsi="Times New Roman" w:cs="Times New Roman"/>
          <w:i/>
          <w:iCs/>
          <w:sz w:val="21"/>
          <w:szCs w:val="21"/>
        </w:rPr>
        <w:t>PDGFRB</w:t>
      </w:r>
      <w:r w:rsidRPr="006D591B">
        <w:rPr>
          <w:rFonts w:ascii="Times New Roman" w:hAnsi="Times New Roman" w:cs="Times New Roman"/>
          <w:sz w:val="21"/>
          <w:szCs w:val="21"/>
        </w:rPr>
        <w:t xml:space="preserve"> and </w:t>
      </w:r>
      <w:r w:rsidRPr="006D591B">
        <w:rPr>
          <w:rFonts w:ascii="Times New Roman" w:hAnsi="Times New Roman" w:cs="Times New Roman"/>
          <w:i/>
          <w:iCs/>
          <w:sz w:val="21"/>
          <w:szCs w:val="21"/>
        </w:rPr>
        <w:t>RGS5</w:t>
      </w:r>
      <w:r w:rsidRPr="006D591B">
        <w:rPr>
          <w:rFonts w:ascii="Times New Roman" w:hAnsi="Times New Roman" w:cs="Times New Roman"/>
          <w:sz w:val="21"/>
          <w:szCs w:val="21"/>
        </w:rPr>
        <w:t xml:space="preserve"> for pericytes, </w:t>
      </w:r>
      <w:r w:rsidRPr="006D591B">
        <w:rPr>
          <w:rFonts w:ascii="Times New Roman" w:hAnsi="Times New Roman" w:cs="Times New Roman"/>
          <w:i/>
          <w:iCs/>
          <w:sz w:val="21"/>
          <w:szCs w:val="21"/>
        </w:rPr>
        <w:t>CD14</w:t>
      </w:r>
      <w:r w:rsidRPr="006D591B">
        <w:rPr>
          <w:rFonts w:ascii="Times New Roman" w:hAnsi="Times New Roman" w:cs="Times New Roman"/>
          <w:sz w:val="21"/>
          <w:szCs w:val="21"/>
        </w:rPr>
        <w:t xml:space="preserve">, </w:t>
      </w:r>
      <w:r w:rsidRPr="006D591B">
        <w:rPr>
          <w:rFonts w:ascii="Times New Roman" w:hAnsi="Times New Roman" w:cs="Times New Roman"/>
          <w:i/>
          <w:iCs/>
          <w:sz w:val="21"/>
          <w:szCs w:val="21"/>
        </w:rPr>
        <w:t>CD68</w:t>
      </w:r>
      <w:r w:rsidRPr="006D591B">
        <w:rPr>
          <w:rFonts w:ascii="Times New Roman" w:hAnsi="Times New Roman" w:cs="Times New Roman"/>
          <w:sz w:val="21"/>
          <w:szCs w:val="21"/>
        </w:rPr>
        <w:t xml:space="preserve"> and </w:t>
      </w:r>
      <w:r w:rsidRPr="006D591B">
        <w:rPr>
          <w:rFonts w:ascii="Times New Roman" w:hAnsi="Times New Roman" w:cs="Times New Roman"/>
          <w:i/>
          <w:iCs/>
          <w:sz w:val="21"/>
          <w:szCs w:val="21"/>
        </w:rPr>
        <w:t>CD163</w:t>
      </w:r>
      <w:r w:rsidRPr="006D591B">
        <w:rPr>
          <w:rFonts w:ascii="Times New Roman" w:hAnsi="Times New Roman" w:cs="Times New Roman"/>
          <w:sz w:val="21"/>
          <w:szCs w:val="21"/>
        </w:rPr>
        <w:t xml:space="preserve"> for Monocytes/Macrophages, </w:t>
      </w:r>
      <w:r w:rsidRPr="006D591B">
        <w:rPr>
          <w:rFonts w:ascii="Times New Roman" w:hAnsi="Times New Roman" w:cs="Times New Roman"/>
          <w:i/>
          <w:iCs/>
          <w:sz w:val="21"/>
          <w:szCs w:val="21"/>
        </w:rPr>
        <w:t>CD3D</w:t>
      </w:r>
      <w:r w:rsidRPr="006D591B">
        <w:rPr>
          <w:rFonts w:ascii="Times New Roman" w:hAnsi="Times New Roman" w:cs="Times New Roman"/>
          <w:sz w:val="21"/>
          <w:szCs w:val="21"/>
        </w:rPr>
        <w:t xml:space="preserve"> and </w:t>
      </w:r>
      <w:r w:rsidRPr="006D591B">
        <w:rPr>
          <w:rFonts w:ascii="Times New Roman" w:hAnsi="Times New Roman" w:cs="Times New Roman"/>
          <w:i/>
          <w:iCs/>
          <w:sz w:val="21"/>
          <w:szCs w:val="21"/>
        </w:rPr>
        <w:t>CD8A</w:t>
      </w:r>
      <w:r w:rsidRPr="006D591B">
        <w:rPr>
          <w:rFonts w:ascii="Times New Roman" w:hAnsi="Times New Roman" w:cs="Times New Roman"/>
          <w:sz w:val="21"/>
          <w:szCs w:val="21"/>
        </w:rPr>
        <w:t xml:space="preserve"> for </w:t>
      </w:r>
      <w:r w:rsidRPr="006D591B">
        <w:rPr>
          <w:rFonts w:ascii="Times New Roman" w:hAnsi="Times New Roman" w:cs="Times New Roman"/>
          <w:i/>
          <w:iCs/>
          <w:sz w:val="21"/>
          <w:szCs w:val="21"/>
        </w:rPr>
        <w:t>CD8</w:t>
      </w:r>
      <w:r w:rsidRPr="006D591B">
        <w:rPr>
          <w:rFonts w:ascii="Times New Roman" w:hAnsi="Times New Roman" w:cs="Times New Roman"/>
          <w:sz w:val="21"/>
          <w:szCs w:val="21"/>
        </w:rPr>
        <w:t xml:space="preserve"> T cells. Epithelial cell expressing </w:t>
      </w:r>
      <w:r w:rsidRPr="006D591B">
        <w:rPr>
          <w:rFonts w:ascii="Times New Roman" w:hAnsi="Times New Roman" w:cs="Times New Roman"/>
          <w:i/>
          <w:iCs/>
          <w:sz w:val="21"/>
          <w:szCs w:val="21"/>
        </w:rPr>
        <w:t>LY6D</w:t>
      </w:r>
      <w:r w:rsidRPr="006D591B">
        <w:rPr>
          <w:rFonts w:ascii="Times New Roman" w:hAnsi="Times New Roman" w:cs="Times New Roman"/>
          <w:sz w:val="21"/>
          <w:szCs w:val="21"/>
        </w:rPr>
        <w:t xml:space="preserve"> are defined as </w:t>
      </w:r>
      <w:r w:rsidRPr="006D591B">
        <w:rPr>
          <w:rFonts w:ascii="Times New Roman" w:hAnsi="Times New Roman" w:cs="Times New Roman"/>
          <w:i/>
          <w:iCs/>
          <w:sz w:val="21"/>
          <w:szCs w:val="21"/>
        </w:rPr>
        <w:t>LY6D</w:t>
      </w:r>
      <w:r w:rsidRPr="006D591B">
        <w:rPr>
          <w:rFonts w:ascii="Times New Roman" w:hAnsi="Times New Roman" w:cs="Times New Roman"/>
          <w:sz w:val="21"/>
          <w:szCs w:val="21"/>
          <w:vertAlign w:val="superscript"/>
        </w:rPr>
        <w:t>+</w:t>
      </w:r>
      <w:r w:rsidRPr="006D591B">
        <w:rPr>
          <w:rFonts w:ascii="Times New Roman" w:hAnsi="Times New Roman" w:cs="Times New Roman"/>
          <w:sz w:val="21"/>
          <w:szCs w:val="21"/>
        </w:rPr>
        <w:t xml:space="preserve"> epithelial cells.</w:t>
      </w:r>
      <w:r w:rsidR="0029767D">
        <w:rPr>
          <w:rFonts w:ascii="Times New Roman" w:hAnsi="Times New Roman" w:cs="Times New Roman" w:hint="eastAsia"/>
          <w:sz w:val="21"/>
          <w:szCs w:val="21"/>
          <w:lang w:eastAsia="zh-CN"/>
        </w:rPr>
        <w:t xml:space="preserve"> </w:t>
      </w:r>
      <w:r w:rsidR="00303E31" w:rsidRPr="00303E31">
        <w:rPr>
          <w:rFonts w:ascii="Times New Roman" w:hAnsi="Times New Roman" w:cs="Times New Roman"/>
          <w:sz w:val="21"/>
          <w:szCs w:val="21"/>
          <w:lang w:eastAsia="zh-CN"/>
        </w:rPr>
        <w:t>The spatial distribution of genes and cells was analyzed by dividing the tissue into a grid system with</w:t>
      </w:r>
      <w:r w:rsidR="0097278B">
        <w:rPr>
          <w:rFonts w:ascii="Times New Roman" w:hAnsi="Times New Roman" w:cs="Times New Roman" w:hint="eastAsia"/>
          <w:sz w:val="21"/>
          <w:szCs w:val="21"/>
          <w:lang w:eastAsia="zh-CN"/>
        </w:rPr>
        <w:t xml:space="preserve"> 60*60pixels</w:t>
      </w:r>
      <w:r w:rsidR="00303E31" w:rsidRPr="00303E31">
        <w:rPr>
          <w:rFonts w:ascii="Times New Roman" w:hAnsi="Times New Roman" w:cs="Times New Roman"/>
          <w:sz w:val="21"/>
          <w:szCs w:val="21"/>
          <w:lang w:eastAsia="zh-CN"/>
        </w:rPr>
        <w:t xml:space="preserve"> square units. </w:t>
      </w:r>
      <w:r w:rsidR="00303E31">
        <w:rPr>
          <w:rFonts w:ascii="Times New Roman" w:hAnsi="Times New Roman" w:cs="Times New Roman" w:hint="eastAsia"/>
          <w:sz w:val="21"/>
          <w:szCs w:val="21"/>
          <w:lang w:eastAsia="zh-CN"/>
        </w:rPr>
        <w:t>Gene and c</w:t>
      </w:r>
      <w:r w:rsidR="00303E31" w:rsidRPr="00303E31">
        <w:rPr>
          <w:rFonts w:ascii="Times New Roman" w:hAnsi="Times New Roman" w:cs="Times New Roman"/>
          <w:sz w:val="21"/>
          <w:szCs w:val="21"/>
          <w:lang w:eastAsia="zh-CN"/>
        </w:rPr>
        <w:t>ell density was quantified as the count of target cells per unit area within each grid.</w:t>
      </w:r>
    </w:p>
    <w:p w:rsidR="004D2D45" w:rsidRDefault="004D2D45" w:rsidP="004D2D45">
      <w:pPr>
        <w:rPr>
          <w:rFonts w:ascii="Times New Roman" w:hAnsi="Times New Roman" w:cs="Times New Roman"/>
          <w:sz w:val="21"/>
          <w:szCs w:val="21"/>
        </w:rPr>
      </w:pPr>
      <w:r w:rsidRPr="006D591B">
        <w:rPr>
          <w:rFonts w:ascii="Times New Roman" w:hAnsi="Times New Roman" w:cs="Times New Roman"/>
          <w:sz w:val="21"/>
          <w:szCs w:val="21"/>
        </w:rPr>
        <w:t xml:space="preserve">Differential expressed gene analysis calculates the fold change (FC) of the average gene expression level between </w:t>
      </w:r>
      <w:r w:rsidRPr="006D591B">
        <w:rPr>
          <w:rFonts w:ascii="Times New Roman" w:hAnsi="Times New Roman" w:cs="Times New Roman"/>
          <w:i/>
          <w:iCs/>
          <w:sz w:val="21"/>
          <w:szCs w:val="21"/>
        </w:rPr>
        <w:t>LY6D</w:t>
      </w:r>
      <w:r w:rsidRPr="006D591B">
        <w:rPr>
          <w:rFonts w:ascii="Times New Roman" w:hAnsi="Times New Roman" w:cs="Times New Roman"/>
          <w:sz w:val="21"/>
          <w:szCs w:val="21"/>
          <w:vertAlign w:val="superscript"/>
        </w:rPr>
        <w:t>+</w:t>
      </w:r>
      <w:r w:rsidRPr="006D591B">
        <w:rPr>
          <w:rFonts w:ascii="Times New Roman" w:hAnsi="Times New Roman" w:cs="Times New Roman"/>
          <w:sz w:val="21"/>
          <w:szCs w:val="21"/>
        </w:rPr>
        <w:t xml:space="preserve"> epithelial and </w:t>
      </w:r>
      <w:r w:rsidRPr="006D591B">
        <w:rPr>
          <w:rFonts w:ascii="Times New Roman" w:hAnsi="Times New Roman" w:cs="Times New Roman"/>
          <w:i/>
          <w:iCs/>
          <w:sz w:val="21"/>
          <w:szCs w:val="21"/>
        </w:rPr>
        <w:t>LY6D</w:t>
      </w:r>
      <w:r w:rsidRPr="006D591B">
        <w:rPr>
          <w:rFonts w:ascii="Times New Roman" w:hAnsi="Times New Roman" w:cs="Times New Roman"/>
          <w:sz w:val="21"/>
          <w:szCs w:val="21"/>
          <w:vertAlign w:val="superscript"/>
        </w:rPr>
        <w:t>-</w:t>
      </w:r>
      <w:r w:rsidRPr="006D591B">
        <w:rPr>
          <w:rFonts w:ascii="Times New Roman" w:hAnsi="Times New Roman" w:cs="Times New Roman"/>
          <w:sz w:val="21"/>
          <w:szCs w:val="21"/>
        </w:rPr>
        <w:t xml:space="preserve"> epithelial cells.</w:t>
      </w:r>
    </w:p>
    <w:p w:rsidR="00C1660D" w:rsidRPr="006D591B" w:rsidRDefault="00C1660D" w:rsidP="004D2D45">
      <w:pPr>
        <w:rPr>
          <w:rFonts w:ascii="Times New Roman" w:hAnsi="Times New Roman" w:cs="Times New Roman"/>
          <w:sz w:val="21"/>
          <w:szCs w:val="21"/>
          <w:lang w:eastAsia="zh-CN"/>
        </w:rPr>
      </w:pPr>
      <w:r w:rsidRPr="00C1660D">
        <w:rPr>
          <w:rFonts w:ascii="Times New Roman" w:hAnsi="Times New Roman" w:cs="Times New Roman"/>
          <w:sz w:val="21"/>
          <w:szCs w:val="21"/>
          <w:lang w:eastAsia="zh-CN"/>
        </w:rPr>
        <w:t xml:space="preserve">The spatial distances between </w:t>
      </w:r>
      <w:r w:rsidRPr="006D591B">
        <w:rPr>
          <w:rFonts w:ascii="Times New Roman" w:hAnsi="Times New Roman" w:cs="Times New Roman"/>
          <w:i/>
          <w:iCs/>
          <w:sz w:val="21"/>
          <w:szCs w:val="21"/>
        </w:rPr>
        <w:t>LY6D</w:t>
      </w:r>
      <w:r w:rsidRPr="006D591B">
        <w:rPr>
          <w:rFonts w:ascii="Times New Roman" w:hAnsi="Times New Roman" w:cs="Times New Roman"/>
          <w:sz w:val="21"/>
          <w:szCs w:val="21"/>
          <w:vertAlign w:val="superscript"/>
        </w:rPr>
        <w:t>+</w:t>
      </w:r>
      <w:r>
        <w:rPr>
          <w:rFonts w:ascii="Times New Roman" w:hAnsi="Times New Roman" w:cs="Times New Roman" w:hint="eastAsia"/>
          <w:sz w:val="21"/>
          <w:szCs w:val="21"/>
          <w:vertAlign w:val="superscript"/>
          <w:lang w:eastAsia="zh-CN"/>
        </w:rPr>
        <w:t xml:space="preserve"> </w:t>
      </w:r>
      <w:r w:rsidRPr="00C1660D">
        <w:rPr>
          <w:rFonts w:ascii="Times New Roman" w:hAnsi="Times New Roman" w:cs="Times New Roman"/>
          <w:sz w:val="21"/>
          <w:szCs w:val="21"/>
          <w:lang w:eastAsia="zh-CN"/>
        </w:rPr>
        <w:t xml:space="preserve">cells and </w:t>
      </w:r>
      <w:r>
        <w:rPr>
          <w:rFonts w:ascii="Times New Roman" w:hAnsi="Times New Roman" w:cs="Times New Roman" w:hint="eastAsia"/>
          <w:sz w:val="21"/>
          <w:szCs w:val="21"/>
          <w:lang w:eastAsia="zh-CN"/>
        </w:rPr>
        <w:t>ISG15</w:t>
      </w:r>
      <w:r w:rsidRPr="00AA6258">
        <w:rPr>
          <w:rFonts w:ascii="Times New Roman" w:hAnsi="Times New Roman" w:cs="Times New Roman" w:hint="eastAsia"/>
          <w:sz w:val="21"/>
          <w:szCs w:val="21"/>
          <w:vertAlign w:val="superscript"/>
          <w:lang w:eastAsia="zh-CN"/>
        </w:rPr>
        <w:t>+</w:t>
      </w:r>
      <w:r>
        <w:rPr>
          <w:rFonts w:ascii="Times New Roman" w:hAnsi="Times New Roman" w:cs="Times New Roman" w:hint="eastAsia"/>
          <w:sz w:val="21"/>
          <w:szCs w:val="21"/>
          <w:vertAlign w:val="superscript"/>
          <w:lang w:eastAsia="zh-CN"/>
        </w:rPr>
        <w:t xml:space="preserve"> </w:t>
      </w:r>
      <w:r w:rsidRPr="009C3178">
        <w:rPr>
          <w:rFonts w:ascii="Times New Roman" w:hAnsi="Times New Roman" w:cs="Times New Roman"/>
          <w:sz w:val="21"/>
          <w:szCs w:val="21"/>
          <w:lang w:eastAsia="zh-CN"/>
        </w:rPr>
        <w:t>TME</w:t>
      </w:r>
      <w:r w:rsidRPr="00C1660D">
        <w:rPr>
          <w:rFonts w:ascii="Times New Roman" w:hAnsi="Times New Roman" w:cs="Times New Roman"/>
          <w:sz w:val="21"/>
          <w:szCs w:val="21"/>
          <w:lang w:eastAsia="zh-CN"/>
        </w:rPr>
        <w:t xml:space="preserve"> cells were calculated using the tl.spatial_distance function from the scimap </w:t>
      </w:r>
      <w:r>
        <w:rPr>
          <w:rFonts w:ascii="Times New Roman" w:hAnsi="Times New Roman" w:cs="Times New Roman" w:hint="eastAsia"/>
          <w:sz w:val="21"/>
          <w:szCs w:val="21"/>
          <w:lang w:eastAsia="zh-CN"/>
        </w:rPr>
        <w:t>(</w:t>
      </w:r>
      <w:r w:rsidR="00D435B4">
        <w:rPr>
          <w:rFonts w:ascii="Times New Roman" w:hAnsi="Times New Roman" w:cs="Times New Roman" w:hint="eastAsia"/>
          <w:sz w:val="21"/>
          <w:szCs w:val="21"/>
          <w:lang w:eastAsia="zh-CN"/>
        </w:rPr>
        <w:t xml:space="preserve">version </w:t>
      </w:r>
      <w:r>
        <w:rPr>
          <w:rFonts w:ascii="Times New Roman" w:hAnsi="Times New Roman" w:cs="Times New Roman" w:hint="eastAsia"/>
          <w:sz w:val="21"/>
          <w:szCs w:val="21"/>
          <w:lang w:eastAsia="zh-CN"/>
        </w:rPr>
        <w:t xml:space="preserve">2.3.1) </w:t>
      </w:r>
      <w:r w:rsidRPr="00C1660D">
        <w:rPr>
          <w:rFonts w:ascii="Times New Roman" w:hAnsi="Times New Roman" w:cs="Times New Roman"/>
          <w:sz w:val="21"/>
          <w:szCs w:val="21"/>
          <w:lang w:eastAsia="zh-CN"/>
        </w:rPr>
        <w:t>and log-transformed</w:t>
      </w:r>
      <w:r w:rsidR="00C37290">
        <w:rPr>
          <w:rFonts w:ascii="Times New Roman" w:hAnsi="Times New Roman" w:cs="Times New Roman"/>
          <w:sz w:val="21"/>
          <w:szCs w:val="21"/>
          <w:lang w:eastAsia="zh-CN"/>
        </w:rPr>
        <w:fldChar w:fldCharType="begin"/>
      </w:r>
      <w:r w:rsidR="005469F1">
        <w:rPr>
          <w:rFonts w:ascii="Times New Roman" w:hAnsi="Times New Roman" w:cs="Times New Roman"/>
          <w:sz w:val="21"/>
          <w:szCs w:val="21"/>
          <w:lang w:eastAsia="zh-CN"/>
        </w:rPr>
        <w:instrText xml:space="preserve"> ADDIN ZOTERO_ITEM CSL_CITATION {"citationID":"Lx4P0qFg","properties":{"formattedCitation":"\\super 24\\nosupersub{}","plainCitation":"24","noteIndex":0},"citationItems":[{"id":2667,"uris":["http://zotero.org/users/local/o5E1hp2p/items/8ED3UURR"],"itemData":{"id":2667,"type":"article-journal","abstract":"Multiplexed imaging data are revolutionizing our understanding of the composition and organization of tissues and tumors (“Catching up with Multiplexed Tissue Imaging,” 2022). A critical aspect of such “tissue profiling” is quantifying the spatial relationships among cells at different scales from the interaction of neighboring cells to recurrent communities of cells of multiple types. This often involves statistical analysis of 107 or more cells in which up to 100 biomolecules (commonly proteins) have been measured. While software tools currently cater to the analysis of spatial transcriptomics data (Liu et al., 2022), there remains a need for toolkits explicitly tailored to the complexities of multiplexed imaging data including the need to seamlessly integrate image visualization with data analysis and exploration. We introduce SCIMAP, a Python package specifically crafted to address these challenges. With SCIMAP, users can efficiently preprocess, analyze, and visualize large datasets, facilitating the exploration of spatial relationships and their statistical significance. SCIMAP’s modular design enables the integration of new algorithms, enhancing its capabilities for spatial analysis.","container-title":"Journal of Open Source Software","DOI":"10.21105/joss.06604","ISSN":"2475-9066","issue":"97","journalAbbreviation":"JOSS","language":"en","license":"http://creativecommons.org/licenses/by/4.0/","note":"titleTranslation: SCIMAP","page":"6604","source":"DOI.org (Crossref)","title":"SCIMAP: A Python Toolkit for Integrated SpatialAnalysis of Multiplexed Imaging Data","title-short":"SCIMAP","volume":"9","author":[{"family":"Nirmal","given":"Ajit J."},{"family":"Sorger","given":"Peter K."}],"issued":{"date-parts":[["2024",5,29]]}}}],"schema":"https://github.com/citation-style-language/schema/raw/master/csl-citation.json"} </w:instrText>
      </w:r>
      <w:r w:rsidR="00C37290">
        <w:rPr>
          <w:rFonts w:ascii="Times New Roman" w:hAnsi="Times New Roman" w:cs="Times New Roman"/>
          <w:sz w:val="21"/>
          <w:szCs w:val="21"/>
          <w:lang w:eastAsia="zh-CN"/>
        </w:rPr>
        <w:fldChar w:fldCharType="separate"/>
      </w:r>
      <w:r w:rsidR="005469F1" w:rsidRPr="005469F1">
        <w:rPr>
          <w:rFonts w:ascii="Times New Roman" w:hAnsi="Times New Roman" w:cs="Times New Roman"/>
          <w:sz w:val="21"/>
          <w:vertAlign w:val="superscript"/>
        </w:rPr>
        <w:t>24</w:t>
      </w:r>
      <w:r w:rsidR="00C37290">
        <w:rPr>
          <w:rFonts w:ascii="Times New Roman" w:hAnsi="Times New Roman" w:cs="Times New Roman"/>
          <w:sz w:val="21"/>
          <w:szCs w:val="21"/>
          <w:lang w:eastAsia="zh-CN"/>
        </w:rPr>
        <w:fldChar w:fldCharType="end"/>
      </w:r>
      <w:r w:rsidRPr="00C1660D">
        <w:rPr>
          <w:rFonts w:ascii="Times New Roman" w:hAnsi="Times New Roman" w:cs="Times New Roman"/>
          <w:sz w:val="21"/>
          <w:szCs w:val="21"/>
          <w:lang w:eastAsia="zh-CN"/>
        </w:rPr>
        <w:t>.</w:t>
      </w:r>
    </w:p>
    <w:p w:rsidR="004D2D45" w:rsidRPr="006D591B" w:rsidRDefault="00360D03" w:rsidP="004D2D45">
      <w:pPr>
        <w:spacing w:line="360" w:lineRule="auto"/>
        <w:rPr>
          <w:rFonts w:ascii="Times New Roman" w:hAnsi="Times New Roman" w:cs="Times New Roman"/>
          <w:b/>
          <w:color w:val="000000" w:themeColor="text1"/>
          <w:sz w:val="21"/>
          <w:szCs w:val="21"/>
          <w:lang w:val="en-US"/>
        </w:rPr>
      </w:pPr>
      <w:r w:rsidRPr="006D591B">
        <w:rPr>
          <w:rFonts w:ascii="Times New Roman" w:hAnsi="Times New Roman" w:cs="Times New Roman" w:hint="eastAsia"/>
          <w:b/>
          <w:color w:val="000000" w:themeColor="text1"/>
          <w:sz w:val="21"/>
          <w:szCs w:val="21"/>
          <w:lang w:val="en-US"/>
        </w:rPr>
        <w:t>Immunohistochemical</w:t>
      </w:r>
      <w:r w:rsidR="00273106" w:rsidRPr="006D591B">
        <w:rPr>
          <w:rFonts w:ascii="Times New Roman" w:hAnsi="Times New Roman" w:cs="Times New Roman" w:hint="eastAsia"/>
          <w:b/>
          <w:color w:val="000000" w:themeColor="text1"/>
          <w:sz w:val="21"/>
          <w:szCs w:val="21"/>
          <w:lang w:val="en-US" w:eastAsia="zh-CN"/>
        </w:rPr>
        <w:t xml:space="preserve"> (IHC)</w:t>
      </w:r>
      <w:r w:rsidRPr="006D591B">
        <w:rPr>
          <w:rFonts w:ascii="Times New Roman" w:hAnsi="Times New Roman" w:cs="Times New Roman" w:hint="eastAsia"/>
          <w:b/>
          <w:color w:val="000000" w:themeColor="text1"/>
          <w:sz w:val="21"/>
          <w:szCs w:val="21"/>
          <w:lang w:val="en-US"/>
        </w:rPr>
        <w:t xml:space="preserve"> staining</w:t>
      </w:r>
      <w:r w:rsidRPr="006D591B">
        <w:rPr>
          <w:rFonts w:ascii="Times New Roman" w:hAnsi="Times New Roman" w:cs="Times New Roman"/>
          <w:b/>
          <w:color w:val="000000" w:themeColor="text1"/>
          <w:sz w:val="21"/>
          <w:szCs w:val="21"/>
          <w:lang w:val="en-US"/>
        </w:rPr>
        <w:t xml:space="preserve"> </w:t>
      </w:r>
    </w:p>
    <w:p w:rsidR="00DF441E" w:rsidRPr="006D591B" w:rsidRDefault="00A3415C" w:rsidP="004D2D45">
      <w:pPr>
        <w:rPr>
          <w:rFonts w:ascii="Times New Roman" w:hAnsi="Times New Roman" w:cs="Times New Roman"/>
          <w:sz w:val="21"/>
          <w:szCs w:val="21"/>
        </w:rPr>
      </w:pPr>
      <w:r w:rsidRPr="006D591B">
        <w:rPr>
          <w:rFonts w:ascii="Times New Roman" w:hAnsi="Times New Roman" w:cs="Times New Roman"/>
          <w:sz w:val="21"/>
          <w:szCs w:val="21"/>
          <w:lang w:eastAsia="zh-CN"/>
        </w:rPr>
        <w:t>T</w:t>
      </w:r>
      <w:r w:rsidRPr="006D591B">
        <w:rPr>
          <w:rFonts w:ascii="Times New Roman" w:hAnsi="Times New Roman" w:cs="Times New Roman" w:hint="eastAsia"/>
          <w:sz w:val="21"/>
          <w:szCs w:val="21"/>
          <w:lang w:eastAsia="zh-CN"/>
        </w:rPr>
        <w:t>he tissue microarrys containing 133 CCA patients from Eastern Hepatobiliary Surgery Hospital and Tongji Hospital were employed to validate the association between subtype-specific marker expression and clinical prognosis</w:t>
      </w:r>
      <w:r w:rsidR="00662192" w:rsidRPr="006D591B">
        <w:rPr>
          <w:rFonts w:ascii="Times New Roman" w:hAnsi="Times New Roman" w:cs="Times New Roman" w:hint="eastAsia"/>
          <w:sz w:val="21"/>
          <w:szCs w:val="21"/>
          <w:lang w:eastAsia="zh-CN"/>
        </w:rPr>
        <w:t xml:space="preserve"> (Supplementary Table S1)</w:t>
      </w:r>
      <w:r w:rsidRPr="006D591B">
        <w:rPr>
          <w:rFonts w:ascii="Times New Roman" w:hAnsi="Times New Roman" w:cs="Times New Roman" w:hint="eastAsia"/>
          <w:sz w:val="21"/>
          <w:szCs w:val="21"/>
          <w:lang w:eastAsia="zh-CN"/>
        </w:rPr>
        <w:t xml:space="preserve">. </w:t>
      </w:r>
      <w:r w:rsidR="001F0C9C" w:rsidRPr="006D591B">
        <w:rPr>
          <w:rFonts w:ascii="Times New Roman" w:hAnsi="Times New Roman" w:cs="Times New Roman"/>
          <w:sz w:val="21"/>
          <w:szCs w:val="21"/>
          <w:lang w:eastAsia="zh-CN"/>
        </w:rPr>
        <w:t>I</w:t>
      </w:r>
      <w:r w:rsidR="001F0C9C" w:rsidRPr="006D591B">
        <w:rPr>
          <w:rFonts w:ascii="Times New Roman" w:hAnsi="Times New Roman" w:cs="Times New Roman" w:hint="eastAsia"/>
          <w:sz w:val="21"/>
          <w:szCs w:val="21"/>
          <w:lang w:eastAsia="zh-CN"/>
        </w:rPr>
        <w:t>HC staining was perfromed as previously described</w:t>
      </w:r>
      <w:r w:rsidR="00160437" w:rsidRPr="006D591B">
        <w:rPr>
          <w:rFonts w:ascii="Times New Roman" w:hAnsi="Times New Roman" w:cs="Times New Roman"/>
          <w:sz w:val="21"/>
          <w:szCs w:val="21"/>
          <w:lang w:eastAsia="zh-CN"/>
        </w:rPr>
        <w:fldChar w:fldCharType="begin"/>
      </w:r>
      <w:r w:rsidR="00160437" w:rsidRPr="006D591B">
        <w:rPr>
          <w:rFonts w:ascii="Times New Roman" w:hAnsi="Times New Roman" w:cs="Times New Roman"/>
          <w:sz w:val="21"/>
          <w:szCs w:val="21"/>
          <w:lang w:eastAsia="zh-CN"/>
        </w:rPr>
        <w:instrText xml:space="preserve"> ADDIN ZOTERO_ITEM CSL_CITATION {"citationID":"mQDUxewJ","properties":{"formattedCitation":"\\super 1\\nosupersub{}","plainCitation":"1","noteIndex":0},"citationItems":[{"id":1745,"uris":["http://zotero.org/users/local/o5E1hp2p/items/8XYK7ZHQ"],"itemData":{"id":1745,"type":"article-journal","abstract":"Abstract\n            \n              Gallbladder carcinoma (GBC) is the most common biliary tract malignancy with the lowest survival rate, primarily arising from chronic inflammation. To better characterize the progression from inflammation to cancer to metastasis, we performed single-cell RNA sequencing across samples of 6 chronic cholecystitis, 12 treatment-naive GBCs, and 6 matched metastases. Benign epithelial cells from inflamed gallbladders displayed resting, immune-regulating, and gastrointestinal metaplastic phenotypes. A small amount of\n              PLA2G2A\n              +\n              epithelial cells with copy number variation were identified from a histologically benign sample. We validated significant overexpression of PLA2G2A across in situ GBCs, together with increased proliferation and cancer stemness in\n              PLA2G2A\n              -overexpressing GBC cells, indicating an important role for\n              PLA2G2A\n              during early carcinogenesis. Malignant epithelial cells displayed pervasive cancer hallmarks and cellular plasticity, differentiating into metaplastic, inflammatory, and mesenchymal subtypes with distinct transcriptomic, genomic, and prognostic patterns. Chronic cholecystitis led to an adapted microenvironment characterized by MDSC-like macrophages, CD8\n              +\n              T\n              RM\n              cells, and\n              CCL2\n              +\n              immunity-regulating fibroblasts. By contrast, GBC instigated an aggressive and immunosuppressive microenvironment, featured by tumor-associated macrophages, Treg cells, CD8\n              +\n              T\n              EX\n              cells, and\n              STMN1\n              +\n              tumor-promoting fibroblasts. Single-cell and bulk RNA-seq profiles consistently showed a more suppressive immune milieu for GBCs with inflammatory epithelial signatures, coupled with strengthened epithelial-immune crosstalk. We further pinpointed a subset of senescence-like fibroblasts (\n              FN1\n              +\n              TGM2\n              +\n              ) preferentially enriched in metastatic lesions, which promoted GBC migration and invasion via their secretory phenotype. Collectively, this study provides comprehensive insights into epithelial and microenvironmental reprogramming throughout cholecystitis-propelled carcinogenesis and metastasis, laying a new foundation for the precision therapy of GBC.","container-title":"Cell Discovery","DOI":"10.1038/s41421-022-00445-8","ISSN":"2056-5968","issue":"1","journalAbbreviation":"Cell Discov","language":"en","page":"101","source":"DOI.org (Crossref)","title":"Single-cell dissection of remodeled inflammatory ecosystem in primary and metastatic gallbladder carcinoma","volume":"8","author":[{"family":"Wang","given":"Xiang"},{"family":"Liu","given":"Chunliang"},{"family":"Chen","given":"Jianan"},{"family":"Chen","given":"Lei"},{"family":"Ren","given":"Xianwen"},{"family":"Hou","given":"Minghui"},{"family":"Cui","given":"Xiuliang"},{"family":"Jiang","given":"Youhai"},{"family":"Liu","given":"Erdong"},{"family":"Zong","given":"Yali"},{"family":"Duan","given":"Anqi"},{"family":"Fu","given":"Xiaohui"},{"family":"Yu","given":"Wenlong"},{"family":"Zhao","given":"Xiaofang"},{"family":"Yang","given":"Zhao"},{"family":"Zhang","given":"Yongjie"},{"family":"Fu","given":"Jing"},{"family":"Wang","given":"Hongyang"}],"issued":{"date-parts":[["2022",10,5]]}}}],"schema":"https://github.com/citation-style-language/schema/raw/master/csl-citation.json"} </w:instrText>
      </w:r>
      <w:r w:rsidR="00160437" w:rsidRPr="006D591B">
        <w:rPr>
          <w:rFonts w:ascii="Times New Roman" w:hAnsi="Times New Roman" w:cs="Times New Roman"/>
          <w:sz w:val="21"/>
          <w:szCs w:val="21"/>
          <w:lang w:eastAsia="zh-CN"/>
        </w:rPr>
        <w:fldChar w:fldCharType="separate"/>
      </w:r>
      <w:r w:rsidR="00160437" w:rsidRPr="006D591B">
        <w:rPr>
          <w:rFonts w:ascii="Times New Roman" w:hAnsi="Times New Roman" w:cs="Times New Roman"/>
          <w:sz w:val="21"/>
          <w:szCs w:val="21"/>
          <w:vertAlign w:val="superscript"/>
        </w:rPr>
        <w:t>1</w:t>
      </w:r>
      <w:r w:rsidR="00160437" w:rsidRPr="006D591B">
        <w:rPr>
          <w:rFonts w:ascii="Times New Roman" w:hAnsi="Times New Roman" w:cs="Times New Roman"/>
          <w:sz w:val="21"/>
          <w:szCs w:val="21"/>
          <w:lang w:eastAsia="zh-CN"/>
        </w:rPr>
        <w:fldChar w:fldCharType="end"/>
      </w:r>
      <w:r w:rsidR="001F0C9C" w:rsidRPr="006D591B">
        <w:rPr>
          <w:rFonts w:ascii="Times New Roman" w:hAnsi="Times New Roman" w:cs="Times New Roman" w:hint="eastAsia"/>
          <w:sz w:val="21"/>
          <w:szCs w:val="21"/>
          <w:lang w:eastAsia="zh-CN"/>
        </w:rPr>
        <w:t xml:space="preserve">. </w:t>
      </w:r>
      <w:r w:rsidR="00926E22" w:rsidRPr="006D591B">
        <w:rPr>
          <w:rFonts w:ascii="Times New Roman" w:hAnsi="Times New Roman" w:cs="Times New Roman" w:hint="eastAsia"/>
          <w:sz w:val="21"/>
          <w:szCs w:val="21"/>
          <w:lang w:eastAsia="zh-CN"/>
        </w:rPr>
        <w:t>To assess marker immunoreactivity, pathologists blinded to clinical outcomes conducted image analysis by evaluating both staining density and intensity.</w:t>
      </w:r>
    </w:p>
    <w:p w:rsidR="00DF441E" w:rsidRPr="006D591B" w:rsidRDefault="00DF441E" w:rsidP="004D2D45">
      <w:pPr>
        <w:rPr>
          <w:rFonts w:ascii="Times New Roman" w:hAnsi="Times New Roman" w:cs="Times New Roman"/>
          <w:sz w:val="21"/>
          <w:szCs w:val="21"/>
          <w:lang w:eastAsia="zh-CN"/>
        </w:rPr>
      </w:pPr>
      <w:r w:rsidRPr="006D591B">
        <w:rPr>
          <w:rFonts w:ascii="Times New Roman" w:hAnsi="Times New Roman" w:cs="Times New Roman"/>
          <w:b/>
          <w:color w:val="000000" w:themeColor="text1"/>
          <w:sz w:val="21"/>
          <w:szCs w:val="21"/>
          <w:lang w:val="en-US"/>
        </w:rPr>
        <w:t>Multiplex immunofluorescence staining</w:t>
      </w:r>
      <w:r w:rsidRPr="006D591B">
        <w:rPr>
          <w:rFonts w:ascii="Times New Roman" w:hAnsi="Times New Roman" w:cs="Times New Roman"/>
          <w:sz w:val="21"/>
          <w:szCs w:val="21"/>
          <w:lang w:eastAsia="zh-CN"/>
        </w:rPr>
        <w:t xml:space="preserve"> </w:t>
      </w:r>
    </w:p>
    <w:p w:rsidR="004D2D45" w:rsidRPr="006D591B" w:rsidRDefault="00A3415C" w:rsidP="004D2D45">
      <w:pPr>
        <w:rPr>
          <w:rFonts w:ascii="Times New Roman" w:hAnsi="Times New Roman" w:cs="Times New Roman"/>
          <w:sz w:val="21"/>
          <w:szCs w:val="21"/>
        </w:rPr>
      </w:pPr>
      <w:r w:rsidRPr="006D591B">
        <w:rPr>
          <w:rFonts w:ascii="Times New Roman" w:hAnsi="Times New Roman" w:cs="Times New Roman"/>
          <w:sz w:val="21"/>
          <w:szCs w:val="21"/>
        </w:rPr>
        <w:t xml:space="preserve">The tissue sections underwent a series of preparatory steps including deparaffinization, rehydration, and inactivation of endogenous peroxidase activity, all in accordance with established immunohistochemistry procedures. </w:t>
      </w:r>
      <w:r w:rsidR="00355851" w:rsidRPr="006D591B">
        <w:rPr>
          <w:rFonts w:ascii="Times New Roman" w:hAnsi="Times New Roman" w:cs="Times New Roman"/>
          <w:sz w:val="21"/>
          <w:szCs w:val="21"/>
          <w:lang w:eastAsia="zh-CN"/>
        </w:rPr>
        <w:t>F</w:t>
      </w:r>
      <w:r w:rsidR="00355851" w:rsidRPr="006D591B">
        <w:rPr>
          <w:rFonts w:ascii="Times New Roman" w:hAnsi="Times New Roman" w:cs="Times New Roman" w:hint="eastAsia"/>
          <w:sz w:val="21"/>
          <w:szCs w:val="21"/>
          <w:lang w:eastAsia="zh-CN"/>
        </w:rPr>
        <w:t xml:space="preserve">or </w:t>
      </w:r>
      <w:r w:rsidR="00273106" w:rsidRPr="006D591B">
        <w:rPr>
          <w:rFonts w:ascii="Times New Roman" w:hAnsi="Times New Roman" w:cs="Times New Roman" w:hint="eastAsia"/>
          <w:sz w:val="21"/>
          <w:szCs w:val="21"/>
          <w:lang w:eastAsia="zh-CN"/>
        </w:rPr>
        <w:t>multiplex immunofluorescence staining,</w:t>
      </w:r>
      <w:r w:rsidR="00273106" w:rsidRPr="006D591B">
        <w:rPr>
          <w:rFonts w:ascii="Times New Roman" w:hAnsi="Times New Roman" w:cs="Times New Roman"/>
          <w:sz w:val="21"/>
          <w:szCs w:val="21"/>
          <w:lang w:eastAsia="zh-CN"/>
        </w:rPr>
        <w:t xml:space="preserve"> </w:t>
      </w:r>
      <w:r w:rsidR="00273106" w:rsidRPr="006D591B">
        <w:rPr>
          <w:rFonts w:ascii="Times New Roman" w:hAnsi="Times New Roman" w:cs="Times New Roman" w:hint="eastAsia"/>
          <w:sz w:val="21"/>
          <w:szCs w:val="21"/>
          <w:lang w:eastAsia="zh-CN"/>
        </w:rPr>
        <w:t>e</w:t>
      </w:r>
      <w:r w:rsidR="004D2D45" w:rsidRPr="006D591B">
        <w:rPr>
          <w:rFonts w:ascii="Times New Roman" w:hAnsi="Times New Roman" w:cs="Times New Roman"/>
          <w:sz w:val="21"/>
          <w:szCs w:val="21"/>
        </w:rPr>
        <w:t xml:space="preserve">ach incubation step was conducted within a light-protected, humidified incubation chamber, with samples </w:t>
      </w:r>
      <w:r w:rsidR="004D2D45" w:rsidRPr="006D591B">
        <w:rPr>
          <w:rFonts w:ascii="Times New Roman" w:hAnsi="Times New Roman" w:cs="Times New Roman"/>
          <w:sz w:val="21"/>
          <w:szCs w:val="21"/>
        </w:rPr>
        <w:lastRenderedPageBreak/>
        <w:t>agitated at 300 rpm on an orbital shaker. After each treatment, the applied reagents were carefully decanted, and the sections were subjected to triple washing with TBST. Following this, a multi-color staining regimen was initiated, adhering to the guidelines provided by the manufacturer (PerkinElmer). The immunofluorescence-labeled slides were then visualized under a confocal microscope equipped with a 60× objective lens. To ensure comprehensive capture of whole-slide images without pixel saturation, saturation protection settings were utilized. For accurate analysis, a spectral library was compiled for each OPAL fluorochrome and consistently applied across all immunofluorescence panels examined during the experimental process.</w:t>
      </w:r>
    </w:p>
    <w:p w:rsidR="004D2D45" w:rsidRPr="006D591B" w:rsidRDefault="004D2D45" w:rsidP="004D2D45">
      <w:pPr>
        <w:spacing w:line="360" w:lineRule="auto"/>
        <w:rPr>
          <w:rFonts w:ascii="Times New Roman" w:hAnsi="Times New Roman" w:cs="Times New Roman"/>
          <w:b/>
          <w:color w:val="000000" w:themeColor="text1"/>
          <w:sz w:val="21"/>
          <w:szCs w:val="21"/>
          <w:lang w:val="en-US"/>
        </w:rPr>
      </w:pPr>
      <w:r w:rsidRPr="006D591B">
        <w:rPr>
          <w:rFonts w:ascii="Times New Roman" w:hAnsi="Times New Roman" w:cs="Times New Roman"/>
          <w:b/>
          <w:color w:val="000000" w:themeColor="text1"/>
          <w:sz w:val="21"/>
          <w:szCs w:val="21"/>
          <w:lang w:val="en-US"/>
        </w:rPr>
        <w:t>Cell culture</w:t>
      </w:r>
    </w:p>
    <w:p w:rsidR="004D2D45" w:rsidRPr="006D591B" w:rsidRDefault="004D2D45" w:rsidP="004D2D45">
      <w:pPr>
        <w:rPr>
          <w:rFonts w:ascii="Times New Roman" w:hAnsi="Times New Roman" w:cs="Times New Roman"/>
          <w:sz w:val="21"/>
          <w:szCs w:val="21"/>
        </w:rPr>
      </w:pPr>
      <w:r w:rsidRPr="006D591B">
        <w:rPr>
          <w:rFonts w:ascii="Times New Roman" w:hAnsi="Times New Roman" w:cs="Times New Roman"/>
          <w:sz w:val="21"/>
          <w:szCs w:val="21"/>
        </w:rPr>
        <w:t>The QBC-939 extrahepatic cholangiocarcinoma cell line was purchased from Shanghai Cell Bank of the Chinese Academy of Sciences (BFN60810642) and underwent authentication via short tandem-repeat (STR) DNA profiling, confirming its identity. Additionally, the cell line was screened and found to be free of mycoplasma contamination. For cultivation, QBC-939 cells were maintained in RPMI 1640 medium (BasalMedia, L210KJ) enriched with 10% FBS (Gibco, 10099-141), along with 100 U/mL of penicillin and 100 μg/mL of streptomycin (Gibco, 15140-122). The cells were incubated under optimal conditions at 37°C in a 5% CO</w:t>
      </w:r>
      <w:r w:rsidRPr="006D591B">
        <w:rPr>
          <w:rFonts w:ascii="Times New Roman" w:hAnsi="Times New Roman" w:cs="Times New Roman"/>
          <w:sz w:val="21"/>
          <w:szCs w:val="21"/>
          <w:vertAlign w:val="subscript"/>
        </w:rPr>
        <w:t>2</w:t>
      </w:r>
      <w:r w:rsidRPr="006D591B">
        <w:rPr>
          <w:rFonts w:ascii="Times New Roman" w:hAnsi="Times New Roman" w:cs="Times New Roman"/>
          <w:sz w:val="21"/>
          <w:szCs w:val="21"/>
        </w:rPr>
        <w:t xml:space="preserve"> atmosphere.</w:t>
      </w:r>
    </w:p>
    <w:p w:rsidR="004D2D45" w:rsidRPr="006D591B" w:rsidRDefault="004D2D45" w:rsidP="004D2D45">
      <w:pPr>
        <w:spacing w:line="360" w:lineRule="auto"/>
        <w:rPr>
          <w:rFonts w:ascii="Times New Roman" w:hAnsi="Times New Roman" w:cs="Times New Roman"/>
          <w:b/>
          <w:color w:val="000000" w:themeColor="text1"/>
          <w:sz w:val="21"/>
          <w:szCs w:val="21"/>
          <w:lang w:val="en-US"/>
        </w:rPr>
      </w:pPr>
      <w:r w:rsidRPr="006D591B">
        <w:rPr>
          <w:rFonts w:ascii="Times New Roman" w:hAnsi="Times New Roman" w:cs="Times New Roman"/>
          <w:b/>
          <w:color w:val="000000" w:themeColor="text1"/>
          <w:sz w:val="21"/>
          <w:szCs w:val="21"/>
          <w:lang w:val="en-US"/>
        </w:rPr>
        <w:t>Sorting of LY6D+ QBC-939 eCCA cells based on flow cytometry</w:t>
      </w:r>
    </w:p>
    <w:p w:rsidR="004D2D45" w:rsidRPr="006D591B" w:rsidRDefault="004D2D45" w:rsidP="004D2D45">
      <w:pPr>
        <w:rPr>
          <w:rFonts w:ascii="Times New Roman" w:hAnsi="Times New Roman" w:cs="Times New Roman"/>
          <w:sz w:val="21"/>
          <w:szCs w:val="21"/>
        </w:rPr>
      </w:pPr>
      <w:r w:rsidRPr="006D591B">
        <w:rPr>
          <w:rFonts w:ascii="Times New Roman" w:hAnsi="Times New Roman" w:cs="Times New Roman"/>
          <w:sz w:val="21"/>
          <w:szCs w:val="21"/>
        </w:rPr>
        <w:t>Once the QBC-939 cell line was dissociated into single cells, the cell concentration was diluted to 1×10</w:t>
      </w:r>
      <w:r w:rsidRPr="006D591B">
        <w:rPr>
          <w:rFonts w:ascii="Times New Roman" w:hAnsi="Times New Roman" w:cs="Times New Roman"/>
          <w:sz w:val="21"/>
          <w:szCs w:val="21"/>
          <w:vertAlign w:val="superscript"/>
        </w:rPr>
        <w:t>7</w:t>
      </w:r>
      <w:r w:rsidRPr="006D591B">
        <w:rPr>
          <w:rFonts w:ascii="Times New Roman" w:hAnsi="Times New Roman" w:cs="Times New Roman"/>
          <w:sz w:val="21"/>
          <w:szCs w:val="21"/>
        </w:rPr>
        <w:t xml:space="preserve"> cells/mL. To this, 1 μg of anti-LY6D antibody (PA5-64167, Invitrogen) was introduced into a 100 μL volume of the cell suspension and incubated on ice for a period of 30 minutes. Following incubation, the cell suspension was washed, and subsequently, 1 μg of a secondary antibody specific to rabbit IgG conjugated to PE (</w:t>
      </w:r>
      <w:r w:rsidRPr="006D591B">
        <w:rPr>
          <w:rFonts w:ascii="Times New Roman" w:hAnsi="Times New Roman" w:cs="Times New Roman"/>
          <w:bCs/>
          <w:sz w:val="21"/>
          <w:szCs w:val="21"/>
        </w:rPr>
        <w:t>406421</w:t>
      </w:r>
      <w:r w:rsidRPr="006D591B">
        <w:rPr>
          <w:rFonts w:ascii="Times New Roman" w:hAnsi="Times New Roman" w:cs="Times New Roman"/>
          <w:sz w:val="21"/>
          <w:szCs w:val="21"/>
        </w:rPr>
        <w:t xml:space="preserve">, </w:t>
      </w:r>
      <w:r w:rsidRPr="006D591B">
        <w:rPr>
          <w:rFonts w:ascii="Times New Roman" w:hAnsi="Times New Roman" w:cs="Times New Roman"/>
          <w:bCs/>
          <w:sz w:val="21"/>
          <w:szCs w:val="21"/>
        </w:rPr>
        <w:t>biolegend</w:t>
      </w:r>
      <w:r w:rsidRPr="006D591B">
        <w:rPr>
          <w:rFonts w:ascii="Times New Roman" w:hAnsi="Times New Roman" w:cs="Times New Roman"/>
          <w:sz w:val="21"/>
          <w:szCs w:val="21"/>
        </w:rPr>
        <w:t>) was added. The mixture was then incubated on ice for an additional 30 minutes in the dark. For the control group, no primary antibody was added, or only the secondary antibody was included. The fluorescence-activated cell sorting (FACS) data were subsequently analyzed using FlowJo software.</w:t>
      </w:r>
    </w:p>
    <w:p w:rsidR="004D2D45" w:rsidRPr="006D591B" w:rsidRDefault="004D2D45" w:rsidP="004D2D45">
      <w:pPr>
        <w:spacing w:line="360" w:lineRule="auto"/>
        <w:rPr>
          <w:rFonts w:ascii="Times New Roman" w:hAnsi="Times New Roman" w:cs="Times New Roman"/>
          <w:b/>
          <w:color w:val="000000" w:themeColor="text1"/>
          <w:sz w:val="21"/>
          <w:szCs w:val="21"/>
          <w:lang w:val="en-US"/>
        </w:rPr>
      </w:pPr>
      <w:r w:rsidRPr="006D591B">
        <w:rPr>
          <w:rFonts w:ascii="Times New Roman" w:hAnsi="Times New Roman" w:cs="Times New Roman"/>
          <w:b/>
          <w:color w:val="000000" w:themeColor="text1"/>
          <w:sz w:val="21"/>
          <w:szCs w:val="21"/>
          <w:lang w:val="en-US"/>
        </w:rPr>
        <w:t>Spheroid Formation Assay</w:t>
      </w:r>
    </w:p>
    <w:p w:rsidR="004D2D45" w:rsidRPr="006D591B" w:rsidRDefault="004D2D45" w:rsidP="004D2D45">
      <w:pPr>
        <w:rPr>
          <w:rFonts w:ascii="Times New Roman" w:hAnsi="Times New Roman" w:cs="Times New Roman"/>
          <w:sz w:val="21"/>
          <w:szCs w:val="21"/>
        </w:rPr>
      </w:pPr>
      <w:r w:rsidRPr="006D591B">
        <w:rPr>
          <w:rFonts w:ascii="Times New Roman" w:hAnsi="Times New Roman" w:cs="Times New Roman"/>
          <w:sz w:val="21"/>
          <w:szCs w:val="21"/>
        </w:rPr>
        <w:t>QBC-939 cells were plated in ultra-low attachment 6-well plates at a density of 1000 cells per well. After a 7-day incubation period for the LY6D sorting experiment or an 11-day period for the ISG15 stimulation experiment, tumor spheres were enumerated using a stereomicroscope.</w:t>
      </w:r>
    </w:p>
    <w:p w:rsidR="004D2D45" w:rsidRPr="006D591B" w:rsidRDefault="004D2D45" w:rsidP="004D2D45">
      <w:pPr>
        <w:spacing w:line="360" w:lineRule="auto"/>
        <w:rPr>
          <w:rFonts w:ascii="Times New Roman" w:hAnsi="Times New Roman" w:cs="Times New Roman"/>
          <w:b/>
          <w:color w:val="000000" w:themeColor="text1"/>
          <w:sz w:val="21"/>
          <w:szCs w:val="21"/>
          <w:lang w:val="en-US"/>
        </w:rPr>
      </w:pPr>
      <w:r w:rsidRPr="006D591B">
        <w:rPr>
          <w:rFonts w:ascii="Times New Roman" w:hAnsi="Times New Roman" w:cs="Times New Roman"/>
          <w:b/>
          <w:color w:val="000000" w:themeColor="text1"/>
          <w:sz w:val="21"/>
          <w:szCs w:val="21"/>
          <w:lang w:val="en-US"/>
        </w:rPr>
        <w:t>RT-qPCR</w:t>
      </w:r>
    </w:p>
    <w:p w:rsidR="004D2D45" w:rsidRPr="006D591B" w:rsidRDefault="004D2D45" w:rsidP="004D2D45">
      <w:pPr>
        <w:rPr>
          <w:rFonts w:ascii="Times New Roman" w:hAnsi="Times New Roman" w:cs="Times New Roman"/>
          <w:sz w:val="21"/>
          <w:szCs w:val="21"/>
        </w:rPr>
      </w:pPr>
      <w:r w:rsidRPr="006D591B">
        <w:rPr>
          <w:rFonts w:ascii="Times New Roman" w:hAnsi="Times New Roman" w:cs="Times New Roman"/>
          <w:sz w:val="21"/>
          <w:szCs w:val="21"/>
        </w:rPr>
        <w:t>The sorted LY6D</w:t>
      </w:r>
      <w:r w:rsidRPr="006D591B">
        <w:rPr>
          <w:rFonts w:ascii="Times New Roman" w:hAnsi="Times New Roman" w:cs="Times New Roman"/>
          <w:sz w:val="21"/>
          <w:szCs w:val="21"/>
          <w:vertAlign w:val="superscript"/>
        </w:rPr>
        <w:t>+</w:t>
      </w:r>
      <w:r w:rsidRPr="006D591B">
        <w:rPr>
          <w:rFonts w:ascii="Times New Roman" w:hAnsi="Times New Roman" w:cs="Times New Roman"/>
          <w:sz w:val="21"/>
          <w:szCs w:val="21"/>
        </w:rPr>
        <w:t xml:space="preserve"> and LY6D</w:t>
      </w:r>
      <w:r w:rsidRPr="006D591B">
        <w:rPr>
          <w:rFonts w:ascii="Times New Roman" w:hAnsi="Times New Roman" w:cs="Times New Roman"/>
          <w:sz w:val="21"/>
          <w:szCs w:val="21"/>
          <w:vertAlign w:val="superscript"/>
        </w:rPr>
        <w:t>-</w:t>
      </w:r>
      <w:r w:rsidRPr="006D591B">
        <w:rPr>
          <w:rFonts w:ascii="Times New Roman" w:hAnsi="Times New Roman" w:cs="Times New Roman"/>
          <w:sz w:val="21"/>
          <w:szCs w:val="21"/>
        </w:rPr>
        <w:t xml:space="preserve"> subgroups of the QBC-939 cell line were isolated using the EasySepTM Release PE Positive Selection Kit (Stemcell, 17654) in accordance with the manufacturer's specified protocols. Subsequent to cell sorting, total RNA was extracted from the </w:t>
      </w:r>
      <w:r w:rsidRPr="006D591B">
        <w:rPr>
          <w:rFonts w:ascii="Times New Roman" w:hAnsi="Times New Roman" w:cs="Times New Roman"/>
          <w:sz w:val="21"/>
          <w:szCs w:val="21"/>
        </w:rPr>
        <w:lastRenderedPageBreak/>
        <w:t>samples using TRIzol reagent (15596026, Invitrogen), following the recommended procedures outlined by the manufacturer. Real-time PCR was conducted on a LightCycler® 96 Real-Time PCR System, utilizing the SYBR Green PCR kit (Accurate Biology, AG11701).</w:t>
      </w:r>
    </w:p>
    <w:p w:rsidR="004D2D45" w:rsidRPr="006D591B" w:rsidRDefault="004D2D45" w:rsidP="004D2D45">
      <w:pPr>
        <w:spacing w:line="360" w:lineRule="auto"/>
        <w:rPr>
          <w:rFonts w:ascii="Times New Roman" w:hAnsi="Times New Roman" w:cs="Times New Roman"/>
          <w:b/>
          <w:color w:val="000000" w:themeColor="text1"/>
          <w:sz w:val="21"/>
          <w:szCs w:val="21"/>
          <w:lang w:val="en-US" w:eastAsia="zh-CN"/>
        </w:rPr>
      </w:pPr>
      <w:r w:rsidRPr="006D591B">
        <w:rPr>
          <w:rFonts w:ascii="Times New Roman" w:hAnsi="Times New Roman" w:cs="Times New Roman"/>
          <w:b/>
          <w:color w:val="000000" w:themeColor="text1"/>
          <w:sz w:val="21"/>
          <w:szCs w:val="21"/>
          <w:lang w:val="en-US"/>
        </w:rPr>
        <w:t xml:space="preserve">Drug resistance test </w:t>
      </w:r>
      <w:r w:rsidR="00141216" w:rsidRPr="006D591B">
        <w:rPr>
          <w:rFonts w:ascii="Times New Roman" w:hAnsi="Times New Roman" w:cs="Times New Roman" w:hint="eastAsia"/>
          <w:b/>
          <w:color w:val="000000" w:themeColor="text1"/>
          <w:sz w:val="21"/>
          <w:szCs w:val="21"/>
          <w:lang w:val="en-US" w:eastAsia="zh-CN"/>
        </w:rPr>
        <w:t>by</w:t>
      </w:r>
      <w:r w:rsidRPr="006D591B">
        <w:rPr>
          <w:rFonts w:ascii="Times New Roman" w:hAnsi="Times New Roman" w:cs="Times New Roman"/>
          <w:b/>
          <w:color w:val="000000" w:themeColor="text1"/>
          <w:sz w:val="21"/>
          <w:szCs w:val="21"/>
          <w:lang w:val="en-US"/>
        </w:rPr>
        <w:t xml:space="preserve"> QBC-939 cells</w:t>
      </w:r>
    </w:p>
    <w:p w:rsidR="00141216" w:rsidRPr="006D591B" w:rsidRDefault="004D2D45" w:rsidP="004D2D45">
      <w:pPr>
        <w:rPr>
          <w:rFonts w:ascii="Times New Roman" w:hAnsi="Times New Roman" w:cs="Times New Roman"/>
          <w:sz w:val="21"/>
          <w:szCs w:val="21"/>
          <w:lang w:eastAsia="zh-CN"/>
        </w:rPr>
      </w:pPr>
      <w:r w:rsidRPr="006D591B">
        <w:rPr>
          <w:rFonts w:ascii="Times New Roman" w:hAnsi="Times New Roman" w:cs="Times New Roman"/>
          <w:sz w:val="21"/>
          <w:szCs w:val="21"/>
        </w:rPr>
        <w:t>Cells from the QBC-939 LY6D</w:t>
      </w:r>
      <w:r w:rsidRPr="006D591B">
        <w:rPr>
          <w:rFonts w:ascii="Times New Roman" w:hAnsi="Times New Roman" w:cs="Times New Roman"/>
          <w:sz w:val="21"/>
          <w:szCs w:val="21"/>
          <w:vertAlign w:val="superscript"/>
        </w:rPr>
        <w:t>+</w:t>
      </w:r>
      <w:r w:rsidRPr="006D591B">
        <w:rPr>
          <w:rFonts w:ascii="Times New Roman" w:hAnsi="Times New Roman" w:cs="Times New Roman"/>
          <w:sz w:val="21"/>
          <w:szCs w:val="21"/>
        </w:rPr>
        <w:t xml:space="preserve"> and LY6D</w:t>
      </w:r>
      <w:r w:rsidRPr="006D591B">
        <w:rPr>
          <w:rFonts w:ascii="Times New Roman" w:hAnsi="Times New Roman" w:cs="Times New Roman"/>
          <w:sz w:val="21"/>
          <w:szCs w:val="21"/>
          <w:vertAlign w:val="superscript"/>
        </w:rPr>
        <w:t>-</w:t>
      </w:r>
      <w:r w:rsidRPr="006D591B">
        <w:rPr>
          <w:rFonts w:ascii="Times New Roman" w:hAnsi="Times New Roman" w:cs="Times New Roman"/>
          <w:sz w:val="21"/>
          <w:szCs w:val="21"/>
        </w:rPr>
        <w:t xml:space="preserve"> subgroups were plated into 96-well plates at a density of 2,000 cells per well. Following a 12-hour incubation period post-seeding, the cells were treated with a series of dilutions of Gemcitabine (Gemethabine HCl, </w:t>
      </w:r>
      <w:r w:rsidRPr="006D591B">
        <w:rPr>
          <w:rFonts w:ascii="Times New Roman" w:hAnsi="Times New Roman" w:cs="Times New Roman"/>
          <w:bCs/>
          <w:sz w:val="21"/>
          <w:szCs w:val="21"/>
        </w:rPr>
        <w:t>Selleck</w:t>
      </w:r>
      <w:r w:rsidRPr="006D591B">
        <w:rPr>
          <w:rFonts w:ascii="Times New Roman" w:hAnsi="Times New Roman" w:cs="Times New Roman"/>
          <w:sz w:val="21"/>
          <w:szCs w:val="21"/>
        </w:rPr>
        <w:t>, S1149), Cisplatin (</w:t>
      </w:r>
      <w:r w:rsidRPr="006D591B">
        <w:rPr>
          <w:rFonts w:ascii="Times New Roman" w:hAnsi="Times New Roman" w:cs="Times New Roman"/>
          <w:bCs/>
          <w:sz w:val="21"/>
          <w:szCs w:val="21"/>
        </w:rPr>
        <w:t>Selleck</w:t>
      </w:r>
      <w:r w:rsidRPr="006D591B">
        <w:rPr>
          <w:rFonts w:ascii="Times New Roman" w:hAnsi="Times New Roman" w:cs="Times New Roman"/>
          <w:sz w:val="21"/>
          <w:szCs w:val="21"/>
        </w:rPr>
        <w:t>, S1166), or 5-fluorouracil (Selleck, S1209), resulting in final drug concentrations of 0, 1, 10, and 100 µM. After a 4-day incubation with the drugs, cell viability was assessed using the Cell Counting Kit-8 (CCK-8) assay (NCM Biotech, C6005), adhering to the protocol provided by the manufacturer. The relative survival rates in the presence of the inhibitors were normalized to the untreated controls, with background values subtracted to ensure accuracy.</w:t>
      </w:r>
      <w:r w:rsidR="00141216" w:rsidRPr="006D591B">
        <w:rPr>
          <w:rFonts w:ascii="Times New Roman" w:hAnsi="Times New Roman" w:cs="Times New Roman" w:hint="eastAsia"/>
          <w:sz w:val="21"/>
          <w:szCs w:val="21"/>
          <w:lang w:eastAsia="zh-CN"/>
        </w:rPr>
        <w:t xml:space="preserve"> To test the drug resistance effect of ISG15, 100ng/mL ISG15 and vehicle were used to treat </w:t>
      </w:r>
      <w:r w:rsidR="00230F17" w:rsidRPr="006D591B">
        <w:rPr>
          <w:rFonts w:ascii="Times New Roman" w:hAnsi="Times New Roman" w:cs="Times New Roman" w:hint="eastAsia"/>
          <w:sz w:val="21"/>
          <w:szCs w:val="21"/>
          <w:lang w:eastAsia="zh-CN"/>
        </w:rPr>
        <w:t>QBC-939</w:t>
      </w:r>
      <w:r w:rsidR="00141216" w:rsidRPr="006D591B">
        <w:rPr>
          <w:rFonts w:ascii="Times New Roman" w:hAnsi="Times New Roman" w:cs="Times New Roman" w:hint="eastAsia"/>
          <w:sz w:val="21"/>
          <w:szCs w:val="21"/>
          <w:lang w:eastAsia="zh-CN"/>
        </w:rPr>
        <w:t>.</w:t>
      </w:r>
    </w:p>
    <w:p w:rsidR="00E56854" w:rsidRPr="006D591B" w:rsidRDefault="00E56854" w:rsidP="00E56854">
      <w:pPr>
        <w:spacing w:line="360" w:lineRule="auto"/>
        <w:rPr>
          <w:rFonts w:ascii="Times New Roman" w:hAnsi="Times New Roman" w:cs="Times New Roman"/>
          <w:b/>
          <w:color w:val="000000" w:themeColor="text1"/>
          <w:sz w:val="21"/>
          <w:szCs w:val="21"/>
          <w:lang w:val="en-US" w:eastAsia="zh-CN"/>
        </w:rPr>
      </w:pPr>
      <w:r w:rsidRPr="006D591B">
        <w:rPr>
          <w:rFonts w:ascii="Times New Roman" w:hAnsi="Times New Roman" w:cs="Times New Roman"/>
          <w:b/>
          <w:color w:val="000000" w:themeColor="text1"/>
          <w:sz w:val="21"/>
          <w:szCs w:val="21"/>
          <w:lang w:val="en-US"/>
        </w:rPr>
        <w:t>Organoid</w:t>
      </w:r>
      <w:r w:rsidRPr="006D591B">
        <w:rPr>
          <w:rFonts w:ascii="Times New Roman" w:hAnsi="Times New Roman" w:cs="Times New Roman" w:hint="eastAsia"/>
          <w:b/>
          <w:color w:val="000000" w:themeColor="text1"/>
          <w:sz w:val="21"/>
          <w:szCs w:val="21"/>
          <w:lang w:val="en-US" w:eastAsia="zh-CN"/>
        </w:rPr>
        <w:t xml:space="preserve"> drug </w:t>
      </w:r>
      <w:r w:rsidRPr="006D591B">
        <w:rPr>
          <w:rFonts w:ascii="Times New Roman" w:hAnsi="Times New Roman" w:cs="Times New Roman"/>
          <w:b/>
          <w:color w:val="000000" w:themeColor="text1"/>
          <w:sz w:val="21"/>
          <w:szCs w:val="21"/>
          <w:lang w:val="en-US" w:eastAsia="zh-CN"/>
        </w:rPr>
        <w:t>resistance</w:t>
      </w:r>
      <w:r w:rsidRPr="006D591B">
        <w:rPr>
          <w:rFonts w:ascii="Times New Roman" w:hAnsi="Times New Roman" w:cs="Times New Roman" w:hint="eastAsia"/>
          <w:b/>
          <w:color w:val="000000" w:themeColor="text1"/>
          <w:sz w:val="21"/>
          <w:szCs w:val="21"/>
          <w:lang w:val="en-US" w:eastAsia="zh-CN"/>
        </w:rPr>
        <w:t xml:space="preserve"> experiment</w:t>
      </w:r>
    </w:p>
    <w:p w:rsidR="00E56854" w:rsidRPr="006D591B" w:rsidRDefault="00E56854" w:rsidP="004D2D45">
      <w:pPr>
        <w:rPr>
          <w:rFonts w:ascii="Times New Roman" w:hAnsi="Times New Roman" w:cs="Times New Roman"/>
          <w:sz w:val="21"/>
          <w:szCs w:val="21"/>
        </w:rPr>
      </w:pPr>
      <w:r w:rsidRPr="006D591B">
        <w:rPr>
          <w:rFonts w:ascii="Times New Roman" w:hAnsi="Times New Roman" w:cs="Times New Roman"/>
          <w:sz w:val="21"/>
          <w:szCs w:val="21"/>
        </w:rPr>
        <w:t xml:space="preserve">To assess the impact of ISG15 on drug resistance, organoid L338 was treated with the same drug concentrations and conditions as described above. During drug treatment, 100 ng/mL ISG15 or </w:t>
      </w:r>
      <w:r w:rsidRPr="006D591B">
        <w:rPr>
          <w:rFonts w:ascii="Times New Roman" w:hAnsi="Times New Roman" w:cs="Times New Roman" w:hint="eastAsia"/>
          <w:sz w:val="21"/>
          <w:szCs w:val="21"/>
          <w:lang w:eastAsia="zh-CN"/>
        </w:rPr>
        <w:t>vehicle</w:t>
      </w:r>
      <w:r w:rsidRPr="006D591B">
        <w:rPr>
          <w:rFonts w:ascii="Times New Roman" w:hAnsi="Times New Roman" w:cs="Times New Roman"/>
          <w:sz w:val="21"/>
          <w:szCs w:val="21"/>
        </w:rPr>
        <w:t xml:space="preserve"> control was added to the culture medium. The resistance rate was calculated as </w:t>
      </w:r>
      <w:r w:rsidR="00375E70" w:rsidRPr="00375E70">
        <w:rPr>
          <w:rFonts w:ascii="Times New Roman" w:hAnsi="Times New Roman" w:cs="Times New Roman" w:hint="eastAsia"/>
          <w:sz w:val="21"/>
          <w:szCs w:val="21"/>
        </w:rPr>
        <w:t>（</w:t>
      </w:r>
      <w:r w:rsidR="00375E70" w:rsidRPr="00375E70">
        <w:rPr>
          <w:rFonts w:ascii="Times New Roman" w:hAnsi="Times New Roman" w:cs="Times New Roman" w:hint="eastAsia"/>
          <w:sz w:val="21"/>
          <w:szCs w:val="21"/>
        </w:rPr>
        <w:t>luminescence of ISG15-treated wells</w:t>
      </w:r>
      <w:r w:rsidR="00375E70">
        <w:rPr>
          <w:rFonts w:ascii="Times New Roman" w:hAnsi="Times New Roman" w:cs="Times New Roman" w:hint="eastAsia"/>
          <w:sz w:val="21"/>
          <w:szCs w:val="21"/>
          <w:lang w:eastAsia="zh-CN"/>
        </w:rPr>
        <w:t xml:space="preserve"> </w:t>
      </w:r>
      <w:r w:rsidR="00375E70" w:rsidRPr="00375E70">
        <w:rPr>
          <w:rFonts w:ascii="Times New Roman" w:hAnsi="Times New Roman" w:cs="Times New Roman" w:hint="eastAsia"/>
          <w:sz w:val="21"/>
          <w:szCs w:val="21"/>
        </w:rPr>
        <w:t>-</w:t>
      </w:r>
      <w:r w:rsidR="00375E70">
        <w:rPr>
          <w:rFonts w:ascii="Times New Roman" w:hAnsi="Times New Roman" w:cs="Times New Roman" w:hint="eastAsia"/>
          <w:sz w:val="21"/>
          <w:szCs w:val="21"/>
          <w:lang w:eastAsia="zh-CN"/>
        </w:rPr>
        <w:t xml:space="preserve"> </w:t>
      </w:r>
      <w:r w:rsidR="00375E70" w:rsidRPr="00375E70">
        <w:rPr>
          <w:rFonts w:ascii="Times New Roman" w:hAnsi="Times New Roman" w:cs="Times New Roman" w:hint="eastAsia"/>
          <w:sz w:val="21"/>
          <w:szCs w:val="21"/>
        </w:rPr>
        <w:t>luminescence of vechicl</w:t>
      </w:r>
      <w:r w:rsidR="00F92C39">
        <w:rPr>
          <w:rFonts w:ascii="Times New Roman" w:hAnsi="Times New Roman" w:cs="Times New Roman" w:hint="eastAsia"/>
          <w:sz w:val="21"/>
          <w:szCs w:val="21"/>
          <w:lang w:eastAsia="zh-CN"/>
        </w:rPr>
        <w:t>e</w:t>
      </w:r>
      <w:r w:rsidR="00375E70" w:rsidRPr="00375E70">
        <w:rPr>
          <w:rFonts w:ascii="Times New Roman" w:hAnsi="Times New Roman" w:cs="Times New Roman" w:hint="eastAsia"/>
          <w:sz w:val="21"/>
          <w:szCs w:val="21"/>
        </w:rPr>
        <w:t xml:space="preserve"> wells) / luminescence of vechicl</w:t>
      </w:r>
      <w:r w:rsidR="00F92C39">
        <w:rPr>
          <w:rFonts w:ascii="Times New Roman" w:hAnsi="Times New Roman" w:cs="Times New Roman" w:hint="eastAsia"/>
          <w:sz w:val="21"/>
          <w:szCs w:val="21"/>
          <w:lang w:eastAsia="zh-CN"/>
        </w:rPr>
        <w:t>e</w:t>
      </w:r>
      <w:r w:rsidR="00375E70" w:rsidRPr="00375E70">
        <w:rPr>
          <w:rFonts w:ascii="Times New Roman" w:hAnsi="Times New Roman" w:cs="Times New Roman" w:hint="eastAsia"/>
          <w:sz w:val="21"/>
          <w:szCs w:val="21"/>
        </w:rPr>
        <w:t xml:space="preserve"> wells </w:t>
      </w:r>
      <w:r w:rsidR="00375E70" w:rsidRPr="00375E70">
        <w:rPr>
          <w:rFonts w:ascii="Times New Roman" w:hAnsi="Times New Roman" w:cs="Times New Roman"/>
          <w:sz w:val="21"/>
          <w:szCs w:val="21"/>
        </w:rPr>
        <w:t>×</w:t>
      </w:r>
      <w:r w:rsidR="00375E70" w:rsidRPr="00375E70">
        <w:rPr>
          <w:rFonts w:ascii="Times New Roman" w:hAnsi="Times New Roman" w:cs="Times New Roman" w:hint="eastAsia"/>
          <w:sz w:val="21"/>
          <w:szCs w:val="21"/>
        </w:rPr>
        <w:t xml:space="preserve"> 100%</w:t>
      </w:r>
    </w:p>
    <w:p w:rsidR="004D2D45" w:rsidRPr="006D591B" w:rsidRDefault="004D2D45" w:rsidP="004D2D45">
      <w:pPr>
        <w:spacing w:line="360" w:lineRule="auto"/>
        <w:rPr>
          <w:rFonts w:ascii="Times New Roman" w:hAnsi="Times New Roman" w:cs="Times New Roman"/>
          <w:b/>
          <w:color w:val="000000" w:themeColor="text1"/>
          <w:sz w:val="21"/>
          <w:szCs w:val="21"/>
          <w:lang w:val="en-US"/>
        </w:rPr>
      </w:pPr>
      <w:r w:rsidRPr="006D591B">
        <w:rPr>
          <w:rFonts w:ascii="Times New Roman" w:hAnsi="Times New Roman" w:cs="Times New Roman"/>
          <w:b/>
          <w:color w:val="000000" w:themeColor="text1"/>
          <w:sz w:val="21"/>
          <w:szCs w:val="21"/>
          <w:lang w:val="en-US"/>
        </w:rPr>
        <w:t>Mouse model</w:t>
      </w:r>
    </w:p>
    <w:p w:rsidR="004D2D45" w:rsidRPr="006D591B" w:rsidRDefault="004D2D45" w:rsidP="004D2D45">
      <w:pPr>
        <w:rPr>
          <w:rFonts w:ascii="Times New Roman" w:hAnsi="Times New Roman" w:cs="Times New Roman"/>
          <w:sz w:val="21"/>
          <w:szCs w:val="21"/>
        </w:rPr>
      </w:pPr>
      <w:r w:rsidRPr="006D591B">
        <w:rPr>
          <w:rFonts w:ascii="Times New Roman" w:hAnsi="Times New Roman" w:cs="Times New Roman"/>
          <w:sz w:val="21"/>
          <w:szCs w:val="21"/>
        </w:rPr>
        <w:t>NOD/SCID mice were purchased from Shanghai Model Organisms Center, Inc., China. The breeding and experimental procedures were conducted in a specific pathogen free facility, having received approval from the Animal Ethics Committee of the National Center for Liver Cancer. Cells sorted as QBC-939 LY6D</w:t>
      </w:r>
      <w:r w:rsidRPr="006D591B">
        <w:rPr>
          <w:rFonts w:ascii="Times New Roman" w:hAnsi="Times New Roman" w:cs="Times New Roman"/>
          <w:sz w:val="21"/>
          <w:szCs w:val="21"/>
          <w:vertAlign w:val="superscript"/>
        </w:rPr>
        <w:t>+</w:t>
      </w:r>
      <w:r w:rsidRPr="006D591B">
        <w:rPr>
          <w:rFonts w:ascii="Times New Roman" w:hAnsi="Times New Roman" w:cs="Times New Roman"/>
          <w:sz w:val="21"/>
          <w:szCs w:val="21"/>
        </w:rPr>
        <w:t xml:space="preserve"> or LY6D</w:t>
      </w:r>
      <w:r w:rsidRPr="006D591B">
        <w:rPr>
          <w:rFonts w:ascii="Times New Roman" w:hAnsi="Times New Roman" w:cs="Times New Roman"/>
          <w:sz w:val="21"/>
          <w:szCs w:val="21"/>
          <w:vertAlign w:val="superscript"/>
        </w:rPr>
        <w:t>-</w:t>
      </w:r>
      <w:r w:rsidRPr="006D591B">
        <w:rPr>
          <w:rFonts w:ascii="Times New Roman" w:hAnsi="Times New Roman" w:cs="Times New Roman"/>
          <w:sz w:val="21"/>
          <w:szCs w:val="21"/>
        </w:rPr>
        <w:t xml:space="preserve"> (10</w:t>
      </w:r>
      <w:r w:rsidRPr="006D591B">
        <w:rPr>
          <w:rFonts w:ascii="Times New Roman" w:hAnsi="Times New Roman" w:cs="Times New Roman"/>
          <w:sz w:val="21"/>
          <w:szCs w:val="21"/>
          <w:vertAlign w:val="superscript"/>
        </w:rPr>
        <w:t>4</w:t>
      </w:r>
      <w:r w:rsidRPr="006D591B">
        <w:rPr>
          <w:rFonts w:ascii="Times New Roman" w:hAnsi="Times New Roman" w:cs="Times New Roman"/>
          <w:sz w:val="21"/>
          <w:szCs w:val="21"/>
        </w:rPr>
        <w:t xml:space="preserve"> cells) were resuspended in a 50 µL medium-50 µL matrigel mixture and subsequently injected subcutaneously into 6-week-old male NOD/SCID mice. The mice were euthanized three weeks post-injection.</w:t>
      </w:r>
    </w:p>
    <w:p w:rsidR="004D2D45" w:rsidRPr="006D591B" w:rsidRDefault="004D2D45" w:rsidP="004D2D45">
      <w:pPr>
        <w:spacing w:line="360" w:lineRule="auto"/>
        <w:rPr>
          <w:rFonts w:ascii="Times New Roman" w:hAnsi="Times New Roman" w:cs="Times New Roman"/>
          <w:b/>
          <w:color w:val="000000" w:themeColor="text1"/>
          <w:sz w:val="21"/>
          <w:szCs w:val="21"/>
          <w:lang w:val="en-US"/>
        </w:rPr>
      </w:pPr>
      <w:r w:rsidRPr="006D591B">
        <w:rPr>
          <w:rFonts w:ascii="Times New Roman" w:hAnsi="Times New Roman" w:cs="Times New Roman"/>
          <w:b/>
          <w:color w:val="000000" w:themeColor="text1"/>
          <w:sz w:val="21"/>
          <w:szCs w:val="21"/>
          <w:lang w:val="en-US"/>
        </w:rPr>
        <w:t>Western Blotting</w:t>
      </w:r>
    </w:p>
    <w:p w:rsidR="004D2D45" w:rsidRPr="006D591B" w:rsidRDefault="004D2D45" w:rsidP="004D2D45">
      <w:pPr>
        <w:rPr>
          <w:rFonts w:ascii="Times New Roman" w:hAnsi="Times New Roman" w:cs="Times New Roman"/>
          <w:sz w:val="21"/>
          <w:szCs w:val="21"/>
        </w:rPr>
      </w:pPr>
      <w:r w:rsidRPr="006D591B">
        <w:rPr>
          <w:rFonts w:ascii="Times New Roman" w:hAnsi="Times New Roman" w:cs="Times New Roman"/>
          <w:sz w:val="21"/>
          <w:szCs w:val="21"/>
        </w:rPr>
        <w:t>A tissue sample weighing 100 mg was finely minced, and an IP lysis buffer containing protease inhibitors was added. The mixture was homogenized using a tissue grinder, and the lysate was centrifuged at 15,000 rpm for 15 minutes to extract the protein sample. The proteins were then separated by SDS-PAGE and transferred onto polyvinylidene difluoride (PVDF) membranes. To detect target proteins, the membranes were incubated overnight at 4°C with primary antibodies against LY6D (1:100, Santa cruz, sc-373838),</w:t>
      </w:r>
      <w:r w:rsidR="00B90459" w:rsidRPr="00B90459">
        <w:rPr>
          <w:rFonts w:ascii="Times New Roman" w:hAnsi="Times New Roman" w:cs="Times New Roman" w:hint="eastAsia"/>
          <w:sz w:val="21"/>
          <w:szCs w:val="21"/>
        </w:rPr>
        <w:t xml:space="preserve"> KLK7(</w:t>
      </w:r>
      <w:r w:rsidR="00BA5F6C" w:rsidRPr="00B90459">
        <w:rPr>
          <w:rFonts w:ascii="Times New Roman" w:hAnsi="Times New Roman" w:cs="Times New Roman" w:hint="eastAsia"/>
          <w:sz w:val="21"/>
          <w:szCs w:val="21"/>
        </w:rPr>
        <w:t>1:1000</w:t>
      </w:r>
      <w:r w:rsidR="00BA5F6C">
        <w:rPr>
          <w:rFonts w:ascii="Times New Roman" w:hAnsi="Times New Roman" w:cs="Times New Roman" w:hint="eastAsia"/>
          <w:sz w:val="21"/>
          <w:szCs w:val="21"/>
          <w:lang w:eastAsia="zh-CN"/>
        </w:rPr>
        <w:t xml:space="preserve">, </w:t>
      </w:r>
      <w:r w:rsidR="00B90459" w:rsidRPr="00B90459">
        <w:rPr>
          <w:rFonts w:ascii="Times New Roman" w:hAnsi="Times New Roman" w:cs="Times New Roman" w:hint="eastAsia"/>
          <w:sz w:val="21"/>
          <w:szCs w:val="21"/>
        </w:rPr>
        <w:t>abcam, ab254258)</w:t>
      </w:r>
      <w:r w:rsidR="00B90459">
        <w:rPr>
          <w:rFonts w:ascii="Times New Roman" w:hAnsi="Times New Roman" w:cs="Times New Roman" w:hint="eastAsia"/>
          <w:sz w:val="21"/>
          <w:szCs w:val="21"/>
          <w:lang w:eastAsia="zh-CN"/>
        </w:rPr>
        <w:t>,</w:t>
      </w:r>
      <w:r w:rsidRPr="006D591B">
        <w:rPr>
          <w:rFonts w:ascii="Times New Roman" w:hAnsi="Times New Roman" w:cs="Times New Roman"/>
          <w:sz w:val="21"/>
          <w:szCs w:val="21"/>
        </w:rPr>
        <w:t xml:space="preserve"> </w:t>
      </w:r>
      <w:r w:rsidR="00075875">
        <w:rPr>
          <w:rFonts w:ascii="Times New Roman" w:hAnsi="Times New Roman" w:cs="Times New Roman" w:hint="eastAsia"/>
          <w:sz w:val="21"/>
          <w:szCs w:val="21"/>
          <w:lang w:eastAsia="zh-CN"/>
        </w:rPr>
        <w:t>CDH3</w:t>
      </w:r>
      <w:r w:rsidRPr="006D591B">
        <w:rPr>
          <w:rFonts w:ascii="Times New Roman" w:hAnsi="Times New Roman" w:cs="Times New Roman"/>
          <w:sz w:val="21"/>
          <w:szCs w:val="21"/>
        </w:rPr>
        <w:t xml:space="preserve"> (1:1000, </w:t>
      </w:r>
      <w:r w:rsidRPr="006D591B">
        <w:rPr>
          <w:rFonts w:ascii="Times New Roman" w:hAnsi="Times New Roman" w:cs="Times New Roman"/>
          <w:sz w:val="21"/>
          <w:szCs w:val="21"/>
        </w:rPr>
        <w:lastRenderedPageBreak/>
        <w:t>abcam, ab242060), CD44 (1:1000, abcam, ab189524), CD133 (1:1000, abcam, ab19898), EPCAM (1:10,000, abcam, ab71916), and β-actin (1:5000, abclonal, AC004). This was followed by a 2-hour incubation with either goat anti-rabbit or goat anti-mouse secondary antibodies conjugated to horseradish peroxidase (1:5000). Protein bands were visualized using an enhanced chemiluminescence (ECL) Western blot detection kit (Tanon, 180-5001).</w:t>
      </w:r>
    </w:p>
    <w:p w:rsidR="004D2D45" w:rsidRPr="006D591B" w:rsidRDefault="004D2D45" w:rsidP="004D2D45">
      <w:pPr>
        <w:spacing w:line="360" w:lineRule="auto"/>
        <w:rPr>
          <w:rFonts w:ascii="Times New Roman" w:hAnsi="Times New Roman" w:cs="Times New Roman"/>
          <w:b/>
          <w:color w:val="000000" w:themeColor="text1"/>
          <w:sz w:val="21"/>
          <w:szCs w:val="21"/>
          <w:lang w:val="en-US"/>
        </w:rPr>
      </w:pPr>
      <w:r w:rsidRPr="006D591B">
        <w:rPr>
          <w:rFonts w:ascii="Times New Roman" w:hAnsi="Times New Roman" w:cs="Times New Roman"/>
          <w:b/>
          <w:color w:val="000000" w:themeColor="text1"/>
          <w:sz w:val="21"/>
          <w:szCs w:val="21"/>
          <w:lang w:val="en-US"/>
        </w:rPr>
        <w:t>Gene Set Variation Analysis</w:t>
      </w:r>
    </w:p>
    <w:p w:rsidR="004D2D45" w:rsidRPr="006D591B" w:rsidRDefault="004D2D45" w:rsidP="004D2D45">
      <w:pPr>
        <w:rPr>
          <w:rFonts w:ascii="Times New Roman" w:hAnsi="Times New Roman" w:cs="Times New Roman"/>
          <w:sz w:val="21"/>
          <w:szCs w:val="21"/>
        </w:rPr>
      </w:pPr>
      <w:r w:rsidRPr="006D591B">
        <w:rPr>
          <w:rFonts w:ascii="Times New Roman" w:hAnsi="Times New Roman" w:cs="Times New Roman"/>
          <w:sz w:val="21"/>
          <w:szCs w:val="21"/>
        </w:rPr>
        <w:t>Gene set variation analysis was performed on the hallmark gene set of MSigDB using default sets, as described in the GSVA packag</w:t>
      </w:r>
      <w:r w:rsidR="00AA09BE">
        <w:rPr>
          <w:rFonts w:ascii="Times New Roman" w:hAnsi="Times New Roman" w:cs="Times New Roman" w:hint="eastAsia"/>
          <w:sz w:val="21"/>
          <w:szCs w:val="21"/>
          <w:lang w:eastAsia="zh-CN"/>
        </w:rPr>
        <w:t>e</w:t>
      </w:r>
      <w:r w:rsidR="00F01F40">
        <w:rPr>
          <w:rFonts w:ascii="Times New Roman" w:hAnsi="Times New Roman" w:cs="Times New Roman"/>
          <w:sz w:val="21"/>
          <w:szCs w:val="21"/>
        </w:rPr>
        <w:fldChar w:fldCharType="begin"/>
      </w:r>
      <w:r w:rsidR="005469F1">
        <w:rPr>
          <w:rFonts w:ascii="Times New Roman" w:hAnsi="Times New Roman" w:cs="Times New Roman"/>
          <w:sz w:val="21"/>
          <w:szCs w:val="21"/>
        </w:rPr>
        <w:instrText xml:space="preserve"> ADDIN ZOTERO_ITEM CSL_CITATION {"citationID":"eNcXPIgV","properties":{"formattedCitation":"\\super 25,26\\nosupersub{}","plainCitation":"25,26","noteIndex":0},"citationItems":[{"id":2822,"uris":["http://zotero.org/users/local/o5E1hp2p/items/JFLWSBWI"],"itemData":{"id":2822,"type":"article-journal","abstract":"Gene set enrichment (GSE) analysis is a popular framework for condensing information from gene expression profiles into a pathway or signature summary. The strengths of this approach over single gene analysis include noise and dimension reduction, as well as greater biological interpretability. As molecular profiling experiments move beyond simple case-control studies, robust and flexible GSE methodologies are needed that can model pathway activity within highly heterogeneous data sets.","container-title":"BMC Bioinformatics","DOI":"10.1186/1471-2105-14-7","ISSN":"1471-2105","issue":"1","journalAbbreviation":"BMC Bioinformatics","language":"en","page":"7","source":"Springer Link","title":"GSVA: gene set variation analysis for microarray and RNA-Seq data","title-short":"GSVA","volume":"14","author":[{"family":"Hänzelmann","given":"Sonja"},{"family":"Castelo","given":"Robert"},{"family":"Guinney","given":"Justin"}],"issued":{"date-parts":[["2013",1,16]]}}},{"id":2819,"uris":["http://zotero.org/users/local/o5E1hp2p/items/5IHT6URT"],"itemData":{"id":2819,"type":"article-journal","abstract":"The Molecular Signatures Database (MSigDB) is one of the most widely used and comprehensive databases of gene sets for performing gene set enrichment analysis. Since its creation, MSigDB has grown beyond its roots in metabolic disease and cancer to include &gt;10,000 gene sets. These better represent a wider range of biological processes and diseases, but the utility of the database is reduced by increased redundancy across, and heterogeneity within, gene sets. To address this challenge, here we use a combination of automated approaches and expert curation to develop a collection of “hallmark” gene sets as part of MSigDB. Each hallmark in this collection consists of a “refined” gene set, derived from multiple “founder” sets, that conveys a specific biological state or process and displays coherent expression. The hallmarks effectively summarize most of the relevant information of the original founder sets and, by reducing both variation and redundancy, provide more refined and concise inputs for gene set enrichment analysis.,","container-title":"Cell systems","DOI":"10.1016/j.cels.2015.12.004","ISSN":"2405-4712","issue":"6","journalAbbreviation":"Cell Syst","note":"PMID: 26771021\nPMCID: PMC4707969","page":"417-425","source":"PubMed Central","title":"The Molecular Signatures Database (MSigDB) hallmark gene set collection","volume":"1","author":[{"family":"Liberzon","given":"Arthur"},{"family":"Birger","given":"Chet"},{"family":"Thorvaldsdóttir","given":"Helga"},{"family":"Ghandi","given":"Mahmoud"},{"family":"Mesirov","given":"Jill P."},{"family":"Tamayo","given":"Pablo"}],"issued":{"date-parts":[["2015",12,23]]}}}],"schema":"https://github.com/citation-style-language/schema/raw/master/csl-citation.json"} </w:instrText>
      </w:r>
      <w:r w:rsidR="00F01F40">
        <w:rPr>
          <w:rFonts w:ascii="Times New Roman" w:hAnsi="Times New Roman" w:cs="Times New Roman"/>
          <w:sz w:val="21"/>
          <w:szCs w:val="21"/>
        </w:rPr>
        <w:fldChar w:fldCharType="separate"/>
      </w:r>
      <w:r w:rsidR="005469F1" w:rsidRPr="005469F1">
        <w:rPr>
          <w:rFonts w:ascii="Times New Roman" w:hAnsi="Times New Roman" w:cs="Times New Roman"/>
          <w:sz w:val="21"/>
          <w:vertAlign w:val="superscript"/>
        </w:rPr>
        <w:t>25,26</w:t>
      </w:r>
      <w:r w:rsidR="00F01F40">
        <w:rPr>
          <w:rFonts w:ascii="Times New Roman" w:hAnsi="Times New Roman" w:cs="Times New Roman"/>
          <w:sz w:val="21"/>
          <w:szCs w:val="21"/>
        </w:rPr>
        <w:fldChar w:fldCharType="end"/>
      </w:r>
      <w:r w:rsidRPr="006D591B">
        <w:rPr>
          <w:rFonts w:ascii="Times New Roman" w:hAnsi="Times New Roman" w:cs="Times New Roman"/>
          <w:sz w:val="21"/>
          <w:szCs w:val="21"/>
        </w:rPr>
        <w:t xml:space="preserve">. </w:t>
      </w:r>
    </w:p>
    <w:p w:rsidR="004D2D45" w:rsidRPr="006D591B" w:rsidRDefault="004D2D45" w:rsidP="004D2D45">
      <w:pPr>
        <w:spacing w:line="360" w:lineRule="auto"/>
        <w:rPr>
          <w:rFonts w:ascii="Times New Roman" w:hAnsi="Times New Roman" w:cs="Times New Roman"/>
          <w:b/>
          <w:color w:val="000000" w:themeColor="text1"/>
          <w:sz w:val="21"/>
          <w:szCs w:val="21"/>
          <w:lang w:val="en-US"/>
        </w:rPr>
      </w:pPr>
      <w:r w:rsidRPr="006D591B">
        <w:rPr>
          <w:rFonts w:ascii="Times New Roman" w:hAnsi="Times New Roman" w:cs="Times New Roman"/>
          <w:b/>
          <w:color w:val="000000" w:themeColor="text1"/>
          <w:sz w:val="21"/>
          <w:szCs w:val="21"/>
          <w:lang w:val="en-US"/>
        </w:rPr>
        <w:t xml:space="preserve">Analysis of </w:t>
      </w:r>
      <w:r w:rsidR="000B0AC2" w:rsidRPr="006D591B">
        <w:rPr>
          <w:rFonts w:ascii="Times New Roman" w:hAnsi="Times New Roman" w:cs="Times New Roman" w:hint="eastAsia"/>
          <w:b/>
          <w:color w:val="000000" w:themeColor="text1"/>
          <w:sz w:val="21"/>
          <w:szCs w:val="21"/>
          <w:lang w:val="en-US" w:eastAsia="zh-CN"/>
        </w:rPr>
        <w:t>three s</w:t>
      </w:r>
      <w:r w:rsidR="00675A28" w:rsidRPr="006D591B">
        <w:rPr>
          <w:rFonts w:ascii="Times New Roman" w:hAnsi="Times New Roman" w:cs="Times New Roman" w:hint="eastAsia"/>
          <w:b/>
          <w:color w:val="000000" w:themeColor="text1"/>
          <w:sz w:val="21"/>
          <w:szCs w:val="21"/>
          <w:lang w:val="en-US" w:eastAsia="zh-CN"/>
        </w:rPr>
        <w:t>ingle-</w:t>
      </w:r>
      <w:r w:rsidR="000B0AC2" w:rsidRPr="006D591B">
        <w:rPr>
          <w:rFonts w:ascii="Times New Roman" w:hAnsi="Times New Roman" w:cs="Times New Roman" w:hint="eastAsia"/>
          <w:b/>
          <w:color w:val="000000" w:themeColor="text1"/>
          <w:sz w:val="21"/>
          <w:szCs w:val="21"/>
          <w:lang w:val="en-US" w:eastAsia="zh-CN"/>
        </w:rPr>
        <w:t>n</w:t>
      </w:r>
      <w:r w:rsidR="00675A28" w:rsidRPr="006D591B">
        <w:rPr>
          <w:rFonts w:ascii="Times New Roman" w:hAnsi="Times New Roman" w:cs="Times New Roman" w:hint="eastAsia"/>
          <w:b/>
          <w:color w:val="000000" w:themeColor="text1"/>
          <w:sz w:val="21"/>
          <w:szCs w:val="21"/>
          <w:lang w:val="en-US" w:eastAsia="zh-CN"/>
        </w:rPr>
        <w:t xml:space="preserve">uclei </w:t>
      </w:r>
      <w:r w:rsidR="000B0AC2" w:rsidRPr="006D591B">
        <w:rPr>
          <w:rFonts w:ascii="Times New Roman" w:hAnsi="Times New Roman" w:cs="Times New Roman" w:hint="eastAsia"/>
          <w:b/>
          <w:color w:val="000000" w:themeColor="text1"/>
          <w:sz w:val="21"/>
          <w:szCs w:val="21"/>
          <w:lang w:val="en-US" w:eastAsia="zh-CN"/>
        </w:rPr>
        <w:t>/</w:t>
      </w:r>
      <w:r w:rsidRPr="006D591B">
        <w:rPr>
          <w:rFonts w:ascii="Times New Roman" w:hAnsi="Times New Roman" w:cs="Times New Roman"/>
          <w:b/>
          <w:color w:val="000000" w:themeColor="text1"/>
          <w:sz w:val="21"/>
          <w:szCs w:val="21"/>
          <w:lang w:val="en-US"/>
        </w:rPr>
        <w:t>s</w:t>
      </w:r>
      <w:r w:rsidR="00675A28" w:rsidRPr="006D591B">
        <w:rPr>
          <w:rFonts w:ascii="Times New Roman" w:hAnsi="Times New Roman" w:cs="Times New Roman" w:hint="eastAsia"/>
          <w:b/>
          <w:color w:val="000000" w:themeColor="text1"/>
          <w:sz w:val="21"/>
          <w:szCs w:val="21"/>
          <w:lang w:val="en-US" w:eastAsia="zh-CN"/>
        </w:rPr>
        <w:t xml:space="preserve">ingle-cell </w:t>
      </w:r>
      <w:r w:rsidRPr="006D591B">
        <w:rPr>
          <w:rFonts w:ascii="Times New Roman" w:hAnsi="Times New Roman" w:cs="Times New Roman"/>
          <w:b/>
          <w:color w:val="000000" w:themeColor="text1"/>
          <w:sz w:val="21"/>
          <w:szCs w:val="21"/>
          <w:lang w:val="en-US"/>
        </w:rPr>
        <w:t>RNA-seq validation cohort</w:t>
      </w:r>
      <w:r w:rsidR="001F0765" w:rsidRPr="006D591B">
        <w:rPr>
          <w:rFonts w:ascii="Times New Roman" w:hAnsi="Times New Roman" w:cs="Times New Roman" w:hint="eastAsia"/>
          <w:b/>
          <w:color w:val="000000" w:themeColor="text1"/>
          <w:sz w:val="21"/>
          <w:szCs w:val="21"/>
          <w:lang w:val="en-US" w:eastAsia="zh-CN"/>
        </w:rPr>
        <w:t>s</w:t>
      </w:r>
    </w:p>
    <w:p w:rsidR="004D2D45" w:rsidRPr="006D591B" w:rsidRDefault="004D2D45" w:rsidP="004D2D45">
      <w:pPr>
        <w:rPr>
          <w:rFonts w:ascii="Times New Roman" w:hAnsi="Times New Roman" w:cs="Times New Roman"/>
          <w:sz w:val="21"/>
          <w:szCs w:val="21"/>
          <w:lang w:eastAsia="zh-CN"/>
        </w:rPr>
      </w:pPr>
      <w:r w:rsidRPr="006D591B">
        <w:rPr>
          <w:rFonts w:ascii="Times New Roman" w:hAnsi="Times New Roman" w:cs="Times New Roman"/>
          <w:sz w:val="21"/>
          <w:szCs w:val="21"/>
        </w:rPr>
        <w:t>To confirm the presence of LY6D</w:t>
      </w:r>
      <w:r w:rsidR="007A0B05" w:rsidRPr="006D591B">
        <w:rPr>
          <w:rFonts w:ascii="Times New Roman" w:hAnsi="Times New Roman" w:cs="Times New Roman" w:hint="eastAsia"/>
          <w:sz w:val="21"/>
          <w:szCs w:val="21"/>
          <w:lang w:eastAsia="zh-CN"/>
        </w:rPr>
        <w:t xml:space="preserve"> </w:t>
      </w:r>
      <w:r w:rsidRPr="006D591B">
        <w:rPr>
          <w:rFonts w:ascii="Times New Roman" w:hAnsi="Times New Roman" w:cs="Times New Roman"/>
          <w:sz w:val="21"/>
          <w:szCs w:val="21"/>
        </w:rPr>
        <w:t xml:space="preserve">positive malignant epithelial cells and the high expression of ISG15 in </w:t>
      </w:r>
      <w:r w:rsidR="00644492" w:rsidRPr="006D591B">
        <w:rPr>
          <w:rFonts w:ascii="Times New Roman" w:hAnsi="Times New Roman" w:cs="Times New Roman" w:hint="eastAsia"/>
          <w:sz w:val="21"/>
          <w:szCs w:val="21"/>
          <w:lang w:eastAsia="zh-CN"/>
        </w:rPr>
        <w:t>pericytes</w:t>
      </w:r>
      <w:r w:rsidRPr="006D591B">
        <w:rPr>
          <w:rFonts w:ascii="Times New Roman" w:hAnsi="Times New Roman" w:cs="Times New Roman"/>
          <w:sz w:val="21"/>
          <w:szCs w:val="21"/>
        </w:rPr>
        <w:t xml:space="preserve">, macrophages, and CD8+ T cells, we accessed </w:t>
      </w:r>
      <w:r w:rsidR="00644492" w:rsidRPr="006D591B">
        <w:rPr>
          <w:rFonts w:ascii="Times New Roman" w:hAnsi="Times New Roman" w:cs="Times New Roman" w:hint="eastAsia"/>
          <w:sz w:val="21"/>
          <w:szCs w:val="21"/>
          <w:lang w:eastAsia="zh-CN"/>
        </w:rPr>
        <w:t>three e</w:t>
      </w:r>
      <w:r w:rsidRPr="006D591B">
        <w:rPr>
          <w:rFonts w:ascii="Times New Roman" w:hAnsi="Times New Roman" w:cs="Times New Roman"/>
          <w:sz w:val="21"/>
          <w:szCs w:val="21"/>
        </w:rPr>
        <w:t xml:space="preserve">CCA </w:t>
      </w:r>
      <w:r w:rsidR="0067051E" w:rsidRPr="006D591B">
        <w:rPr>
          <w:rFonts w:ascii="Times New Roman" w:hAnsi="Times New Roman" w:cs="Times New Roman" w:hint="eastAsia"/>
          <w:sz w:val="21"/>
          <w:szCs w:val="21"/>
        </w:rPr>
        <w:t>single-nuclei</w:t>
      </w:r>
      <w:r w:rsidR="0067051E" w:rsidRPr="006D591B">
        <w:rPr>
          <w:rFonts w:ascii="Times New Roman" w:hAnsi="Times New Roman" w:cs="Times New Roman" w:hint="eastAsia"/>
          <w:sz w:val="21"/>
          <w:szCs w:val="21"/>
          <w:lang w:eastAsia="zh-CN"/>
        </w:rPr>
        <w:t>/</w:t>
      </w:r>
      <w:r w:rsidRPr="006D591B">
        <w:rPr>
          <w:rFonts w:ascii="Times New Roman" w:hAnsi="Times New Roman" w:cs="Times New Roman"/>
          <w:sz w:val="21"/>
          <w:szCs w:val="21"/>
        </w:rPr>
        <w:t>single-cell RNA</w:t>
      </w:r>
      <w:r w:rsidR="0067051E" w:rsidRPr="006D591B">
        <w:rPr>
          <w:rFonts w:ascii="Times New Roman" w:hAnsi="Times New Roman" w:cs="Times New Roman" w:hint="eastAsia"/>
          <w:sz w:val="21"/>
          <w:szCs w:val="21"/>
          <w:lang w:eastAsia="zh-CN"/>
        </w:rPr>
        <w:t>-</w:t>
      </w:r>
      <w:r w:rsidRPr="006D591B">
        <w:rPr>
          <w:rFonts w:ascii="Times New Roman" w:hAnsi="Times New Roman" w:cs="Times New Roman"/>
          <w:sz w:val="21"/>
          <w:szCs w:val="21"/>
        </w:rPr>
        <w:t>seq</w:t>
      </w:r>
      <w:r w:rsidR="0067051E" w:rsidRPr="006D591B">
        <w:rPr>
          <w:rFonts w:ascii="Times New Roman" w:hAnsi="Times New Roman" w:cs="Times New Roman" w:hint="eastAsia"/>
          <w:sz w:val="21"/>
          <w:szCs w:val="21"/>
          <w:lang w:eastAsia="zh-CN"/>
        </w:rPr>
        <w:t xml:space="preserve"> </w:t>
      </w:r>
      <w:r w:rsidR="00133363" w:rsidRPr="006D591B">
        <w:rPr>
          <w:rFonts w:ascii="Times New Roman" w:hAnsi="Times New Roman" w:cs="Times New Roman" w:hint="eastAsia"/>
          <w:sz w:val="21"/>
          <w:szCs w:val="21"/>
          <w:lang w:eastAsia="zh-CN"/>
        </w:rPr>
        <w:t xml:space="preserve">cohorts </w:t>
      </w:r>
      <w:r w:rsidR="00644492" w:rsidRPr="006D591B">
        <w:rPr>
          <w:rFonts w:ascii="Times New Roman" w:hAnsi="Times New Roman" w:cs="Times New Roman" w:hint="eastAsia"/>
          <w:sz w:val="21"/>
          <w:szCs w:val="21"/>
          <w:lang w:eastAsia="zh-CN"/>
        </w:rPr>
        <w:t>by</w:t>
      </w:r>
      <w:r w:rsidRPr="006D591B">
        <w:rPr>
          <w:rFonts w:ascii="Times New Roman" w:hAnsi="Times New Roman" w:cs="Times New Roman"/>
          <w:sz w:val="21"/>
          <w:szCs w:val="21"/>
        </w:rPr>
        <w:t xml:space="preserve"> authorization</w:t>
      </w:r>
      <w:r w:rsidRPr="006D591B">
        <w:rPr>
          <w:rFonts w:ascii="Times New Roman" w:hAnsi="Times New Roman" w:cs="Times New Roman"/>
          <w:sz w:val="21"/>
          <w:szCs w:val="21"/>
        </w:rPr>
        <w:fldChar w:fldCharType="begin"/>
      </w:r>
      <w:r w:rsidR="005469F1">
        <w:rPr>
          <w:rFonts w:ascii="Times New Roman" w:hAnsi="Times New Roman" w:cs="Times New Roman"/>
          <w:sz w:val="21"/>
          <w:szCs w:val="21"/>
        </w:rPr>
        <w:instrText xml:space="preserve"> ADDIN ZOTERO_ITEM CSL_CITATION {"citationID":"OZdOK3Le","properties":{"formattedCitation":"\\super 27\\uc0\\u8211{}29\\nosupersub{}","plainCitation":"27–29","noteIndex":0},"citationItems":[{"id":2382,"uris":["http://zotero.org/users/local/o5E1hp2p/items/SHHAG3VV"],"itemData":{"id":2382,"type":"article-journal","abstract":"The intricate landscape of immunocytes in the tumor microenvironment (TME) is fundamental to immunotherapy but notably under-researched in extrahepatic cholangiocarcinoma (ECCA).","container-title":"Journal of Translational Medicine","DOI":"10.1186/s12967-022-03424-5","ISSN":"1479-5876","issue":"1","journalAbbreviation":"Journal of Translational Medicine","page":"210","source":"BioMed Central","title":"Single-cell landscape of immunocytes in patients with extrahepatic cholangiocarcinoma","volume":"20","author":[{"family":"Xu","given":"Lei"},{"family":"Lu","given":"Yun"},{"family":"Deng","given":"Zhengdong"},{"family":"Li","given":"Xiangyu"},{"family":"Shi","given":"Yuanxin"},{"family":"Zhao","given":"Kai"},{"family":"Yao","given":"Wei"},{"family":"Wang","given":"Jianming"}],"issued":{"date-parts":[["2022",5,13]]}}},{"id":1757,"uris":["http://zotero.org/users/local/o5E1hp2p/items/MGC49S8C"],"itemData":{"id":1757,"type":"article-journal","abstract":"Background &amp; Aims\nDistal cholangiocarcinoma (dCCA) are a group of epithelial cell malignancies that occurs at the distal common bile duct, and account for approximately 40% of all cholangiocarcinoma cases. dCCA remains a highly lethal disease as it typically features remarkable cellular heterogeneity. A comprehensive exploration of cellular diversity and the tumor microenvironment is essential to depict the mechanisms driving dCCA progression.\nMethods\nSingle-cell RNA sequencing was used here to dissect the heterogeneity landscape and tumor microenvironment composition of human dCCAs. Seven human dCCAs and adjacent normal bile duct samples were included in the current study for single-cell RNA sequencing and subsequent validation approaches. Additionally, the results of the analyses were compared with bulk transcriptomic datasets from extrahepatic cholangiocarcinoma and single-cell RNA data from intrahepatic cholangiocarcinoma.\nResults\nWe sequenced a total of 49,717 single cells derived from human dCCAs and adjacent tissues, identifying 11 distinct cell types. Malignant cells displayed remarkable inter- and intra-tumor heterogeneity with 5 distinct subsets were defined in tumor samples. The malignant cells displayed variable degree of aneuploidy, which can be classified into low- and high-copy number variation groups based on either amplification or deletion of chr17q12 - chr17q21.2. Additionally, we identified 4 distinct T lymphocytes subsets, of which cytotoxic CD8+ T cells predominated as effectors in tumor tissues, whereas tumor infiltrating FOXP3+ CD4+ regulatory T cells exhibited highly immunosuppressive characteristics.\nConclusion\nOur single-cell transcriptomic dataset depicts the inter- and intra-tumor heterogeneity of human dCCAs at the expression level.","container-title":"Cellular and Molecular Gastroenterology and Hepatology","DOI":"10.1016/j.jcmgh.2022.02.014","ISSN":"2352-345X","issue":"5","journalAbbreviation":"Cellular and Molecular Gastroenterology and Hepatology","page":"1592-1609.e9","source":"ScienceDirect","title":"Single-cell Transcriptomic Architecture Unraveling the Complexity of Tumor Heterogeneity in Distal Cholangiocarcinoma","volume":"13","author":[{"family":"Li","given":"Hongguang"},{"family":"Qu","given":"Lingxin"},{"family":"Yang","given":"Yongheng"},{"family":"Zhang","given":"Haibin"},{"family":"Li","given":"Xuexin"},{"family":"Zhang","given":"Xiaolu"}],"issued":{"date-parts":[["2022",1,1]]}}},{"id":2386,"uris":["http://zotero.org/users/local/o5E1hp2p/items/UVQEN73I"],"itemData":{"id":2386,"type":"paper-conference","abstract":"Objective: Cholangiocarcinoma (CCA) is a deadly disease, and treatment options besides surgery are limited. This cancer entity is characterized by abundant stroma and the tumor microenvironment (TME) plays an important role in the poor response rate to therapeutics; however, underlying pathways are unknown. Design: To fill this gap, we used high-dimensional cytometry to analyze 16 human CCA samples and identified cell cluster crosstalk in seven human CCA samples using single-cell transcriptomics.\nResults: We showed an increased immune checkpoint expression on various key T cell subsets in the tumor niche. PD-1 (p&lt;0.001), ICOS (p=0.002) and TIGIT (p=0.03) were elevated on intratumoral residential memory CD8 T cells (TRM) and PD-1 (p=0.03) and ICOS (p=0.02) were elevated on intratumoral (EM) CD8 cells. We also identified regulatory T cells to be more abundant in the tumor (p=0.002), while CD8 EM cells fail to reach the tumor (p=0.02). To further explore the immunosuppressive TME, we used snRNA sequencing on 7 pCCA samples. We identified a shift in crosstalk between the stromal and hepatic stellate cells (SCHSC) to a specific cholangiocytes cluster, mainly present in the poor outcome group. In addition, we identified new cellular crosstalk with macrophage-myeloid cells. The effector memory cells are sparse in the cancer tissue and spatial distribution indicates that the peripheral liver tissue can be used for stratification for personalized care.\nConclusions: This study sheds light on the etiology of the immunosuppressive TME in CCA and uncovers pathways that are promising for further examination. preprint (which was not certified by peer review) is the author/funder. All rights reserved. No reuse allowed without permission.","DOI":"10.1055/s-0043-1777599","event-place":"Haus der Technik e.V., Essen","event-title":"40. Jahrestagung der Deutschen Arbeitsgemeinschaft zum Studium der Leber","language":"en","page":"s-0043-1777599","publisher-place":"Haus der Technik e.V., Essen","source":"DOI.org (Crossref)","title":"Shift in cellular crosstalk reveals the immunosuppressive environment in cholangiocarcinoma patients","URL":"http://www.thieme-connect.de/DOI/DOI?10.1055/s-0043-1777599","author":[{"family":"Heij","given":"Lara R."}],"accessed":{"date-parts":[["2025",2,10]]},"issued":{"date-parts":[["2024",1]]}}}],"schema":"https://github.com/citation-style-language/schema/raw/master/csl-citation.json"} </w:instrText>
      </w:r>
      <w:r w:rsidRPr="006D591B">
        <w:rPr>
          <w:rFonts w:ascii="Times New Roman" w:hAnsi="Times New Roman" w:cs="Times New Roman"/>
          <w:sz w:val="21"/>
          <w:szCs w:val="21"/>
        </w:rPr>
        <w:fldChar w:fldCharType="separate"/>
      </w:r>
      <w:r w:rsidR="005469F1" w:rsidRPr="005469F1">
        <w:rPr>
          <w:rFonts w:ascii="Times New Roman" w:hAnsi="Times New Roman" w:cs="Times New Roman"/>
          <w:sz w:val="21"/>
          <w:vertAlign w:val="superscript"/>
        </w:rPr>
        <w:t>27–29</w:t>
      </w:r>
      <w:r w:rsidRPr="006D591B">
        <w:rPr>
          <w:rFonts w:ascii="Times New Roman" w:hAnsi="Times New Roman" w:cs="Times New Roman"/>
          <w:sz w:val="21"/>
          <w:szCs w:val="21"/>
        </w:rPr>
        <w:fldChar w:fldCharType="end"/>
      </w:r>
      <w:r w:rsidRPr="006D591B">
        <w:rPr>
          <w:rFonts w:ascii="Times New Roman" w:hAnsi="Times New Roman" w:cs="Times New Roman"/>
          <w:sz w:val="21"/>
          <w:szCs w:val="21"/>
        </w:rPr>
        <w:t xml:space="preserve">. </w:t>
      </w:r>
      <w:r w:rsidR="00644492" w:rsidRPr="006D591B">
        <w:rPr>
          <w:rFonts w:ascii="Times New Roman" w:hAnsi="Times New Roman" w:cs="Times New Roman" w:hint="eastAsia"/>
          <w:sz w:val="21"/>
          <w:szCs w:val="21"/>
          <w:lang w:eastAsia="zh-CN"/>
        </w:rPr>
        <w:t xml:space="preserve">Supplementray </w:t>
      </w:r>
      <w:r w:rsidR="007A0B05" w:rsidRPr="006D591B">
        <w:rPr>
          <w:rFonts w:ascii="Times New Roman" w:hAnsi="Times New Roman" w:cs="Times New Roman" w:hint="eastAsia"/>
          <w:sz w:val="21"/>
          <w:szCs w:val="21"/>
          <w:lang w:eastAsia="zh-CN"/>
        </w:rPr>
        <w:t>Table S1 A and</w:t>
      </w:r>
      <w:r w:rsidR="004D51AB" w:rsidRPr="006D591B">
        <w:rPr>
          <w:rFonts w:ascii="Times New Roman" w:hAnsi="Times New Roman" w:cs="Times New Roman" w:hint="eastAsia"/>
          <w:sz w:val="21"/>
          <w:szCs w:val="21"/>
          <w:lang w:eastAsia="zh-CN"/>
        </w:rPr>
        <w:t xml:space="preserve"> </w:t>
      </w:r>
      <w:r w:rsidR="007A0B05" w:rsidRPr="006D591B">
        <w:rPr>
          <w:rFonts w:ascii="Times New Roman" w:hAnsi="Times New Roman" w:cs="Times New Roman" w:hint="eastAsia"/>
          <w:sz w:val="21"/>
          <w:szCs w:val="21"/>
          <w:lang w:eastAsia="zh-CN"/>
        </w:rPr>
        <w:t>F</w:t>
      </w:r>
      <w:r w:rsidR="00644492" w:rsidRPr="006D591B">
        <w:rPr>
          <w:rFonts w:ascii="Times New Roman" w:hAnsi="Times New Roman" w:cs="Times New Roman" w:hint="eastAsia"/>
          <w:sz w:val="21"/>
          <w:szCs w:val="21"/>
        </w:rPr>
        <w:t xml:space="preserve">igure </w:t>
      </w:r>
      <w:r w:rsidR="007A0B05" w:rsidRPr="006D591B">
        <w:rPr>
          <w:rFonts w:ascii="Times New Roman" w:hAnsi="Times New Roman" w:cs="Times New Roman" w:hint="eastAsia"/>
          <w:sz w:val="21"/>
          <w:szCs w:val="21"/>
          <w:lang w:eastAsia="zh-CN"/>
        </w:rPr>
        <w:t>S</w:t>
      </w:r>
      <w:r w:rsidR="00644492" w:rsidRPr="006D591B">
        <w:rPr>
          <w:rFonts w:ascii="Times New Roman" w:hAnsi="Times New Roman" w:cs="Times New Roman" w:hint="eastAsia"/>
          <w:sz w:val="21"/>
          <w:szCs w:val="21"/>
          <w:lang w:eastAsia="zh-CN"/>
        </w:rPr>
        <w:t xml:space="preserve">11A showed the </w:t>
      </w:r>
      <w:r w:rsidR="00644492" w:rsidRPr="006D591B">
        <w:rPr>
          <w:rFonts w:ascii="Times New Roman" w:hAnsi="Times New Roman" w:cs="Times New Roman" w:hint="eastAsia"/>
          <w:sz w:val="21"/>
          <w:szCs w:val="21"/>
        </w:rPr>
        <w:t xml:space="preserve">details of </w:t>
      </w:r>
      <w:r w:rsidR="00644492" w:rsidRPr="006D591B">
        <w:rPr>
          <w:rFonts w:ascii="Times New Roman" w:hAnsi="Times New Roman" w:cs="Times New Roman" w:hint="eastAsia"/>
          <w:sz w:val="21"/>
          <w:szCs w:val="21"/>
          <w:lang w:eastAsia="zh-CN"/>
        </w:rPr>
        <w:t>three cohort</w:t>
      </w:r>
      <w:r w:rsidR="00133363" w:rsidRPr="006D591B">
        <w:rPr>
          <w:rFonts w:ascii="Times New Roman" w:hAnsi="Times New Roman" w:cs="Times New Roman" w:hint="eastAsia"/>
          <w:sz w:val="21"/>
          <w:szCs w:val="21"/>
          <w:lang w:eastAsia="zh-CN"/>
        </w:rPr>
        <w:t>s</w:t>
      </w:r>
      <w:r w:rsidR="00644492" w:rsidRPr="006D591B">
        <w:rPr>
          <w:rFonts w:ascii="Times New Roman" w:hAnsi="Times New Roman" w:cs="Times New Roman" w:hint="eastAsia"/>
          <w:sz w:val="21"/>
          <w:szCs w:val="21"/>
          <w:lang w:eastAsia="zh-CN"/>
        </w:rPr>
        <w:t>.</w:t>
      </w:r>
      <w:r w:rsidRPr="006D591B">
        <w:rPr>
          <w:rFonts w:ascii="Times New Roman" w:hAnsi="Times New Roman" w:cs="Times New Roman"/>
          <w:sz w:val="21"/>
          <w:szCs w:val="21"/>
        </w:rPr>
        <w:t xml:space="preserve"> The fastq files were processed through the CellRanger pipeline to generate a counts matrix. To ensure high-quality cell selection, we retained cells with a detected gene range between 200 and 5000, a mitochondrial gene percentage below 15%, and a ribosomal gene percentage below 30%. Genes expressed in fewer than three cells were excluded. Subsequently, the filtered matrices from all samples were subjected to analysis using the sctransform and harmony pipelines within the Seurat package, as previously outlined. The specific parameters for analysis included setting npc to 20 for the RunPCA function, dims to 1:30 for both the RunUMAP and FindNeighbors functions, and a resolution of 0.3 for the FindClusters function. Potential doublet clusters were discarded, and cell types were annotated as previously described.</w:t>
      </w:r>
    </w:p>
    <w:p w:rsidR="004D2D45" w:rsidRPr="006D591B" w:rsidRDefault="004D2D45" w:rsidP="004D2D45">
      <w:pPr>
        <w:spacing w:line="360" w:lineRule="auto"/>
        <w:rPr>
          <w:rFonts w:ascii="Times New Roman" w:hAnsi="Times New Roman" w:cs="Times New Roman"/>
          <w:b/>
          <w:color w:val="000000" w:themeColor="text1"/>
          <w:sz w:val="21"/>
          <w:szCs w:val="21"/>
          <w:lang w:val="en-US"/>
        </w:rPr>
      </w:pPr>
      <w:r w:rsidRPr="006D591B">
        <w:rPr>
          <w:rFonts w:ascii="Times New Roman" w:hAnsi="Times New Roman" w:cs="Times New Roman"/>
          <w:b/>
          <w:color w:val="000000" w:themeColor="text1"/>
          <w:sz w:val="21"/>
          <w:szCs w:val="21"/>
          <w:lang w:val="en-US"/>
        </w:rPr>
        <w:t>Survival analysis</w:t>
      </w:r>
    </w:p>
    <w:p w:rsidR="004D2D45" w:rsidRPr="006D591B" w:rsidRDefault="004D2D45" w:rsidP="004D2D45">
      <w:pPr>
        <w:rPr>
          <w:rFonts w:ascii="Times New Roman" w:hAnsi="Times New Roman" w:cs="Times New Roman"/>
          <w:sz w:val="21"/>
          <w:szCs w:val="21"/>
        </w:rPr>
      </w:pPr>
      <w:r w:rsidRPr="006D591B">
        <w:rPr>
          <w:rFonts w:ascii="Times New Roman" w:hAnsi="Times New Roman" w:cs="Times New Roman"/>
          <w:sz w:val="21"/>
          <w:szCs w:val="21"/>
        </w:rPr>
        <w:t xml:space="preserve">Prognostic influence of </w:t>
      </w:r>
      <w:r w:rsidR="002206A6" w:rsidRPr="006D591B">
        <w:rPr>
          <w:rFonts w:ascii="Times New Roman" w:hAnsi="Times New Roman" w:cs="Times New Roman" w:hint="eastAsia"/>
          <w:sz w:val="21"/>
          <w:szCs w:val="21"/>
          <w:lang w:eastAsia="zh-CN"/>
        </w:rPr>
        <w:t>meta-programs marker genes</w:t>
      </w:r>
      <w:r w:rsidR="002206A6" w:rsidRPr="006D591B">
        <w:rPr>
          <w:rFonts w:ascii="Times New Roman" w:hAnsi="Times New Roman" w:cs="Times New Roman"/>
          <w:sz w:val="21"/>
          <w:szCs w:val="21"/>
        </w:rPr>
        <w:t xml:space="preserve"> were evaluated </w:t>
      </w:r>
      <w:r w:rsidR="002206A6" w:rsidRPr="006D591B">
        <w:rPr>
          <w:rFonts w:ascii="Times New Roman" w:hAnsi="Times New Roman" w:cs="Times New Roman" w:hint="eastAsia"/>
          <w:sz w:val="21"/>
          <w:szCs w:val="21"/>
          <w:lang w:eastAsia="zh-CN"/>
        </w:rPr>
        <w:t xml:space="preserve">by IHC in </w:t>
      </w:r>
      <w:r w:rsidR="00CE57F8" w:rsidRPr="006D591B">
        <w:rPr>
          <w:rFonts w:ascii="Times New Roman" w:hAnsi="Times New Roman" w:cs="Times New Roman" w:hint="eastAsia"/>
          <w:sz w:val="21"/>
          <w:szCs w:val="21"/>
          <w:lang w:eastAsia="zh-CN"/>
        </w:rPr>
        <w:t xml:space="preserve">our </w:t>
      </w:r>
      <w:r w:rsidR="00433FC8" w:rsidRPr="006D591B">
        <w:rPr>
          <w:rFonts w:ascii="Times New Roman" w:hAnsi="Times New Roman" w:cs="Times New Roman" w:hint="eastAsia"/>
          <w:sz w:val="21"/>
          <w:szCs w:val="21"/>
          <w:lang w:eastAsia="zh-CN"/>
        </w:rPr>
        <w:t xml:space="preserve">133 CCA patients </w:t>
      </w:r>
      <w:r w:rsidR="002206A6" w:rsidRPr="006D591B">
        <w:rPr>
          <w:rFonts w:ascii="Times New Roman" w:hAnsi="Times New Roman" w:cs="Times New Roman" w:hint="eastAsia"/>
          <w:sz w:val="21"/>
          <w:szCs w:val="21"/>
          <w:lang w:eastAsia="zh-CN"/>
        </w:rPr>
        <w:t xml:space="preserve">tissue microarry cohort. </w:t>
      </w:r>
      <w:r w:rsidR="002206A6" w:rsidRPr="006D591B">
        <w:rPr>
          <w:rFonts w:ascii="Times New Roman" w:hAnsi="Times New Roman" w:cs="Times New Roman"/>
          <w:sz w:val="21"/>
          <w:szCs w:val="21"/>
        </w:rPr>
        <w:t xml:space="preserve">Prognostic influence of </w:t>
      </w:r>
      <w:r w:rsidRPr="006D591B">
        <w:rPr>
          <w:rFonts w:ascii="Times New Roman" w:hAnsi="Times New Roman" w:cs="Times New Roman"/>
          <w:sz w:val="21"/>
          <w:szCs w:val="21"/>
        </w:rPr>
        <w:t xml:space="preserve">meta-programs, cell </w:t>
      </w:r>
      <w:r w:rsidR="002206A6" w:rsidRPr="006D591B">
        <w:rPr>
          <w:rFonts w:ascii="Times New Roman" w:hAnsi="Times New Roman" w:cs="Times New Roman" w:hint="eastAsia"/>
          <w:sz w:val="21"/>
          <w:szCs w:val="21"/>
          <w:lang w:eastAsia="zh-CN"/>
        </w:rPr>
        <w:t>subtypes</w:t>
      </w:r>
      <w:r w:rsidRPr="006D591B">
        <w:rPr>
          <w:rFonts w:ascii="Times New Roman" w:hAnsi="Times New Roman" w:cs="Times New Roman"/>
          <w:sz w:val="21"/>
          <w:szCs w:val="21"/>
        </w:rPr>
        <w:t xml:space="preserve"> and interesting gene ISG15 were evaluated in ICGC-CCA cohort. The survival (version 3.2.11) and survminer (version 0.4.9) packages was used to perform</w:t>
      </w:r>
      <w:bookmarkStart w:id="5" w:name="OLE_LINK7"/>
      <w:r w:rsidRPr="006D591B">
        <w:rPr>
          <w:rFonts w:ascii="Times New Roman" w:hAnsi="Times New Roman" w:cs="Times New Roman"/>
          <w:sz w:val="21"/>
          <w:szCs w:val="21"/>
        </w:rPr>
        <w:t xml:space="preserve"> Kaplan–Meier survival</w:t>
      </w:r>
      <w:bookmarkEnd w:id="5"/>
      <w:r w:rsidRPr="006D591B">
        <w:rPr>
          <w:rFonts w:ascii="Times New Roman" w:hAnsi="Times New Roman" w:cs="Times New Roman"/>
          <w:sz w:val="21"/>
          <w:szCs w:val="21"/>
        </w:rPr>
        <w:t xml:space="preserve"> analysis and curve plotting.</w:t>
      </w:r>
    </w:p>
    <w:p w:rsidR="004D2D45" w:rsidRPr="006D591B" w:rsidRDefault="004D2D45" w:rsidP="004D2D45">
      <w:pPr>
        <w:spacing w:line="360" w:lineRule="auto"/>
        <w:rPr>
          <w:rFonts w:ascii="Times New Roman" w:hAnsi="Times New Roman" w:cs="Times New Roman"/>
          <w:b/>
          <w:color w:val="000000" w:themeColor="text1"/>
          <w:sz w:val="21"/>
          <w:szCs w:val="21"/>
          <w:lang w:val="en-US"/>
        </w:rPr>
      </w:pPr>
      <w:r w:rsidRPr="006D591B">
        <w:rPr>
          <w:rFonts w:ascii="Times New Roman" w:hAnsi="Times New Roman" w:cs="Times New Roman"/>
          <w:b/>
          <w:color w:val="000000" w:themeColor="text1"/>
          <w:sz w:val="21"/>
          <w:szCs w:val="21"/>
          <w:lang w:val="en-US"/>
        </w:rPr>
        <w:t>Cell-cell interaction</w:t>
      </w:r>
    </w:p>
    <w:p w:rsidR="004D2D45" w:rsidRPr="006D591B" w:rsidRDefault="004D2D45" w:rsidP="004D2D45">
      <w:pPr>
        <w:rPr>
          <w:rFonts w:ascii="Times New Roman" w:hAnsi="Times New Roman" w:cs="Times New Roman"/>
          <w:sz w:val="21"/>
          <w:szCs w:val="21"/>
        </w:rPr>
      </w:pPr>
      <w:r w:rsidRPr="006D591B">
        <w:rPr>
          <w:rFonts w:ascii="Times New Roman" w:hAnsi="Times New Roman" w:cs="Times New Roman"/>
          <w:sz w:val="21"/>
          <w:szCs w:val="21"/>
        </w:rPr>
        <w:t>The cell-cell interaction was analyzed and visualized by CellChat (version 1.1.3) with default parameters</w:t>
      </w:r>
      <w:r w:rsidRPr="006D591B">
        <w:rPr>
          <w:rFonts w:ascii="Times New Roman" w:hAnsi="Times New Roman" w:cs="Times New Roman"/>
          <w:sz w:val="21"/>
          <w:szCs w:val="21"/>
        </w:rPr>
        <w:fldChar w:fldCharType="begin"/>
      </w:r>
      <w:r w:rsidR="005469F1">
        <w:rPr>
          <w:rFonts w:ascii="Times New Roman" w:hAnsi="Times New Roman" w:cs="Times New Roman"/>
          <w:sz w:val="21"/>
          <w:szCs w:val="21"/>
        </w:rPr>
        <w:instrText xml:space="preserve"> ADDIN ZOTERO_ITEM CSL_CITATION {"citationID":"QT53wGJj","properties":{"formattedCitation":"\\super 30\\nosupersub{}","plainCitation":"30","noteIndex":0},"citationItems":[{"id":1755,"uris":["http://zotero.org/users/local/o5E1hp2p/items/WEMNL57Q"],"itemData":{"id":1755,"type":"article-journal","abstract":"Understanding global communications among cells requires accurate representation of cell-cell signaling links and effective systems-level analyses of those links. We construct a database of interactions among ligands, receptors and their cofactors that accurately represent known heteromeric molecular complexes. We then develop CellChat, a tool that is able to quantitatively infer and analyze intercellular communication networks from single-cell RNA-sequencing (scRNA-seq) data. CellChat predicts major signaling inputs and outputs for cells and how those cells and signals coordinate for functions using network analysis and pattern recognition approaches. Through manifold learning and quantitative contrasts, CellChat classifies signaling pathways and delineates conserved and context-specific pathways across different datasets. Applying CellChat to mouse and human skin datasets shows its ability to extract complex signaling patterns. Our versatile and easy-to-use toolkit CellChat and a web-based Explorer (http://www.cellchat.org/) will help discover novel intercellular communications and build cell-cell communication atlases in diverse tissues.","container-title":"Nature Communications","DOI":"10.1038/s41467-021-21246-9","ISSN":"2041-1723","issue":"1","journalAbbreviation":"Nat Commun","language":"en","license":"2021 The Author(s)","note":"publisher: Nature Publishing Group","page":"1088","source":"www.nature.com","title":"Inference and analysis of cell-cell communication using CellChat","volume":"12","author":[{"family":"Jin","given":"Suoqin"},{"family":"Guerrero-Juarez","given":"Christian F."},{"family":"Zhang","given":"Lihua"},{"family":"Chang","given":"Ivan"},{"family":"Ramos","given":"Raul"},{"family":"Kuan","given":"Chen-Hsiang"},{"family":"Myung","given":"Peggy"},{"family":"Plikus","given":"Maksim V."},{"family":"Nie","given":"Qing"}],"issued":{"date-parts":[["2021",2,17]]}}}],"schema":"https://github.com/citation-style-language/schema/raw/master/csl-citation.json"} </w:instrText>
      </w:r>
      <w:r w:rsidRPr="006D591B">
        <w:rPr>
          <w:rFonts w:ascii="Times New Roman" w:hAnsi="Times New Roman" w:cs="Times New Roman"/>
          <w:sz w:val="21"/>
          <w:szCs w:val="21"/>
        </w:rPr>
        <w:fldChar w:fldCharType="separate"/>
      </w:r>
      <w:r w:rsidR="005469F1" w:rsidRPr="005469F1">
        <w:rPr>
          <w:rFonts w:ascii="Times New Roman" w:hAnsi="Times New Roman" w:cs="Times New Roman"/>
          <w:sz w:val="21"/>
          <w:vertAlign w:val="superscript"/>
        </w:rPr>
        <w:t>30</w:t>
      </w:r>
      <w:r w:rsidRPr="006D591B">
        <w:rPr>
          <w:rFonts w:ascii="Times New Roman" w:hAnsi="Times New Roman" w:cs="Times New Roman"/>
          <w:sz w:val="21"/>
          <w:szCs w:val="21"/>
        </w:rPr>
        <w:fldChar w:fldCharType="end"/>
      </w:r>
      <w:r w:rsidRPr="006D591B">
        <w:rPr>
          <w:rFonts w:ascii="Times New Roman" w:hAnsi="Times New Roman" w:cs="Times New Roman"/>
          <w:sz w:val="21"/>
          <w:szCs w:val="21"/>
        </w:rPr>
        <w:t xml:space="preserve">. </w:t>
      </w:r>
    </w:p>
    <w:p w:rsidR="004D2D45" w:rsidRPr="006D591B" w:rsidRDefault="004D2D45" w:rsidP="004D2D45">
      <w:pPr>
        <w:spacing w:line="360" w:lineRule="auto"/>
        <w:rPr>
          <w:rFonts w:ascii="Times New Roman" w:hAnsi="Times New Roman" w:cs="Times New Roman"/>
          <w:b/>
          <w:color w:val="000000" w:themeColor="text1"/>
          <w:sz w:val="21"/>
          <w:szCs w:val="21"/>
          <w:lang w:val="en-US"/>
        </w:rPr>
      </w:pPr>
      <w:r w:rsidRPr="006D591B">
        <w:rPr>
          <w:rFonts w:ascii="Times New Roman" w:hAnsi="Times New Roman" w:cs="Times New Roman"/>
          <w:b/>
          <w:color w:val="000000" w:themeColor="text1"/>
          <w:sz w:val="21"/>
          <w:szCs w:val="21"/>
          <w:lang w:val="en-US"/>
        </w:rPr>
        <w:t>Immune cell function scoring</w:t>
      </w:r>
    </w:p>
    <w:p w:rsidR="004D2D45" w:rsidRPr="006D591B" w:rsidRDefault="004D2D45" w:rsidP="004D2D45">
      <w:pPr>
        <w:rPr>
          <w:rFonts w:ascii="Times New Roman" w:hAnsi="Times New Roman" w:cs="Times New Roman"/>
          <w:sz w:val="21"/>
          <w:szCs w:val="21"/>
        </w:rPr>
      </w:pPr>
      <w:r w:rsidRPr="006D591B">
        <w:rPr>
          <w:rFonts w:ascii="Times New Roman" w:hAnsi="Times New Roman" w:cs="Times New Roman"/>
          <w:sz w:val="21"/>
          <w:szCs w:val="21"/>
        </w:rPr>
        <w:lastRenderedPageBreak/>
        <w:t>To assess the functional profiles of monocytes and macrophages, we applied the methodology as previously established. For the functional characterization of CD4 and CD8 T cell subpopulations, we leveraged the gene sets from the pan-cancer T cell analysis study by Yanshuo et al. and computed the functional scores using the AddModuleScore function</w:t>
      </w:r>
      <w:r w:rsidR="003B6139">
        <w:rPr>
          <w:rFonts w:ascii="Times New Roman" w:hAnsi="Times New Roman" w:cs="Times New Roman"/>
          <w:sz w:val="21"/>
          <w:szCs w:val="21"/>
        </w:rPr>
        <w:fldChar w:fldCharType="begin"/>
      </w:r>
      <w:r w:rsidR="003B6139">
        <w:rPr>
          <w:rFonts w:ascii="Times New Roman" w:hAnsi="Times New Roman" w:cs="Times New Roman"/>
          <w:sz w:val="21"/>
          <w:szCs w:val="21"/>
        </w:rPr>
        <w:instrText xml:space="preserve"> ADDIN ZOTERO_ITEM CSL_CITATION {"citationID":"PBVApO9I","properties":{"formattedCitation":"\\super 31\\nosupersub{}","plainCitation":"31","noteIndex":0},"citationItems":[{"id":141,"uris":["http://zotero.org/users/local/o5E1hp2p/items/IGM3XT2U"],"itemData</w:instrText>
      </w:r>
      <w:r w:rsidR="003B6139">
        <w:rPr>
          <w:rFonts w:ascii="Times New Roman" w:hAnsi="Times New Roman" w:cs="Times New Roman" w:hint="eastAsia"/>
          <w:sz w:val="21"/>
          <w:szCs w:val="21"/>
        </w:rPr>
        <w:instrText>":{"id":141,"type":"article-journal","container-title":"Nature Medicine","DOI":"10.1038/s41591-023-02371-y","ISSN":"1078-8956, 1546-170X","issue":"6","journalAbbreviation":"Nat Med","language":"en","note":"titleTranslation: T-</w:instrText>
      </w:r>
      <w:r w:rsidR="003B6139">
        <w:rPr>
          <w:rFonts w:ascii="Times New Roman" w:hAnsi="Times New Roman" w:cs="Times New Roman" w:hint="eastAsia"/>
          <w:sz w:val="21"/>
          <w:szCs w:val="21"/>
        </w:rPr>
        <w:instrText>泛癌</w:instrText>
      </w:r>
      <w:r w:rsidR="003B6139">
        <w:rPr>
          <w:rFonts w:ascii="Times New Roman" w:hAnsi="Times New Roman" w:cs="Times New Roman" w:hint="eastAsia"/>
          <w:sz w:val="21"/>
          <w:szCs w:val="21"/>
        </w:rPr>
        <w:instrText>-</w:instrText>
      </w:r>
      <w:r w:rsidR="003B6139">
        <w:rPr>
          <w:rFonts w:ascii="Times New Roman" w:hAnsi="Times New Roman" w:cs="Times New Roman" w:hint="eastAsia"/>
          <w:sz w:val="21"/>
          <w:szCs w:val="21"/>
        </w:rPr>
        <w:instrText>王凌华</w:instrText>
      </w:r>
      <w:r w:rsidR="003B6139">
        <w:rPr>
          <w:rFonts w:ascii="Times New Roman" w:hAnsi="Times New Roman" w:cs="Times New Roman" w:hint="eastAsia"/>
          <w:sz w:val="21"/>
          <w:szCs w:val="21"/>
        </w:rPr>
        <w:instrText>","page":"1550-1562","s</w:instrText>
      </w:r>
      <w:r w:rsidR="003B6139">
        <w:rPr>
          <w:rFonts w:ascii="Times New Roman" w:hAnsi="Times New Roman" w:cs="Times New Roman"/>
          <w:sz w:val="21"/>
          <w:szCs w:val="21"/>
        </w:rPr>
        <w:instrText xml:space="preserve">ource":"DOI.org (Crossref)","title":"Pan-cancer T cell atlas links a cellular stress response state to immunotherapy resistance","volume":"29","author":[{"family":"Chu","given":"Yanshuo"},{"family":"Dai","given":"Enyu"},{"family":"Li","given":"Yating"},{"family":"Han","given":"Guangchun"},{"family":"Pei","given":"Guangsheng"},{"family":"Ingram","given":"Davis R."},{"family":"Thakkar","given":"Krupa"},{"family":"Qin","given":"Jiang-Jiang"},{"family":"Dang","given":"Minghao"},{"family":"Le","given":"Xiuning"},{"family":"Hu","given":"Can"},{"family":"Deng","given":"Qing"},{"family":"Sinjab","given":"Ansam"},{"family":"Gupta","given":"Pravesh"},{"family":"Wang","given":"Ruiping"},{"family":"Hao","given":"Dapeng"},{"family":"Peng","given":"Fuduan"},{"family":"Yan","given":"Xinmiao"},{"family":"Liu","given":"Yunhe"},{"family":"Song","given":"Shumei"},{"family":"Zhang","given":"Shaojun"},{"family":"Heymach","given":"John V."},{"family":"Reuben","given":"Alexandre"},{"family":"Elamin","given":"Yasir Y."},{"family":"Pizzi","given":"Melissa P."},{"family":"Lu","given":"Yang"},{"family":"Lazcano","given":"Rossana"},{"family":"Hu","given":"Jian"},{"family":"Li","given":"Mingyao"},{"family":"Curran","given":"Michael"},{"family":"Futreal","given":"Andrew"},{"family":"Maitra","given":"Anirban"},{"family":"Jazaeri","given":"Amir A."},{"family":"Ajani","given":"Jaffer A."},{"family":"Swanton","given":"Charles"},{"family":"Cheng","given":"Xiang-Dong"},{"family":"Abbas","given":"Hussein A."},{"family":"Gillison","given":"Maura"},{"family":"Bhat","given":"Krishna"},{"family":"Lazar","given":"Alexander J."},{"family":"Green","given":"Michael"},{"family":"Litchfield","given":"Kevin"},{"family":"Kadara","given":"Humam"},{"family":"Yee","given":"Cassian"},{"family":"Wang","given":"Linghua"}],"issued":{"date-parts":[["2023",6]]}}}],"schema":"https://github.com/citation-style-language/schema/raw/master/csl-citation.json"} </w:instrText>
      </w:r>
      <w:r w:rsidR="003B6139">
        <w:rPr>
          <w:rFonts w:ascii="Times New Roman" w:hAnsi="Times New Roman" w:cs="Times New Roman"/>
          <w:sz w:val="21"/>
          <w:szCs w:val="21"/>
        </w:rPr>
        <w:fldChar w:fldCharType="separate"/>
      </w:r>
      <w:r w:rsidR="003B6139" w:rsidRPr="003B6139">
        <w:rPr>
          <w:rFonts w:ascii="Times New Roman" w:hAnsi="Times New Roman" w:cs="Times New Roman"/>
          <w:sz w:val="21"/>
          <w:vertAlign w:val="superscript"/>
        </w:rPr>
        <w:t>31</w:t>
      </w:r>
      <w:r w:rsidR="003B6139">
        <w:rPr>
          <w:rFonts w:ascii="Times New Roman" w:hAnsi="Times New Roman" w:cs="Times New Roman"/>
          <w:sz w:val="21"/>
          <w:szCs w:val="21"/>
        </w:rPr>
        <w:fldChar w:fldCharType="end"/>
      </w:r>
      <w:r w:rsidRPr="006D591B">
        <w:rPr>
          <w:rFonts w:ascii="Times New Roman" w:hAnsi="Times New Roman" w:cs="Times New Roman"/>
          <w:sz w:val="21"/>
          <w:szCs w:val="21"/>
        </w:rPr>
        <w:t>.</w:t>
      </w:r>
    </w:p>
    <w:p w:rsidR="004D2D45" w:rsidRPr="004D2D45" w:rsidRDefault="004D2D45" w:rsidP="004D2D45">
      <w:pPr>
        <w:rPr>
          <w:rFonts w:ascii="Times New Roman" w:hAnsi="Times New Roman" w:cs="Times New Roman"/>
        </w:rPr>
      </w:pPr>
    </w:p>
    <w:p w:rsidR="000E29F1" w:rsidRPr="000E29F1" w:rsidRDefault="004D2D45" w:rsidP="000E29F1">
      <w:pPr>
        <w:pStyle w:val="a4"/>
        <w:rPr>
          <w:rFonts w:ascii="Times New Roman" w:hAnsi="Times New Roman" w:cs="Times New Roman"/>
        </w:rPr>
      </w:pPr>
      <w:r w:rsidRPr="004D2D45">
        <w:fldChar w:fldCharType="begin"/>
      </w:r>
      <w:r w:rsidR="000E29F1">
        <w:rPr>
          <w:rFonts w:hint="eastAsia"/>
        </w:rPr>
        <w:instrText xml:space="preserve"> ADDIN ZOTERO_BIBL {"uncited":[],"omitted":[],"custom":[]} CSL_BIBLIOGRAPHY </w:instrText>
      </w:r>
      <w:r w:rsidRPr="004D2D45">
        <w:fldChar w:fldCharType="separate"/>
      </w:r>
      <w:r w:rsidR="000E29F1" w:rsidRPr="000E29F1">
        <w:rPr>
          <w:rFonts w:ascii="Times New Roman" w:hAnsi="Times New Roman" w:cs="Times New Roman"/>
        </w:rPr>
        <w:t>1.</w:t>
      </w:r>
      <w:r w:rsidR="000E29F1" w:rsidRPr="000E29F1">
        <w:rPr>
          <w:rFonts w:ascii="Times New Roman" w:hAnsi="Times New Roman" w:cs="Times New Roman"/>
        </w:rPr>
        <w:tab/>
        <w:t xml:space="preserve">Wang X, Liu C, Chen J, et al. Single-cell dissection of remodeled inflammatory ecosystem in primary and metastatic gallbladder carcinoma. </w:t>
      </w:r>
      <w:r w:rsidR="000E29F1" w:rsidRPr="000E29F1">
        <w:rPr>
          <w:rFonts w:ascii="Times New Roman" w:hAnsi="Times New Roman" w:cs="Times New Roman"/>
          <w:i/>
          <w:iCs/>
        </w:rPr>
        <w:t>Cell Discov</w:t>
      </w:r>
      <w:r w:rsidR="000E29F1" w:rsidRPr="000E29F1">
        <w:rPr>
          <w:rFonts w:ascii="Times New Roman" w:hAnsi="Times New Roman" w:cs="Times New Roman"/>
        </w:rPr>
        <w:t>. 2022;8(1):101. doi:10.1038/s41421-022-00445-8</w:t>
      </w:r>
    </w:p>
    <w:p w:rsidR="000E29F1" w:rsidRPr="000E29F1" w:rsidRDefault="000E29F1" w:rsidP="000E29F1">
      <w:pPr>
        <w:pStyle w:val="a4"/>
        <w:rPr>
          <w:rFonts w:ascii="Times New Roman" w:hAnsi="Times New Roman" w:cs="Times New Roman"/>
        </w:rPr>
      </w:pPr>
      <w:r w:rsidRPr="000E29F1">
        <w:rPr>
          <w:rFonts w:ascii="Times New Roman" w:hAnsi="Times New Roman" w:cs="Times New Roman"/>
        </w:rPr>
        <w:t>2.</w:t>
      </w:r>
      <w:r w:rsidRPr="000E29F1">
        <w:rPr>
          <w:rFonts w:ascii="Times New Roman" w:hAnsi="Times New Roman" w:cs="Times New Roman"/>
        </w:rPr>
        <w:tab/>
        <w:t xml:space="preserve">Hao Y, Hao S, Andersen-Nissen E, et al. Integrated analysis of multimodal single-cell data. </w:t>
      </w:r>
      <w:r w:rsidRPr="000E29F1">
        <w:rPr>
          <w:rFonts w:ascii="Times New Roman" w:hAnsi="Times New Roman" w:cs="Times New Roman"/>
          <w:i/>
          <w:iCs/>
        </w:rPr>
        <w:t>Cell</w:t>
      </w:r>
      <w:r w:rsidRPr="000E29F1">
        <w:rPr>
          <w:rFonts w:ascii="Times New Roman" w:hAnsi="Times New Roman" w:cs="Times New Roman"/>
        </w:rPr>
        <w:t>. 2021;184(13):3573-3587.e29. doi:10.1016/j.cell.2021.04.048</w:t>
      </w:r>
    </w:p>
    <w:p w:rsidR="000E29F1" w:rsidRPr="000E29F1" w:rsidRDefault="000E29F1" w:rsidP="000E29F1">
      <w:pPr>
        <w:pStyle w:val="a4"/>
        <w:rPr>
          <w:rFonts w:ascii="Times New Roman" w:hAnsi="Times New Roman" w:cs="Times New Roman"/>
        </w:rPr>
      </w:pPr>
      <w:r w:rsidRPr="000E29F1">
        <w:rPr>
          <w:rFonts w:ascii="Times New Roman" w:hAnsi="Times New Roman" w:cs="Times New Roman"/>
        </w:rPr>
        <w:t>3.</w:t>
      </w:r>
      <w:r w:rsidRPr="000E29F1">
        <w:rPr>
          <w:rFonts w:ascii="Times New Roman" w:hAnsi="Times New Roman" w:cs="Times New Roman"/>
        </w:rPr>
        <w:tab/>
        <w:t xml:space="preserve">Hafemeister C, Satija R. Normalization and variance stabilization of single-cell RNA-seq data using regularized negative binomial regression. </w:t>
      </w:r>
      <w:r w:rsidRPr="000E29F1">
        <w:rPr>
          <w:rFonts w:ascii="Times New Roman" w:hAnsi="Times New Roman" w:cs="Times New Roman"/>
          <w:i/>
          <w:iCs/>
        </w:rPr>
        <w:t>Genome Biology</w:t>
      </w:r>
      <w:r w:rsidRPr="000E29F1">
        <w:rPr>
          <w:rFonts w:ascii="Times New Roman" w:hAnsi="Times New Roman" w:cs="Times New Roman"/>
        </w:rPr>
        <w:t>. 2019;20(1):296. doi:10.1186/s13059-019-1874-1</w:t>
      </w:r>
    </w:p>
    <w:p w:rsidR="000E29F1" w:rsidRPr="000E29F1" w:rsidRDefault="000E29F1" w:rsidP="000E29F1">
      <w:pPr>
        <w:pStyle w:val="a4"/>
        <w:rPr>
          <w:rFonts w:ascii="Times New Roman" w:hAnsi="Times New Roman" w:cs="Times New Roman"/>
        </w:rPr>
      </w:pPr>
      <w:r w:rsidRPr="000E29F1">
        <w:rPr>
          <w:rFonts w:ascii="Times New Roman" w:hAnsi="Times New Roman" w:cs="Times New Roman"/>
        </w:rPr>
        <w:t>4.</w:t>
      </w:r>
      <w:r w:rsidRPr="000E29F1">
        <w:rPr>
          <w:rFonts w:ascii="Times New Roman" w:hAnsi="Times New Roman" w:cs="Times New Roman"/>
        </w:rPr>
        <w:tab/>
        <w:t xml:space="preserve">Korsunsky I, Millard N, Fan J, et al. Fast, sensitive and accurate integration of single-cell data with Harmony. </w:t>
      </w:r>
      <w:r w:rsidRPr="000E29F1">
        <w:rPr>
          <w:rFonts w:ascii="Times New Roman" w:hAnsi="Times New Roman" w:cs="Times New Roman"/>
          <w:i/>
          <w:iCs/>
        </w:rPr>
        <w:t>Nat Methods</w:t>
      </w:r>
      <w:r w:rsidRPr="000E29F1">
        <w:rPr>
          <w:rFonts w:ascii="Times New Roman" w:hAnsi="Times New Roman" w:cs="Times New Roman"/>
        </w:rPr>
        <w:t>. 2019;16(12):1289-1296. doi:10.1038/s41592-019-0619-0</w:t>
      </w:r>
    </w:p>
    <w:p w:rsidR="000E29F1" w:rsidRPr="000E29F1" w:rsidRDefault="000E29F1" w:rsidP="000E29F1">
      <w:pPr>
        <w:pStyle w:val="a4"/>
        <w:rPr>
          <w:rFonts w:ascii="Times New Roman" w:hAnsi="Times New Roman" w:cs="Times New Roman"/>
        </w:rPr>
      </w:pPr>
      <w:r w:rsidRPr="000E29F1">
        <w:rPr>
          <w:rFonts w:ascii="Times New Roman" w:hAnsi="Times New Roman" w:cs="Times New Roman"/>
        </w:rPr>
        <w:t>5.</w:t>
      </w:r>
      <w:r w:rsidRPr="000E29F1">
        <w:rPr>
          <w:rFonts w:ascii="Times New Roman" w:hAnsi="Times New Roman" w:cs="Times New Roman"/>
        </w:rPr>
        <w:tab/>
        <w:t xml:space="preserve">Zhang L, Yu X, Zheng L, et al. Lineage tracking reveals dynamic relationships of T cells in colorectal cancer. </w:t>
      </w:r>
      <w:r w:rsidRPr="000E29F1">
        <w:rPr>
          <w:rFonts w:ascii="Times New Roman" w:hAnsi="Times New Roman" w:cs="Times New Roman"/>
          <w:i/>
          <w:iCs/>
        </w:rPr>
        <w:t>Nature</w:t>
      </w:r>
      <w:r w:rsidRPr="000E29F1">
        <w:rPr>
          <w:rFonts w:ascii="Times New Roman" w:hAnsi="Times New Roman" w:cs="Times New Roman"/>
        </w:rPr>
        <w:t>. 2018;564(7735):268-272. doi:10.1038/s41586-018-0694-x</w:t>
      </w:r>
    </w:p>
    <w:p w:rsidR="000E29F1" w:rsidRPr="000E29F1" w:rsidRDefault="000E29F1" w:rsidP="000E29F1">
      <w:pPr>
        <w:pStyle w:val="a4"/>
        <w:rPr>
          <w:rFonts w:ascii="Times New Roman" w:hAnsi="Times New Roman" w:cs="Times New Roman"/>
        </w:rPr>
      </w:pPr>
      <w:r w:rsidRPr="000E29F1">
        <w:rPr>
          <w:rFonts w:ascii="Times New Roman" w:hAnsi="Times New Roman" w:cs="Times New Roman"/>
        </w:rPr>
        <w:t>6.</w:t>
      </w:r>
      <w:r w:rsidRPr="000E29F1">
        <w:rPr>
          <w:rFonts w:ascii="Times New Roman" w:hAnsi="Times New Roman" w:cs="Times New Roman"/>
        </w:rPr>
        <w:tab/>
        <w:t xml:space="preserve">Xu S, Hu E, Cai Y, et al. Using clusterProfiler to characterize multiomics data. </w:t>
      </w:r>
      <w:r w:rsidRPr="000E29F1">
        <w:rPr>
          <w:rFonts w:ascii="Times New Roman" w:hAnsi="Times New Roman" w:cs="Times New Roman"/>
          <w:i/>
          <w:iCs/>
        </w:rPr>
        <w:t>Nat Protoc</w:t>
      </w:r>
      <w:r w:rsidRPr="000E29F1">
        <w:rPr>
          <w:rFonts w:ascii="Times New Roman" w:hAnsi="Times New Roman" w:cs="Times New Roman"/>
        </w:rPr>
        <w:t>. Published online July 17, 2024. doi:10.1038/s41596-024-01020-z</w:t>
      </w:r>
    </w:p>
    <w:p w:rsidR="000E29F1" w:rsidRPr="000E29F1" w:rsidRDefault="000E29F1" w:rsidP="000E29F1">
      <w:pPr>
        <w:pStyle w:val="a4"/>
        <w:rPr>
          <w:rFonts w:ascii="Times New Roman" w:hAnsi="Times New Roman" w:cs="Times New Roman"/>
        </w:rPr>
      </w:pPr>
      <w:r w:rsidRPr="000E29F1">
        <w:rPr>
          <w:rFonts w:ascii="Times New Roman" w:hAnsi="Times New Roman" w:cs="Times New Roman"/>
        </w:rPr>
        <w:t>7.</w:t>
      </w:r>
      <w:r w:rsidRPr="000E29F1">
        <w:rPr>
          <w:rFonts w:ascii="Times New Roman" w:hAnsi="Times New Roman" w:cs="Times New Roman"/>
        </w:rPr>
        <w:tab/>
        <w:t xml:space="preserve">Patel AP, Tirosh I, Trombetta JJ, et al. Single-cell RNA-seq highlights intratumoral heterogeneity in primary glioblastoma. </w:t>
      </w:r>
      <w:r w:rsidRPr="000E29F1">
        <w:rPr>
          <w:rFonts w:ascii="Times New Roman" w:hAnsi="Times New Roman" w:cs="Times New Roman"/>
          <w:i/>
          <w:iCs/>
        </w:rPr>
        <w:t>Science</w:t>
      </w:r>
      <w:r w:rsidRPr="000E29F1">
        <w:rPr>
          <w:rFonts w:ascii="Times New Roman" w:hAnsi="Times New Roman" w:cs="Times New Roman"/>
        </w:rPr>
        <w:t>. 2014;344(6190):1396-1401. doi:10.1126/science.1254257</w:t>
      </w:r>
    </w:p>
    <w:p w:rsidR="000E29F1" w:rsidRPr="000E29F1" w:rsidRDefault="000E29F1" w:rsidP="000E29F1">
      <w:pPr>
        <w:pStyle w:val="a4"/>
        <w:rPr>
          <w:rFonts w:ascii="Times New Roman" w:hAnsi="Times New Roman" w:cs="Times New Roman"/>
        </w:rPr>
      </w:pPr>
      <w:r w:rsidRPr="000E29F1">
        <w:rPr>
          <w:rFonts w:ascii="Times New Roman" w:hAnsi="Times New Roman" w:cs="Times New Roman"/>
        </w:rPr>
        <w:t>8.</w:t>
      </w:r>
      <w:r w:rsidRPr="000E29F1">
        <w:rPr>
          <w:rFonts w:ascii="Times New Roman" w:hAnsi="Times New Roman" w:cs="Times New Roman"/>
        </w:rPr>
        <w:tab/>
        <w:t xml:space="preserve">Peng J, Sun BF, Chen CY, et al. Single-cell RNA-seq highlights intra-tumoral heterogeneity and malignant progression in pancreatic ductal adenocarcinoma. </w:t>
      </w:r>
      <w:r w:rsidRPr="000E29F1">
        <w:rPr>
          <w:rFonts w:ascii="Times New Roman" w:hAnsi="Times New Roman" w:cs="Times New Roman"/>
          <w:i/>
          <w:iCs/>
        </w:rPr>
        <w:t>Cell Res</w:t>
      </w:r>
      <w:r w:rsidRPr="000E29F1">
        <w:rPr>
          <w:rFonts w:ascii="Times New Roman" w:hAnsi="Times New Roman" w:cs="Times New Roman"/>
        </w:rPr>
        <w:t>. 2019;29(9):725-738. doi:10.1038/s41422-019-0195-y</w:t>
      </w:r>
    </w:p>
    <w:p w:rsidR="000E29F1" w:rsidRPr="000E29F1" w:rsidRDefault="000E29F1" w:rsidP="000E29F1">
      <w:pPr>
        <w:pStyle w:val="a4"/>
        <w:rPr>
          <w:rFonts w:ascii="Times New Roman" w:hAnsi="Times New Roman" w:cs="Times New Roman"/>
        </w:rPr>
      </w:pPr>
      <w:r w:rsidRPr="000E29F1">
        <w:rPr>
          <w:rFonts w:ascii="Times New Roman" w:hAnsi="Times New Roman" w:cs="Times New Roman"/>
        </w:rPr>
        <w:t>9.</w:t>
      </w:r>
      <w:r w:rsidRPr="000E29F1">
        <w:rPr>
          <w:rFonts w:ascii="Times New Roman" w:hAnsi="Times New Roman" w:cs="Times New Roman"/>
        </w:rPr>
        <w:tab/>
        <w:t xml:space="preserve">Kinker GS, Greenwald AC, Tal R, et al. Pan-cancer single-cell RNA-seq identifies recurring programs of cellular heterogeneity. </w:t>
      </w:r>
      <w:r w:rsidRPr="000E29F1">
        <w:rPr>
          <w:rFonts w:ascii="Times New Roman" w:hAnsi="Times New Roman" w:cs="Times New Roman"/>
          <w:i/>
          <w:iCs/>
        </w:rPr>
        <w:t>Nat Genet</w:t>
      </w:r>
      <w:r w:rsidRPr="000E29F1">
        <w:rPr>
          <w:rFonts w:ascii="Times New Roman" w:hAnsi="Times New Roman" w:cs="Times New Roman"/>
        </w:rPr>
        <w:t>. 2020;52(11):1208-1218. doi:10.1038/s41588-020-00726-6</w:t>
      </w:r>
    </w:p>
    <w:p w:rsidR="000E29F1" w:rsidRPr="000E29F1" w:rsidRDefault="000E29F1" w:rsidP="000E29F1">
      <w:pPr>
        <w:pStyle w:val="a4"/>
        <w:rPr>
          <w:rFonts w:ascii="Times New Roman" w:hAnsi="Times New Roman" w:cs="Times New Roman"/>
        </w:rPr>
      </w:pPr>
      <w:r w:rsidRPr="000E29F1">
        <w:rPr>
          <w:rFonts w:ascii="Times New Roman" w:hAnsi="Times New Roman" w:cs="Times New Roman"/>
        </w:rPr>
        <w:t>10.</w:t>
      </w:r>
      <w:r w:rsidRPr="000E29F1">
        <w:rPr>
          <w:rFonts w:ascii="Times New Roman" w:hAnsi="Times New Roman" w:cs="Times New Roman"/>
        </w:rPr>
        <w:tab/>
        <w:t xml:space="preserve">Kotliar D, Veres A, Nagy MA, et al. Identifying gene expression programs of cell-type identity and cellular activity with single-cell RNA-Seq. Valencia A, Barkai N, Mereu E, Göttgens B, eds. </w:t>
      </w:r>
      <w:r w:rsidRPr="000E29F1">
        <w:rPr>
          <w:rFonts w:ascii="Times New Roman" w:hAnsi="Times New Roman" w:cs="Times New Roman"/>
          <w:i/>
          <w:iCs/>
        </w:rPr>
        <w:t>eLife</w:t>
      </w:r>
      <w:r w:rsidRPr="000E29F1">
        <w:rPr>
          <w:rFonts w:ascii="Times New Roman" w:hAnsi="Times New Roman" w:cs="Times New Roman"/>
        </w:rPr>
        <w:t>. 2019;8:e43803. doi:10.7554/eLife.43803</w:t>
      </w:r>
    </w:p>
    <w:p w:rsidR="000E29F1" w:rsidRPr="000E29F1" w:rsidRDefault="000E29F1" w:rsidP="000E29F1">
      <w:pPr>
        <w:pStyle w:val="a4"/>
        <w:rPr>
          <w:rFonts w:ascii="Times New Roman" w:hAnsi="Times New Roman" w:cs="Times New Roman"/>
        </w:rPr>
      </w:pPr>
      <w:r w:rsidRPr="000E29F1">
        <w:rPr>
          <w:rFonts w:ascii="Times New Roman" w:hAnsi="Times New Roman" w:cs="Times New Roman"/>
        </w:rPr>
        <w:lastRenderedPageBreak/>
        <w:t>11.</w:t>
      </w:r>
      <w:r w:rsidRPr="000E29F1">
        <w:rPr>
          <w:rFonts w:ascii="Times New Roman" w:hAnsi="Times New Roman" w:cs="Times New Roman"/>
        </w:rPr>
        <w:tab/>
        <w:t xml:space="preserve">Zhang X, Peng L, Luo Y, et al. Dissecting esophageal squamous-cell carcinoma ecosystem by single-cell transcriptomic analysis. </w:t>
      </w:r>
      <w:r w:rsidRPr="000E29F1">
        <w:rPr>
          <w:rFonts w:ascii="Times New Roman" w:hAnsi="Times New Roman" w:cs="Times New Roman"/>
          <w:i/>
          <w:iCs/>
        </w:rPr>
        <w:t>Nat Commun</w:t>
      </w:r>
      <w:r w:rsidRPr="000E29F1">
        <w:rPr>
          <w:rFonts w:ascii="Times New Roman" w:hAnsi="Times New Roman" w:cs="Times New Roman"/>
        </w:rPr>
        <w:t>. 2021;12(1):5291. doi:10.1038/s41467-021-25539-x</w:t>
      </w:r>
    </w:p>
    <w:p w:rsidR="000E29F1" w:rsidRPr="000E29F1" w:rsidRDefault="000E29F1" w:rsidP="000E29F1">
      <w:pPr>
        <w:pStyle w:val="a4"/>
        <w:rPr>
          <w:rFonts w:ascii="Times New Roman" w:hAnsi="Times New Roman" w:cs="Times New Roman"/>
        </w:rPr>
      </w:pPr>
      <w:r w:rsidRPr="000E29F1">
        <w:rPr>
          <w:rFonts w:ascii="Times New Roman" w:hAnsi="Times New Roman" w:cs="Times New Roman"/>
        </w:rPr>
        <w:t>12.</w:t>
      </w:r>
      <w:r w:rsidRPr="000E29F1">
        <w:rPr>
          <w:rFonts w:ascii="Times New Roman" w:hAnsi="Times New Roman" w:cs="Times New Roman"/>
        </w:rPr>
        <w:tab/>
        <w:t xml:space="preserve">Chen S, Zhou Y, Chen Y, Gu J. fastp: an ultra-fast all-in-one FASTQ preprocessor. </w:t>
      </w:r>
      <w:r w:rsidRPr="000E29F1">
        <w:rPr>
          <w:rFonts w:ascii="Times New Roman" w:hAnsi="Times New Roman" w:cs="Times New Roman"/>
          <w:i/>
          <w:iCs/>
        </w:rPr>
        <w:t>Bioinformatics</w:t>
      </w:r>
      <w:r w:rsidRPr="000E29F1">
        <w:rPr>
          <w:rFonts w:ascii="Times New Roman" w:hAnsi="Times New Roman" w:cs="Times New Roman"/>
        </w:rPr>
        <w:t>. 2018;34(17):i884-i890. doi:10.1093/bioinformatics/bty560</w:t>
      </w:r>
    </w:p>
    <w:p w:rsidR="000E29F1" w:rsidRPr="000E29F1" w:rsidRDefault="000E29F1" w:rsidP="000E29F1">
      <w:pPr>
        <w:pStyle w:val="a4"/>
        <w:rPr>
          <w:rFonts w:ascii="Times New Roman" w:hAnsi="Times New Roman" w:cs="Times New Roman"/>
        </w:rPr>
      </w:pPr>
      <w:r w:rsidRPr="000E29F1">
        <w:rPr>
          <w:rFonts w:ascii="Times New Roman" w:hAnsi="Times New Roman" w:cs="Times New Roman"/>
        </w:rPr>
        <w:t>13.</w:t>
      </w:r>
      <w:r w:rsidRPr="000E29F1">
        <w:rPr>
          <w:rFonts w:ascii="Times New Roman" w:hAnsi="Times New Roman" w:cs="Times New Roman"/>
        </w:rPr>
        <w:tab/>
        <w:t xml:space="preserve">Kim D, Paggi JM, Park C, Bennett C, Salzberg SL. Graph-based genome alignment and genotyping with HISAT2 and HISAT-genotype. </w:t>
      </w:r>
      <w:r w:rsidRPr="000E29F1">
        <w:rPr>
          <w:rFonts w:ascii="Times New Roman" w:hAnsi="Times New Roman" w:cs="Times New Roman"/>
          <w:i/>
          <w:iCs/>
        </w:rPr>
        <w:t>Nat Biotechnol</w:t>
      </w:r>
      <w:r w:rsidRPr="000E29F1">
        <w:rPr>
          <w:rFonts w:ascii="Times New Roman" w:hAnsi="Times New Roman" w:cs="Times New Roman"/>
        </w:rPr>
        <w:t>. 2019;37(8):907-915. doi:10.1038/s41587-019-0201-4</w:t>
      </w:r>
    </w:p>
    <w:p w:rsidR="000E29F1" w:rsidRPr="000E29F1" w:rsidRDefault="000E29F1" w:rsidP="000E29F1">
      <w:pPr>
        <w:pStyle w:val="a4"/>
        <w:rPr>
          <w:rFonts w:ascii="Times New Roman" w:hAnsi="Times New Roman" w:cs="Times New Roman"/>
        </w:rPr>
      </w:pPr>
      <w:r w:rsidRPr="000E29F1">
        <w:rPr>
          <w:rFonts w:ascii="Times New Roman" w:hAnsi="Times New Roman" w:cs="Times New Roman"/>
        </w:rPr>
        <w:t>14.</w:t>
      </w:r>
      <w:r w:rsidRPr="000E29F1">
        <w:rPr>
          <w:rFonts w:ascii="Times New Roman" w:hAnsi="Times New Roman" w:cs="Times New Roman"/>
        </w:rPr>
        <w:tab/>
        <w:t xml:space="preserve">Anders S, Pyl PT, Huber W. HTSeq—a Python framework to work with high-throughput sequencing data. </w:t>
      </w:r>
      <w:r w:rsidRPr="000E29F1">
        <w:rPr>
          <w:rFonts w:ascii="Times New Roman" w:hAnsi="Times New Roman" w:cs="Times New Roman"/>
          <w:i/>
          <w:iCs/>
        </w:rPr>
        <w:t>Bioinformatics</w:t>
      </w:r>
      <w:r w:rsidRPr="000E29F1">
        <w:rPr>
          <w:rFonts w:ascii="Times New Roman" w:hAnsi="Times New Roman" w:cs="Times New Roman"/>
        </w:rPr>
        <w:t>. 2015;31(2):166-169. doi:10.1093/bioinformatics/btu638</w:t>
      </w:r>
    </w:p>
    <w:p w:rsidR="000E29F1" w:rsidRPr="000E29F1" w:rsidRDefault="000E29F1" w:rsidP="000E29F1">
      <w:pPr>
        <w:pStyle w:val="a4"/>
        <w:rPr>
          <w:rFonts w:ascii="Times New Roman" w:hAnsi="Times New Roman" w:cs="Times New Roman"/>
        </w:rPr>
      </w:pPr>
      <w:r w:rsidRPr="000E29F1">
        <w:rPr>
          <w:rFonts w:ascii="Times New Roman" w:hAnsi="Times New Roman" w:cs="Times New Roman"/>
        </w:rPr>
        <w:t>15.</w:t>
      </w:r>
      <w:r w:rsidRPr="000E29F1">
        <w:rPr>
          <w:rFonts w:ascii="Times New Roman" w:hAnsi="Times New Roman" w:cs="Times New Roman"/>
        </w:rPr>
        <w:tab/>
        <w:t xml:space="preserve">Jusakul A, Cutcutache I, Yong CH, et al. Whole-Genome and Epigenomic Landscapes of Etiologically Distinct Subtypes of Cholangiocarcinoma. </w:t>
      </w:r>
      <w:r w:rsidRPr="000E29F1">
        <w:rPr>
          <w:rFonts w:ascii="Times New Roman" w:hAnsi="Times New Roman" w:cs="Times New Roman"/>
          <w:i/>
          <w:iCs/>
        </w:rPr>
        <w:t>Cancer Discov</w:t>
      </w:r>
      <w:r w:rsidRPr="000E29F1">
        <w:rPr>
          <w:rFonts w:ascii="Times New Roman" w:hAnsi="Times New Roman" w:cs="Times New Roman"/>
        </w:rPr>
        <w:t>. 2017;7(10):1116-1135. doi:10.1158/2159-8290.CD-17-0368</w:t>
      </w:r>
    </w:p>
    <w:p w:rsidR="000E29F1" w:rsidRPr="000E29F1" w:rsidRDefault="000E29F1" w:rsidP="000E29F1">
      <w:pPr>
        <w:pStyle w:val="a4"/>
        <w:rPr>
          <w:rFonts w:ascii="Times New Roman" w:hAnsi="Times New Roman" w:cs="Times New Roman"/>
        </w:rPr>
      </w:pPr>
      <w:r w:rsidRPr="000E29F1">
        <w:rPr>
          <w:rFonts w:ascii="Times New Roman" w:hAnsi="Times New Roman" w:cs="Times New Roman"/>
        </w:rPr>
        <w:t>16.</w:t>
      </w:r>
      <w:r w:rsidRPr="000E29F1">
        <w:rPr>
          <w:rFonts w:ascii="Times New Roman" w:hAnsi="Times New Roman" w:cs="Times New Roman"/>
        </w:rPr>
        <w:tab/>
        <w:t xml:space="preserve">Gautier L, Cope L, Bolstad BM, Irizarry RA. affy—analysis of Affymetrix GeneChip data at the probe level. </w:t>
      </w:r>
      <w:r w:rsidRPr="000E29F1">
        <w:rPr>
          <w:rFonts w:ascii="Times New Roman" w:hAnsi="Times New Roman" w:cs="Times New Roman"/>
          <w:i/>
          <w:iCs/>
        </w:rPr>
        <w:t>Bioinformatics</w:t>
      </w:r>
      <w:r w:rsidRPr="000E29F1">
        <w:rPr>
          <w:rFonts w:ascii="Times New Roman" w:hAnsi="Times New Roman" w:cs="Times New Roman"/>
        </w:rPr>
        <w:t>. 2004;20(3):307-315. doi:10.1093/bioinformatics/btg405</w:t>
      </w:r>
    </w:p>
    <w:p w:rsidR="000E29F1" w:rsidRPr="000E29F1" w:rsidRDefault="000E29F1" w:rsidP="000E29F1">
      <w:pPr>
        <w:pStyle w:val="a4"/>
        <w:rPr>
          <w:rFonts w:ascii="Times New Roman" w:hAnsi="Times New Roman" w:cs="Times New Roman"/>
        </w:rPr>
      </w:pPr>
      <w:r w:rsidRPr="000E29F1">
        <w:rPr>
          <w:rFonts w:ascii="Times New Roman" w:hAnsi="Times New Roman" w:cs="Times New Roman"/>
        </w:rPr>
        <w:t>17.</w:t>
      </w:r>
      <w:r w:rsidRPr="000E29F1">
        <w:rPr>
          <w:rFonts w:ascii="Times New Roman" w:hAnsi="Times New Roman" w:cs="Times New Roman"/>
        </w:rPr>
        <w:tab/>
        <w:t xml:space="preserve">Leek JT, Johnson WE, Parker HS, Jaffe AE, Storey JD. The sva package for removing batch effects and other unwanted variation in high-throughput experiments. </w:t>
      </w:r>
      <w:r w:rsidRPr="000E29F1">
        <w:rPr>
          <w:rFonts w:ascii="Times New Roman" w:hAnsi="Times New Roman" w:cs="Times New Roman"/>
          <w:i/>
          <w:iCs/>
        </w:rPr>
        <w:t>Bioinformatics</w:t>
      </w:r>
      <w:r w:rsidRPr="000E29F1">
        <w:rPr>
          <w:rFonts w:ascii="Times New Roman" w:hAnsi="Times New Roman" w:cs="Times New Roman"/>
        </w:rPr>
        <w:t>. 2012;28(6):882-883. doi:10.1093/bioinformatics/bts034</w:t>
      </w:r>
    </w:p>
    <w:p w:rsidR="000E29F1" w:rsidRPr="000E29F1" w:rsidRDefault="000E29F1" w:rsidP="000E29F1">
      <w:pPr>
        <w:pStyle w:val="a4"/>
        <w:rPr>
          <w:rFonts w:ascii="Times New Roman" w:hAnsi="Times New Roman" w:cs="Times New Roman"/>
        </w:rPr>
      </w:pPr>
      <w:r w:rsidRPr="000E29F1">
        <w:rPr>
          <w:rFonts w:ascii="Times New Roman" w:hAnsi="Times New Roman" w:cs="Times New Roman"/>
        </w:rPr>
        <w:t>18.</w:t>
      </w:r>
      <w:r w:rsidRPr="000E29F1">
        <w:rPr>
          <w:rFonts w:ascii="Times New Roman" w:hAnsi="Times New Roman" w:cs="Times New Roman"/>
        </w:rPr>
        <w:tab/>
        <w:t xml:space="preserve">Lam HT. Personalized chordoma organoids for drug discovery studies. </w:t>
      </w:r>
      <w:r w:rsidRPr="000E29F1">
        <w:rPr>
          <w:rFonts w:ascii="Times New Roman" w:hAnsi="Times New Roman" w:cs="Times New Roman"/>
          <w:i/>
          <w:iCs/>
        </w:rPr>
        <w:t>SCIENCE ADVANCES</w:t>
      </w:r>
      <w:r w:rsidRPr="000E29F1">
        <w:rPr>
          <w:rFonts w:ascii="Times New Roman" w:hAnsi="Times New Roman" w:cs="Times New Roman"/>
        </w:rPr>
        <w:t>. Published online 2022.</w:t>
      </w:r>
    </w:p>
    <w:p w:rsidR="000E29F1" w:rsidRPr="000E29F1" w:rsidRDefault="000E29F1" w:rsidP="000E29F1">
      <w:pPr>
        <w:pStyle w:val="a4"/>
        <w:rPr>
          <w:rFonts w:ascii="Times New Roman" w:hAnsi="Times New Roman" w:cs="Times New Roman"/>
        </w:rPr>
      </w:pPr>
      <w:r w:rsidRPr="000E29F1">
        <w:rPr>
          <w:rFonts w:ascii="Times New Roman" w:hAnsi="Times New Roman" w:cs="Times New Roman"/>
        </w:rPr>
        <w:t>19.</w:t>
      </w:r>
      <w:r w:rsidRPr="000E29F1">
        <w:rPr>
          <w:rFonts w:ascii="Times New Roman" w:hAnsi="Times New Roman" w:cs="Times New Roman"/>
        </w:rPr>
        <w:tab/>
        <w:t xml:space="preserve">Gu Z. Complex heatmap visualization. </w:t>
      </w:r>
      <w:r w:rsidRPr="000E29F1">
        <w:rPr>
          <w:rFonts w:ascii="Times New Roman" w:hAnsi="Times New Roman" w:cs="Times New Roman"/>
          <w:i/>
          <w:iCs/>
        </w:rPr>
        <w:t>Imeta</w:t>
      </w:r>
      <w:r w:rsidRPr="000E29F1">
        <w:rPr>
          <w:rFonts w:ascii="Times New Roman" w:hAnsi="Times New Roman" w:cs="Times New Roman"/>
        </w:rPr>
        <w:t>. 2022;1(3):e43. doi:10.1002/imt2.43</w:t>
      </w:r>
    </w:p>
    <w:p w:rsidR="000E29F1" w:rsidRPr="000E29F1" w:rsidRDefault="000E29F1" w:rsidP="000E29F1">
      <w:pPr>
        <w:pStyle w:val="a4"/>
        <w:rPr>
          <w:rFonts w:ascii="Times New Roman" w:hAnsi="Times New Roman" w:cs="Times New Roman"/>
        </w:rPr>
      </w:pPr>
      <w:r w:rsidRPr="000E29F1">
        <w:rPr>
          <w:rFonts w:ascii="Times New Roman" w:hAnsi="Times New Roman" w:cs="Times New Roman"/>
        </w:rPr>
        <w:t>20.</w:t>
      </w:r>
      <w:r w:rsidRPr="000E29F1">
        <w:rPr>
          <w:rFonts w:ascii="Times New Roman" w:hAnsi="Times New Roman" w:cs="Times New Roman"/>
        </w:rPr>
        <w:tab/>
        <w:t xml:space="preserve">Gulati GS, Sikandar SS, Wesche DJ, et al. Single-cell transcriptional diversity is a hallmark of developmental potential. </w:t>
      </w:r>
      <w:r w:rsidRPr="000E29F1">
        <w:rPr>
          <w:rFonts w:ascii="Times New Roman" w:hAnsi="Times New Roman" w:cs="Times New Roman"/>
          <w:i/>
          <w:iCs/>
        </w:rPr>
        <w:t>Science</w:t>
      </w:r>
      <w:r w:rsidRPr="000E29F1">
        <w:rPr>
          <w:rFonts w:ascii="Times New Roman" w:hAnsi="Times New Roman" w:cs="Times New Roman"/>
        </w:rPr>
        <w:t>. 2020;367(6476):405-411. doi:10.1126/science.aax0249</w:t>
      </w:r>
    </w:p>
    <w:p w:rsidR="000E29F1" w:rsidRPr="000E29F1" w:rsidRDefault="000E29F1" w:rsidP="000E29F1">
      <w:pPr>
        <w:pStyle w:val="a4"/>
        <w:rPr>
          <w:rFonts w:ascii="Times New Roman" w:hAnsi="Times New Roman" w:cs="Times New Roman"/>
        </w:rPr>
      </w:pPr>
      <w:r w:rsidRPr="000E29F1">
        <w:rPr>
          <w:rFonts w:ascii="Times New Roman" w:hAnsi="Times New Roman" w:cs="Times New Roman"/>
        </w:rPr>
        <w:t>21.</w:t>
      </w:r>
      <w:r w:rsidRPr="000E29F1">
        <w:rPr>
          <w:rFonts w:ascii="Times New Roman" w:hAnsi="Times New Roman" w:cs="Times New Roman"/>
        </w:rPr>
        <w:tab/>
        <w:t xml:space="preserve">Qiu X, Mao Q, Tang Y, et al. Reversed graph embedding resolves complex single-cell trajectories. </w:t>
      </w:r>
      <w:r w:rsidRPr="000E29F1">
        <w:rPr>
          <w:rFonts w:ascii="Times New Roman" w:hAnsi="Times New Roman" w:cs="Times New Roman"/>
          <w:i/>
          <w:iCs/>
        </w:rPr>
        <w:t>Nat Methods</w:t>
      </w:r>
      <w:r w:rsidRPr="000E29F1">
        <w:rPr>
          <w:rFonts w:ascii="Times New Roman" w:hAnsi="Times New Roman" w:cs="Times New Roman"/>
        </w:rPr>
        <w:t>. 2017;14(10):979-982. doi:10.1038/nmeth.4402</w:t>
      </w:r>
    </w:p>
    <w:p w:rsidR="000E29F1" w:rsidRPr="000E29F1" w:rsidRDefault="000E29F1" w:rsidP="000E29F1">
      <w:pPr>
        <w:pStyle w:val="a4"/>
        <w:rPr>
          <w:rFonts w:ascii="Times New Roman" w:hAnsi="Times New Roman" w:cs="Times New Roman"/>
        </w:rPr>
      </w:pPr>
      <w:r w:rsidRPr="000E29F1">
        <w:rPr>
          <w:rFonts w:ascii="Times New Roman" w:hAnsi="Times New Roman" w:cs="Times New Roman"/>
        </w:rPr>
        <w:t>22.</w:t>
      </w:r>
      <w:r w:rsidRPr="000E29F1">
        <w:rPr>
          <w:rFonts w:ascii="Times New Roman" w:hAnsi="Times New Roman" w:cs="Times New Roman"/>
        </w:rPr>
        <w:tab/>
        <w:t xml:space="preserve">Ke R, Mignardi M, Pacureanu A, et al. In situ sequencing for RNA analysis in preserved tissue and cells. </w:t>
      </w:r>
      <w:r w:rsidRPr="000E29F1">
        <w:rPr>
          <w:rFonts w:ascii="Times New Roman" w:hAnsi="Times New Roman" w:cs="Times New Roman"/>
          <w:i/>
          <w:iCs/>
        </w:rPr>
        <w:t>Nat Methods</w:t>
      </w:r>
      <w:r w:rsidRPr="000E29F1">
        <w:rPr>
          <w:rFonts w:ascii="Times New Roman" w:hAnsi="Times New Roman" w:cs="Times New Roman"/>
        </w:rPr>
        <w:t>. 2013;10(9):857-860. doi:10.1038/nmeth.2563</w:t>
      </w:r>
    </w:p>
    <w:p w:rsidR="000E29F1" w:rsidRPr="000E29F1" w:rsidRDefault="000E29F1" w:rsidP="000E29F1">
      <w:pPr>
        <w:pStyle w:val="a4"/>
        <w:rPr>
          <w:rFonts w:ascii="Times New Roman" w:hAnsi="Times New Roman" w:cs="Times New Roman"/>
        </w:rPr>
      </w:pPr>
      <w:r w:rsidRPr="000E29F1">
        <w:rPr>
          <w:rFonts w:ascii="Times New Roman" w:hAnsi="Times New Roman" w:cs="Times New Roman"/>
        </w:rPr>
        <w:t>23.</w:t>
      </w:r>
      <w:r w:rsidRPr="000E29F1">
        <w:rPr>
          <w:rFonts w:ascii="Times New Roman" w:hAnsi="Times New Roman" w:cs="Times New Roman"/>
        </w:rPr>
        <w:tab/>
        <w:t xml:space="preserve">Stringer C, Wang T, Michaelos M, Pachitariu M. Cellpose: a generalist algorithm for cellular segmentation. </w:t>
      </w:r>
      <w:r w:rsidRPr="000E29F1">
        <w:rPr>
          <w:rFonts w:ascii="Times New Roman" w:hAnsi="Times New Roman" w:cs="Times New Roman"/>
          <w:i/>
          <w:iCs/>
        </w:rPr>
        <w:t>Nat Methods</w:t>
      </w:r>
      <w:r w:rsidRPr="000E29F1">
        <w:rPr>
          <w:rFonts w:ascii="Times New Roman" w:hAnsi="Times New Roman" w:cs="Times New Roman"/>
        </w:rPr>
        <w:t>. 2021;18(1):100-106. doi:10.1038/s41592-020-01018-x</w:t>
      </w:r>
    </w:p>
    <w:p w:rsidR="000E29F1" w:rsidRPr="000E29F1" w:rsidRDefault="000E29F1" w:rsidP="000E29F1">
      <w:pPr>
        <w:pStyle w:val="a4"/>
        <w:rPr>
          <w:rFonts w:ascii="Times New Roman" w:hAnsi="Times New Roman" w:cs="Times New Roman"/>
        </w:rPr>
      </w:pPr>
      <w:r w:rsidRPr="000E29F1">
        <w:rPr>
          <w:rFonts w:ascii="Times New Roman" w:hAnsi="Times New Roman" w:cs="Times New Roman"/>
        </w:rPr>
        <w:lastRenderedPageBreak/>
        <w:t>24.</w:t>
      </w:r>
      <w:r w:rsidRPr="000E29F1">
        <w:rPr>
          <w:rFonts w:ascii="Times New Roman" w:hAnsi="Times New Roman" w:cs="Times New Roman"/>
        </w:rPr>
        <w:tab/>
        <w:t xml:space="preserve">Nirmal AJ, Sorger PK. SCIMAP: A Python Toolkit for Integrated SpatialAnalysis of Multiplexed Imaging Data. </w:t>
      </w:r>
      <w:r w:rsidRPr="000E29F1">
        <w:rPr>
          <w:rFonts w:ascii="Times New Roman" w:hAnsi="Times New Roman" w:cs="Times New Roman"/>
          <w:i/>
          <w:iCs/>
        </w:rPr>
        <w:t>JOSS</w:t>
      </w:r>
      <w:r w:rsidRPr="000E29F1">
        <w:rPr>
          <w:rFonts w:ascii="Times New Roman" w:hAnsi="Times New Roman" w:cs="Times New Roman"/>
        </w:rPr>
        <w:t>. 2024;9(97):6604. doi:10.21105/joss.06604</w:t>
      </w:r>
    </w:p>
    <w:p w:rsidR="000E29F1" w:rsidRPr="000E29F1" w:rsidRDefault="000E29F1" w:rsidP="000E29F1">
      <w:pPr>
        <w:pStyle w:val="a4"/>
        <w:rPr>
          <w:rFonts w:ascii="Times New Roman" w:hAnsi="Times New Roman" w:cs="Times New Roman"/>
        </w:rPr>
      </w:pPr>
      <w:r w:rsidRPr="000E29F1">
        <w:rPr>
          <w:rFonts w:ascii="Times New Roman" w:hAnsi="Times New Roman" w:cs="Times New Roman"/>
        </w:rPr>
        <w:t>25.</w:t>
      </w:r>
      <w:r w:rsidRPr="000E29F1">
        <w:rPr>
          <w:rFonts w:ascii="Times New Roman" w:hAnsi="Times New Roman" w:cs="Times New Roman"/>
        </w:rPr>
        <w:tab/>
        <w:t xml:space="preserve">Hänzelmann S, Castelo R, Guinney J. GSVA: gene set variation analysis for microarray and RNA-Seq data. </w:t>
      </w:r>
      <w:r w:rsidRPr="000E29F1">
        <w:rPr>
          <w:rFonts w:ascii="Times New Roman" w:hAnsi="Times New Roman" w:cs="Times New Roman"/>
          <w:i/>
          <w:iCs/>
        </w:rPr>
        <w:t>BMC Bioinformatics</w:t>
      </w:r>
      <w:r w:rsidRPr="000E29F1">
        <w:rPr>
          <w:rFonts w:ascii="Times New Roman" w:hAnsi="Times New Roman" w:cs="Times New Roman"/>
        </w:rPr>
        <w:t>. 2013;14(1):7. doi:10.1186/1471-2105-14-7</w:t>
      </w:r>
    </w:p>
    <w:p w:rsidR="000E29F1" w:rsidRPr="000E29F1" w:rsidRDefault="000E29F1" w:rsidP="000E29F1">
      <w:pPr>
        <w:pStyle w:val="a4"/>
        <w:rPr>
          <w:rFonts w:ascii="Times New Roman" w:hAnsi="Times New Roman" w:cs="Times New Roman"/>
        </w:rPr>
      </w:pPr>
      <w:r w:rsidRPr="000E29F1">
        <w:rPr>
          <w:rFonts w:ascii="Times New Roman" w:hAnsi="Times New Roman" w:cs="Times New Roman"/>
        </w:rPr>
        <w:t>26.</w:t>
      </w:r>
      <w:r w:rsidRPr="000E29F1">
        <w:rPr>
          <w:rFonts w:ascii="Times New Roman" w:hAnsi="Times New Roman" w:cs="Times New Roman"/>
        </w:rPr>
        <w:tab/>
        <w:t xml:space="preserve">Liberzon A, Birger C, Thorvaldsdóttir H, Ghandi M, Mesirov JP, Tamayo P. The Molecular Signatures Database (MSigDB) hallmark gene set collection. </w:t>
      </w:r>
      <w:r w:rsidRPr="000E29F1">
        <w:rPr>
          <w:rFonts w:ascii="Times New Roman" w:hAnsi="Times New Roman" w:cs="Times New Roman"/>
          <w:i/>
          <w:iCs/>
        </w:rPr>
        <w:t>Cell Syst</w:t>
      </w:r>
      <w:r w:rsidRPr="000E29F1">
        <w:rPr>
          <w:rFonts w:ascii="Times New Roman" w:hAnsi="Times New Roman" w:cs="Times New Roman"/>
        </w:rPr>
        <w:t>. 2015;1(6):417-425. doi:10.1016/j.cels.2015.12.004</w:t>
      </w:r>
    </w:p>
    <w:p w:rsidR="000E29F1" w:rsidRPr="000E29F1" w:rsidRDefault="000E29F1" w:rsidP="000E29F1">
      <w:pPr>
        <w:pStyle w:val="a4"/>
        <w:rPr>
          <w:rFonts w:ascii="Times New Roman" w:hAnsi="Times New Roman" w:cs="Times New Roman"/>
        </w:rPr>
      </w:pPr>
      <w:r w:rsidRPr="000E29F1">
        <w:rPr>
          <w:rFonts w:ascii="Times New Roman" w:hAnsi="Times New Roman" w:cs="Times New Roman"/>
        </w:rPr>
        <w:t>27.</w:t>
      </w:r>
      <w:r w:rsidRPr="000E29F1">
        <w:rPr>
          <w:rFonts w:ascii="Times New Roman" w:hAnsi="Times New Roman" w:cs="Times New Roman"/>
        </w:rPr>
        <w:tab/>
        <w:t xml:space="preserve">Xu L, Lu Y, Deng Z, et al. Single-cell landscape of immunocytes in patients with extrahepatic cholangiocarcinoma. </w:t>
      </w:r>
      <w:r w:rsidRPr="000E29F1">
        <w:rPr>
          <w:rFonts w:ascii="Times New Roman" w:hAnsi="Times New Roman" w:cs="Times New Roman"/>
          <w:i/>
          <w:iCs/>
        </w:rPr>
        <w:t>Journal of Translational Medicine</w:t>
      </w:r>
      <w:r w:rsidRPr="000E29F1">
        <w:rPr>
          <w:rFonts w:ascii="Times New Roman" w:hAnsi="Times New Roman" w:cs="Times New Roman"/>
        </w:rPr>
        <w:t>. 2022;20(1):210. doi:10.1186/s12967-022-03424-5</w:t>
      </w:r>
    </w:p>
    <w:p w:rsidR="000E29F1" w:rsidRPr="000E29F1" w:rsidRDefault="000E29F1" w:rsidP="000E29F1">
      <w:pPr>
        <w:pStyle w:val="a4"/>
        <w:rPr>
          <w:rFonts w:ascii="Times New Roman" w:hAnsi="Times New Roman" w:cs="Times New Roman"/>
        </w:rPr>
      </w:pPr>
      <w:r w:rsidRPr="000E29F1">
        <w:rPr>
          <w:rFonts w:ascii="Times New Roman" w:hAnsi="Times New Roman" w:cs="Times New Roman"/>
        </w:rPr>
        <w:t>28.</w:t>
      </w:r>
      <w:r w:rsidRPr="000E29F1">
        <w:rPr>
          <w:rFonts w:ascii="Times New Roman" w:hAnsi="Times New Roman" w:cs="Times New Roman"/>
        </w:rPr>
        <w:tab/>
        <w:t xml:space="preserve">Li H, Qu L, Yang Y, Zhang H, Li X, Zhang X. Single-cell Transcriptomic Architecture Unraveling the Complexity of Tumor Heterogeneity in Distal Cholangiocarcinoma. </w:t>
      </w:r>
      <w:r w:rsidRPr="000E29F1">
        <w:rPr>
          <w:rFonts w:ascii="Times New Roman" w:hAnsi="Times New Roman" w:cs="Times New Roman"/>
          <w:i/>
          <w:iCs/>
        </w:rPr>
        <w:t>Cellular and Molecular Gastroenterology and Hepatology</w:t>
      </w:r>
      <w:r w:rsidRPr="000E29F1">
        <w:rPr>
          <w:rFonts w:ascii="Times New Roman" w:hAnsi="Times New Roman" w:cs="Times New Roman"/>
        </w:rPr>
        <w:t>. 2022;13(5):1592-1609.e9. doi:10.1016/j.jcmgh.2022.02.014</w:t>
      </w:r>
    </w:p>
    <w:p w:rsidR="000E29F1" w:rsidRPr="000E29F1" w:rsidRDefault="000E29F1" w:rsidP="000E29F1">
      <w:pPr>
        <w:pStyle w:val="a4"/>
        <w:rPr>
          <w:rFonts w:ascii="Times New Roman" w:hAnsi="Times New Roman" w:cs="Times New Roman"/>
        </w:rPr>
      </w:pPr>
      <w:r w:rsidRPr="000E29F1">
        <w:rPr>
          <w:rFonts w:ascii="Times New Roman" w:hAnsi="Times New Roman" w:cs="Times New Roman"/>
        </w:rPr>
        <w:t>29.</w:t>
      </w:r>
      <w:r w:rsidRPr="000E29F1">
        <w:rPr>
          <w:rFonts w:ascii="Times New Roman" w:hAnsi="Times New Roman" w:cs="Times New Roman"/>
        </w:rPr>
        <w:tab/>
        <w:t>Heij LR. Shift in cellular crosstalk reveals the immunosuppressive environment in cholangiocarcinoma patients. In: ; 2024:s-0043-1777599. doi:10.1055/s-0043-1777599</w:t>
      </w:r>
    </w:p>
    <w:p w:rsidR="000E29F1" w:rsidRPr="000E29F1" w:rsidRDefault="000E29F1" w:rsidP="000E29F1">
      <w:pPr>
        <w:pStyle w:val="a4"/>
        <w:rPr>
          <w:rFonts w:ascii="Times New Roman" w:hAnsi="Times New Roman" w:cs="Times New Roman"/>
        </w:rPr>
      </w:pPr>
      <w:r w:rsidRPr="000E29F1">
        <w:rPr>
          <w:rFonts w:ascii="Times New Roman" w:hAnsi="Times New Roman" w:cs="Times New Roman"/>
        </w:rPr>
        <w:t>30.</w:t>
      </w:r>
      <w:r w:rsidRPr="000E29F1">
        <w:rPr>
          <w:rFonts w:ascii="Times New Roman" w:hAnsi="Times New Roman" w:cs="Times New Roman"/>
        </w:rPr>
        <w:tab/>
        <w:t xml:space="preserve">Jin S, Guerrero-Juarez CF, Zhang L, et al. Inference and analysis of cell-cell communication using CellChat. </w:t>
      </w:r>
      <w:r w:rsidRPr="000E29F1">
        <w:rPr>
          <w:rFonts w:ascii="Times New Roman" w:hAnsi="Times New Roman" w:cs="Times New Roman"/>
          <w:i/>
          <w:iCs/>
        </w:rPr>
        <w:t>Nat Commun</w:t>
      </w:r>
      <w:r w:rsidRPr="000E29F1">
        <w:rPr>
          <w:rFonts w:ascii="Times New Roman" w:hAnsi="Times New Roman" w:cs="Times New Roman"/>
        </w:rPr>
        <w:t>. 2021;12(1):1088. doi:10.1038/s41467-021-21246-9</w:t>
      </w:r>
    </w:p>
    <w:p w:rsidR="000E29F1" w:rsidRPr="000E29F1" w:rsidRDefault="000E29F1" w:rsidP="000E29F1">
      <w:pPr>
        <w:pStyle w:val="a4"/>
        <w:rPr>
          <w:rFonts w:ascii="Times New Roman" w:hAnsi="Times New Roman" w:cs="Times New Roman"/>
        </w:rPr>
      </w:pPr>
      <w:r w:rsidRPr="000E29F1">
        <w:rPr>
          <w:rFonts w:ascii="Times New Roman" w:hAnsi="Times New Roman" w:cs="Times New Roman"/>
        </w:rPr>
        <w:t>31.</w:t>
      </w:r>
      <w:r w:rsidRPr="000E29F1">
        <w:rPr>
          <w:rFonts w:ascii="Times New Roman" w:hAnsi="Times New Roman" w:cs="Times New Roman"/>
        </w:rPr>
        <w:tab/>
        <w:t xml:space="preserve">Chu Y, Dai E, Li Y, et al. Pan-cancer T cell atlas links a cellular stress response state to immunotherapy resistance. </w:t>
      </w:r>
      <w:r w:rsidRPr="000E29F1">
        <w:rPr>
          <w:rFonts w:ascii="Times New Roman" w:hAnsi="Times New Roman" w:cs="Times New Roman"/>
          <w:i/>
          <w:iCs/>
        </w:rPr>
        <w:t>Nat Med</w:t>
      </w:r>
      <w:r w:rsidRPr="000E29F1">
        <w:rPr>
          <w:rFonts w:ascii="Times New Roman" w:hAnsi="Times New Roman" w:cs="Times New Roman"/>
        </w:rPr>
        <w:t>. 2023;29(6):1550-1562. doi:10.1038/s41591-023-02371-y</w:t>
      </w:r>
    </w:p>
    <w:p w:rsidR="004D2D45" w:rsidRDefault="004D2D45" w:rsidP="004D2D45">
      <w:pPr>
        <w:rPr>
          <w:rFonts w:ascii="Times New Roman" w:hAnsi="Times New Roman" w:cs="Times New Roman"/>
        </w:rPr>
      </w:pPr>
      <w:r w:rsidRPr="004D2D45">
        <w:rPr>
          <w:rFonts w:ascii="Times New Roman" w:hAnsi="Times New Roman" w:cs="Times New Roman"/>
        </w:rPr>
        <w:fldChar w:fldCharType="end"/>
      </w:r>
    </w:p>
    <w:p w:rsidR="004D2D45" w:rsidRDefault="004D2D45">
      <w:pPr>
        <w:spacing w:after="0" w:line="240" w:lineRule="auto"/>
        <w:rPr>
          <w:rFonts w:ascii="Times New Roman" w:hAnsi="Times New Roman" w:cs="Times New Roman"/>
        </w:rPr>
      </w:pPr>
      <w:r>
        <w:rPr>
          <w:rFonts w:ascii="Times New Roman" w:hAnsi="Times New Roman" w:cs="Times New Roman"/>
        </w:rPr>
        <w:br w:type="page"/>
      </w:r>
    </w:p>
    <w:p w:rsidR="004D2D45" w:rsidRPr="00346D75" w:rsidRDefault="004D2D45" w:rsidP="004D2D45">
      <w:pPr>
        <w:spacing w:line="360" w:lineRule="auto"/>
        <w:rPr>
          <w:rFonts w:ascii="Arial" w:hAnsi="Arial" w:cs="Arial"/>
          <w:b/>
          <w:color w:val="000000" w:themeColor="text1"/>
          <w:lang w:val="en-US"/>
        </w:rPr>
      </w:pPr>
      <w:r w:rsidRPr="00346D75">
        <w:rPr>
          <w:rFonts w:ascii="Arial" w:hAnsi="Arial" w:cs="Arial"/>
          <w:b/>
          <w:color w:val="000000" w:themeColor="text1"/>
          <w:lang w:val="en-US"/>
        </w:rPr>
        <w:lastRenderedPageBreak/>
        <w:t>Supplementary Figures</w:t>
      </w:r>
    </w:p>
    <w:p w:rsidR="00655B00" w:rsidRPr="006D591B" w:rsidRDefault="00133917" w:rsidP="0067432E">
      <w:pPr>
        <w:rPr>
          <w:rFonts w:ascii="Times New Roman" w:hAnsi="Times New Roman" w:cs="Times New Roman"/>
          <w:b/>
          <w:bCs/>
          <w:sz w:val="21"/>
          <w:szCs w:val="21"/>
        </w:rPr>
      </w:pPr>
      <w:r>
        <w:rPr>
          <w:noProof/>
        </w:rPr>
        <w:drawing>
          <wp:inline distT="0" distB="0" distL="0" distR="0">
            <wp:extent cx="5278120" cy="3108960"/>
            <wp:effectExtent l="0" t="0" r="0" b="0"/>
            <wp:docPr id="39880166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8120" cy="3108960"/>
                    </a:xfrm>
                    <a:prstGeom prst="rect">
                      <a:avLst/>
                    </a:prstGeom>
                    <a:noFill/>
                    <a:ln>
                      <a:noFill/>
                    </a:ln>
                  </pic:spPr>
                </pic:pic>
              </a:graphicData>
            </a:graphic>
          </wp:inline>
        </w:drawing>
      </w:r>
      <w:r w:rsidR="00B90459" w:rsidRPr="006D591B">
        <w:rPr>
          <w:rFonts w:ascii="Times New Roman" w:hAnsi="Times New Roman" w:cs="Times New Roman" w:hint="eastAsia"/>
          <w:b/>
          <w:bCs/>
          <w:sz w:val="21"/>
          <w:szCs w:val="21"/>
        </w:rPr>
        <w:t xml:space="preserve"> </w:t>
      </w:r>
      <w:r w:rsidR="00662A43" w:rsidRPr="006D591B">
        <w:rPr>
          <w:rFonts w:ascii="Times New Roman" w:hAnsi="Times New Roman" w:cs="Times New Roman" w:hint="eastAsia"/>
          <w:b/>
          <w:bCs/>
          <w:sz w:val="21"/>
          <w:szCs w:val="21"/>
        </w:rPr>
        <w:t xml:space="preserve">Supplementary </w:t>
      </w:r>
      <w:r w:rsidR="00662A43" w:rsidRPr="006D591B">
        <w:rPr>
          <w:rFonts w:ascii="Times New Roman" w:hAnsi="Times New Roman" w:cs="Times New Roman"/>
          <w:b/>
          <w:bCs/>
          <w:sz w:val="21"/>
          <w:szCs w:val="21"/>
        </w:rPr>
        <w:t xml:space="preserve">Fig. </w:t>
      </w:r>
      <w:r w:rsidR="00B90459">
        <w:rPr>
          <w:rFonts w:ascii="Times New Roman" w:hAnsi="Times New Roman" w:cs="Times New Roman" w:hint="eastAsia"/>
          <w:b/>
          <w:bCs/>
          <w:sz w:val="21"/>
          <w:szCs w:val="21"/>
          <w:lang w:eastAsia="zh-CN"/>
        </w:rPr>
        <w:t>S</w:t>
      </w:r>
      <w:r w:rsidR="00662A43" w:rsidRPr="006D591B">
        <w:rPr>
          <w:rFonts w:ascii="Times New Roman" w:hAnsi="Times New Roman" w:cs="Times New Roman"/>
          <w:b/>
          <w:bCs/>
          <w:sz w:val="21"/>
          <w:szCs w:val="21"/>
        </w:rPr>
        <w:t xml:space="preserve">1. </w:t>
      </w:r>
      <w:r w:rsidR="00011066" w:rsidRPr="006D591B">
        <w:rPr>
          <w:rFonts w:ascii="Times New Roman" w:hAnsi="Times New Roman" w:cs="Times New Roman" w:hint="eastAsia"/>
          <w:b/>
          <w:bCs/>
          <w:sz w:val="21"/>
          <w:szCs w:val="21"/>
          <w:lang w:eastAsia="zh-CN"/>
        </w:rPr>
        <w:t>M</w:t>
      </w:r>
      <w:r w:rsidR="00662A43" w:rsidRPr="006D591B">
        <w:rPr>
          <w:rFonts w:ascii="Times New Roman" w:hAnsi="Times New Roman" w:cs="Times New Roman"/>
          <w:b/>
          <w:bCs/>
          <w:sz w:val="21"/>
          <w:szCs w:val="21"/>
        </w:rPr>
        <w:t xml:space="preserve">arkers expression of all cells. </w:t>
      </w:r>
    </w:p>
    <w:p w:rsidR="00662A43" w:rsidRPr="006D591B" w:rsidRDefault="00662A43" w:rsidP="00655B00">
      <w:pPr>
        <w:spacing w:beforeLines="50" w:before="156" w:afterLines="50" w:after="156"/>
        <w:jc w:val="both"/>
        <w:rPr>
          <w:rFonts w:ascii="Times New Roman" w:hAnsi="Times New Roman" w:cs="Times New Roman"/>
          <w:sz w:val="21"/>
          <w:szCs w:val="21"/>
        </w:rPr>
      </w:pPr>
      <w:r w:rsidRPr="006D591B">
        <w:rPr>
          <w:rFonts w:ascii="Times New Roman" w:hAnsi="Times New Roman" w:cs="Times New Roman"/>
          <w:sz w:val="21"/>
          <w:szCs w:val="21"/>
        </w:rPr>
        <w:t>(</w:t>
      </w:r>
      <w:r w:rsidRPr="006D591B">
        <w:rPr>
          <w:rFonts w:ascii="Times New Roman" w:hAnsi="Times New Roman" w:cs="Times New Roman" w:hint="eastAsia"/>
          <w:b/>
          <w:bCs/>
          <w:sz w:val="21"/>
          <w:szCs w:val="21"/>
        </w:rPr>
        <w:t>A</w:t>
      </w:r>
      <w:r w:rsidRPr="006D591B">
        <w:rPr>
          <w:rFonts w:ascii="Times New Roman" w:hAnsi="Times New Roman" w:cs="Times New Roman"/>
          <w:sz w:val="21"/>
          <w:szCs w:val="21"/>
        </w:rPr>
        <w:t>) UMAP</w:t>
      </w:r>
      <w:r w:rsidRPr="006D591B">
        <w:rPr>
          <w:rFonts w:ascii="Times New Roman" w:hAnsi="Times New Roman" w:cs="Times New Roman" w:hint="eastAsia"/>
          <w:sz w:val="21"/>
          <w:szCs w:val="21"/>
        </w:rPr>
        <w:t xml:space="preserve"> visualization</w:t>
      </w:r>
      <w:r w:rsidRPr="006D591B">
        <w:rPr>
          <w:rFonts w:ascii="Times New Roman" w:hAnsi="Times New Roman" w:cs="Times New Roman"/>
          <w:sz w:val="21"/>
          <w:szCs w:val="21"/>
        </w:rPr>
        <w:t xml:space="preserve"> of all cells colored by markers expression. Epithelial cells: </w:t>
      </w:r>
      <w:r w:rsidRPr="006D591B">
        <w:rPr>
          <w:rFonts w:ascii="Times New Roman" w:hAnsi="Times New Roman" w:cs="Times New Roman"/>
          <w:i/>
          <w:iCs/>
          <w:sz w:val="21"/>
          <w:szCs w:val="21"/>
        </w:rPr>
        <w:t>EPCAM</w:t>
      </w:r>
      <w:r w:rsidR="00011066" w:rsidRPr="006D591B">
        <w:rPr>
          <w:rFonts w:ascii="Times New Roman" w:hAnsi="Times New Roman" w:cs="Times New Roman" w:hint="eastAsia"/>
          <w:sz w:val="21"/>
          <w:szCs w:val="21"/>
          <w:lang w:eastAsia="zh-CN"/>
        </w:rPr>
        <w:t xml:space="preserve">. </w:t>
      </w:r>
      <w:r w:rsidRPr="006D591B">
        <w:rPr>
          <w:rFonts w:ascii="Times New Roman" w:hAnsi="Times New Roman" w:cs="Times New Roman"/>
          <w:sz w:val="21"/>
          <w:szCs w:val="21"/>
        </w:rPr>
        <w:t xml:space="preserve">Endothelial cells: </w:t>
      </w:r>
      <w:r w:rsidRPr="006D591B">
        <w:rPr>
          <w:rFonts w:ascii="Times New Roman" w:hAnsi="Times New Roman" w:cs="Times New Roman"/>
          <w:i/>
          <w:iCs/>
          <w:sz w:val="21"/>
          <w:szCs w:val="21"/>
        </w:rPr>
        <w:t>PECAM1</w:t>
      </w:r>
      <w:r w:rsidRPr="006D591B">
        <w:rPr>
          <w:rFonts w:ascii="Times New Roman" w:hAnsi="Times New Roman" w:cs="Times New Roman"/>
          <w:sz w:val="21"/>
          <w:szCs w:val="21"/>
        </w:rPr>
        <w:t xml:space="preserve"> and </w:t>
      </w:r>
      <w:r w:rsidRPr="006D591B">
        <w:rPr>
          <w:rFonts w:ascii="Times New Roman" w:hAnsi="Times New Roman" w:cs="Times New Roman"/>
          <w:i/>
          <w:iCs/>
          <w:sz w:val="21"/>
          <w:szCs w:val="21"/>
        </w:rPr>
        <w:t>CD34</w:t>
      </w:r>
      <w:r w:rsidRPr="006D591B">
        <w:rPr>
          <w:rFonts w:ascii="Times New Roman" w:hAnsi="Times New Roman" w:cs="Times New Roman"/>
          <w:sz w:val="21"/>
          <w:szCs w:val="21"/>
        </w:rPr>
        <w:t xml:space="preserve">. Mesenchymal cells: </w:t>
      </w:r>
      <w:r w:rsidR="00011066" w:rsidRPr="006D591B">
        <w:rPr>
          <w:rFonts w:ascii="Times New Roman" w:hAnsi="Times New Roman" w:cs="Times New Roman" w:hint="eastAsia"/>
          <w:i/>
          <w:iCs/>
          <w:sz w:val="21"/>
          <w:szCs w:val="21"/>
          <w:lang w:eastAsia="zh-CN"/>
        </w:rPr>
        <w:t>LUM</w:t>
      </w:r>
      <w:r w:rsidR="00011066" w:rsidRPr="006D591B">
        <w:rPr>
          <w:rFonts w:ascii="Times New Roman" w:hAnsi="Times New Roman" w:cs="Times New Roman" w:hint="eastAsia"/>
          <w:sz w:val="21"/>
          <w:szCs w:val="21"/>
          <w:lang w:eastAsia="zh-CN"/>
        </w:rPr>
        <w:t xml:space="preserve"> and </w:t>
      </w:r>
      <w:r w:rsidRPr="006D591B">
        <w:rPr>
          <w:rFonts w:ascii="Times New Roman" w:hAnsi="Times New Roman" w:cs="Times New Roman"/>
          <w:i/>
          <w:iCs/>
          <w:sz w:val="21"/>
          <w:szCs w:val="21"/>
        </w:rPr>
        <w:t>COL1A1</w:t>
      </w:r>
      <w:r w:rsidRPr="006D591B">
        <w:rPr>
          <w:rFonts w:ascii="Times New Roman" w:hAnsi="Times New Roman" w:cs="Times New Roman"/>
          <w:sz w:val="21"/>
          <w:szCs w:val="21"/>
        </w:rPr>
        <w:t xml:space="preserve">. Schwann cells: </w:t>
      </w:r>
      <w:r w:rsidRPr="006D591B">
        <w:rPr>
          <w:rFonts w:ascii="Times New Roman" w:hAnsi="Times New Roman" w:cs="Times New Roman"/>
          <w:i/>
          <w:iCs/>
          <w:sz w:val="21"/>
          <w:szCs w:val="21"/>
        </w:rPr>
        <w:t>GAP43</w:t>
      </w:r>
      <w:r w:rsidR="00011066" w:rsidRPr="006D591B">
        <w:rPr>
          <w:rFonts w:ascii="Times New Roman" w:hAnsi="Times New Roman" w:cs="Times New Roman" w:hint="eastAsia"/>
          <w:sz w:val="21"/>
          <w:szCs w:val="21"/>
          <w:lang w:eastAsia="zh-CN"/>
        </w:rPr>
        <w:t>,</w:t>
      </w:r>
      <w:r w:rsidR="00011066" w:rsidRPr="006D591B">
        <w:rPr>
          <w:rFonts w:ascii="Times New Roman" w:hAnsi="Times New Roman" w:cs="Times New Roman" w:hint="eastAsia"/>
          <w:i/>
          <w:iCs/>
          <w:sz w:val="21"/>
          <w:szCs w:val="21"/>
          <w:lang w:eastAsia="zh-CN"/>
        </w:rPr>
        <w:t xml:space="preserve"> NCAM1</w:t>
      </w:r>
      <w:r w:rsidR="00011066" w:rsidRPr="006D591B">
        <w:rPr>
          <w:rFonts w:ascii="Times New Roman" w:hAnsi="Times New Roman" w:cs="Times New Roman" w:hint="eastAsia"/>
          <w:sz w:val="21"/>
          <w:szCs w:val="21"/>
          <w:lang w:eastAsia="zh-CN"/>
        </w:rPr>
        <w:t>,</w:t>
      </w:r>
      <w:r w:rsidR="00011066" w:rsidRPr="006D591B">
        <w:rPr>
          <w:rFonts w:ascii="Times New Roman" w:hAnsi="Times New Roman" w:cs="Times New Roman" w:hint="eastAsia"/>
          <w:i/>
          <w:iCs/>
          <w:sz w:val="21"/>
          <w:szCs w:val="21"/>
          <w:lang w:eastAsia="zh-CN"/>
        </w:rPr>
        <w:t xml:space="preserve"> NGFR </w:t>
      </w:r>
      <w:r w:rsidR="00011066" w:rsidRPr="006D591B">
        <w:rPr>
          <w:rFonts w:ascii="Times New Roman" w:hAnsi="Times New Roman" w:cs="Times New Roman" w:hint="eastAsia"/>
          <w:sz w:val="21"/>
          <w:szCs w:val="21"/>
          <w:lang w:eastAsia="zh-CN"/>
        </w:rPr>
        <w:t>and</w:t>
      </w:r>
      <w:r w:rsidR="00011066" w:rsidRPr="006D591B">
        <w:rPr>
          <w:rFonts w:ascii="Times New Roman" w:hAnsi="Times New Roman" w:cs="Times New Roman"/>
          <w:sz w:val="21"/>
          <w:szCs w:val="21"/>
        </w:rPr>
        <w:t xml:space="preserve"> </w:t>
      </w:r>
      <w:r w:rsidR="00011066" w:rsidRPr="006D591B">
        <w:rPr>
          <w:rFonts w:ascii="Times New Roman" w:hAnsi="Times New Roman" w:cs="Times New Roman"/>
          <w:i/>
          <w:iCs/>
          <w:sz w:val="21"/>
          <w:szCs w:val="21"/>
        </w:rPr>
        <w:t>S100B</w:t>
      </w:r>
      <w:r w:rsidRPr="006D591B">
        <w:rPr>
          <w:rFonts w:ascii="Times New Roman" w:hAnsi="Times New Roman" w:cs="Times New Roman"/>
          <w:sz w:val="21"/>
          <w:szCs w:val="21"/>
        </w:rPr>
        <w:t xml:space="preserve">. Myeloid cells: </w:t>
      </w:r>
      <w:r w:rsidR="00011066" w:rsidRPr="006D591B">
        <w:rPr>
          <w:rFonts w:ascii="Times New Roman" w:hAnsi="Times New Roman" w:cs="Times New Roman" w:hint="eastAsia"/>
          <w:i/>
          <w:iCs/>
          <w:sz w:val="21"/>
          <w:szCs w:val="21"/>
          <w:lang w:eastAsia="zh-CN"/>
        </w:rPr>
        <w:t>CD163</w:t>
      </w:r>
      <w:r w:rsidRPr="006D591B">
        <w:rPr>
          <w:rFonts w:ascii="Times New Roman" w:hAnsi="Times New Roman" w:cs="Times New Roman"/>
          <w:sz w:val="21"/>
          <w:szCs w:val="21"/>
        </w:rPr>
        <w:t xml:space="preserve"> and </w:t>
      </w:r>
      <w:r w:rsidRPr="006D591B">
        <w:rPr>
          <w:rFonts w:ascii="Times New Roman" w:hAnsi="Times New Roman" w:cs="Times New Roman"/>
          <w:i/>
          <w:iCs/>
          <w:sz w:val="21"/>
          <w:szCs w:val="21"/>
        </w:rPr>
        <w:t>CD1</w:t>
      </w:r>
      <w:r w:rsidR="00011066" w:rsidRPr="006D591B">
        <w:rPr>
          <w:rFonts w:ascii="Times New Roman" w:hAnsi="Times New Roman" w:cs="Times New Roman" w:hint="eastAsia"/>
          <w:i/>
          <w:iCs/>
          <w:sz w:val="21"/>
          <w:szCs w:val="21"/>
          <w:lang w:eastAsia="zh-CN"/>
        </w:rPr>
        <w:t>4</w:t>
      </w:r>
      <w:r w:rsidRPr="006D591B">
        <w:rPr>
          <w:rFonts w:ascii="Times New Roman" w:hAnsi="Times New Roman" w:cs="Times New Roman"/>
          <w:sz w:val="21"/>
          <w:szCs w:val="21"/>
        </w:rPr>
        <w:t>. B cells</w:t>
      </w:r>
      <w:r w:rsidR="00011066" w:rsidRPr="006D591B">
        <w:rPr>
          <w:rFonts w:ascii="Times New Roman" w:hAnsi="Times New Roman" w:cs="Times New Roman" w:hint="eastAsia"/>
          <w:sz w:val="21"/>
          <w:szCs w:val="21"/>
          <w:lang w:eastAsia="zh-CN"/>
        </w:rPr>
        <w:t xml:space="preserve"> and plasma B cells</w:t>
      </w:r>
      <w:r w:rsidRPr="006D591B">
        <w:rPr>
          <w:rFonts w:ascii="Times New Roman" w:hAnsi="Times New Roman" w:cs="Times New Roman"/>
          <w:sz w:val="21"/>
          <w:szCs w:val="21"/>
        </w:rPr>
        <w:t xml:space="preserve">: </w:t>
      </w:r>
      <w:r w:rsidRPr="006D591B">
        <w:rPr>
          <w:rFonts w:ascii="Times New Roman" w:hAnsi="Times New Roman" w:cs="Times New Roman"/>
          <w:i/>
          <w:iCs/>
          <w:sz w:val="21"/>
          <w:szCs w:val="21"/>
        </w:rPr>
        <w:t>CD79A</w:t>
      </w:r>
      <w:r w:rsidR="00011066" w:rsidRPr="006D591B">
        <w:rPr>
          <w:rFonts w:ascii="Times New Roman" w:hAnsi="Times New Roman" w:cs="Times New Roman" w:hint="eastAsia"/>
          <w:sz w:val="21"/>
          <w:szCs w:val="21"/>
          <w:lang w:eastAsia="zh-CN"/>
        </w:rPr>
        <w:t>.</w:t>
      </w:r>
      <w:r w:rsidRPr="006D591B">
        <w:rPr>
          <w:rFonts w:ascii="Times New Roman" w:hAnsi="Times New Roman" w:cs="Times New Roman"/>
          <w:sz w:val="21"/>
          <w:szCs w:val="21"/>
        </w:rPr>
        <w:t xml:space="preserve"> </w:t>
      </w:r>
      <w:r w:rsidR="00011066" w:rsidRPr="006D591B">
        <w:rPr>
          <w:rFonts w:ascii="Times New Roman" w:hAnsi="Times New Roman" w:cs="Times New Roman" w:hint="eastAsia"/>
          <w:sz w:val="21"/>
          <w:szCs w:val="21"/>
          <w:lang w:eastAsia="zh-CN"/>
        </w:rPr>
        <w:t>T</w:t>
      </w:r>
      <w:r w:rsidRPr="006D591B">
        <w:rPr>
          <w:rFonts w:ascii="Times New Roman" w:hAnsi="Times New Roman" w:cs="Times New Roman"/>
          <w:sz w:val="21"/>
          <w:szCs w:val="21"/>
        </w:rPr>
        <w:t xml:space="preserve"> cells: </w:t>
      </w:r>
      <w:r w:rsidRPr="006D591B">
        <w:rPr>
          <w:rFonts w:ascii="Times New Roman" w:hAnsi="Times New Roman" w:cs="Times New Roman"/>
          <w:i/>
          <w:iCs/>
          <w:sz w:val="21"/>
          <w:szCs w:val="21"/>
        </w:rPr>
        <w:t>CD3D</w:t>
      </w:r>
      <w:r w:rsidRPr="006D591B">
        <w:rPr>
          <w:rFonts w:ascii="Times New Roman" w:hAnsi="Times New Roman" w:cs="Times New Roman"/>
          <w:sz w:val="21"/>
          <w:szCs w:val="21"/>
        </w:rPr>
        <w:t xml:space="preserve">. Mast cells: </w:t>
      </w:r>
      <w:r w:rsidR="00011066" w:rsidRPr="006D591B">
        <w:rPr>
          <w:rFonts w:ascii="Times New Roman" w:hAnsi="Times New Roman" w:cs="Times New Roman"/>
          <w:i/>
          <w:iCs/>
          <w:sz w:val="21"/>
          <w:szCs w:val="21"/>
        </w:rPr>
        <w:t>CPA3</w:t>
      </w:r>
      <w:r w:rsidR="00011066" w:rsidRPr="006D591B">
        <w:rPr>
          <w:rFonts w:ascii="Times New Roman" w:hAnsi="Times New Roman" w:cs="Times New Roman" w:hint="eastAsia"/>
          <w:i/>
          <w:iCs/>
          <w:sz w:val="21"/>
          <w:szCs w:val="21"/>
          <w:lang w:eastAsia="zh-CN"/>
        </w:rPr>
        <w:t xml:space="preserve"> </w:t>
      </w:r>
      <w:r w:rsidRPr="006D591B">
        <w:rPr>
          <w:rFonts w:ascii="Times New Roman" w:hAnsi="Times New Roman" w:cs="Times New Roman"/>
          <w:sz w:val="21"/>
          <w:szCs w:val="21"/>
        </w:rPr>
        <w:t xml:space="preserve">and </w:t>
      </w:r>
      <w:r w:rsidR="00011066" w:rsidRPr="006D591B">
        <w:rPr>
          <w:rFonts w:ascii="Times New Roman" w:hAnsi="Times New Roman" w:cs="Times New Roman" w:hint="eastAsia"/>
          <w:i/>
          <w:iCs/>
          <w:sz w:val="21"/>
          <w:szCs w:val="21"/>
          <w:lang w:eastAsia="zh-CN"/>
        </w:rPr>
        <w:t>TPSAB1</w:t>
      </w:r>
      <w:r w:rsidRPr="006D591B">
        <w:rPr>
          <w:rFonts w:ascii="Times New Roman" w:hAnsi="Times New Roman" w:cs="Times New Roman"/>
          <w:sz w:val="21"/>
          <w:szCs w:val="21"/>
        </w:rPr>
        <w:t>.</w:t>
      </w:r>
    </w:p>
    <w:p w:rsidR="00662A43" w:rsidRPr="006D591B" w:rsidRDefault="00662A43" w:rsidP="00655B00">
      <w:pPr>
        <w:spacing w:beforeLines="50" w:before="156" w:afterLines="50" w:after="156" w:line="240" w:lineRule="auto"/>
        <w:rPr>
          <w:rFonts w:ascii="Times New Roman" w:hAnsi="Times New Roman" w:cs="Times New Roman"/>
          <w:sz w:val="21"/>
          <w:szCs w:val="21"/>
        </w:rPr>
      </w:pPr>
      <w:r w:rsidRPr="006D591B">
        <w:rPr>
          <w:rFonts w:ascii="Times New Roman" w:hAnsi="Times New Roman" w:cs="Times New Roman"/>
          <w:sz w:val="21"/>
          <w:szCs w:val="21"/>
        </w:rPr>
        <w:br w:type="page"/>
      </w:r>
    </w:p>
    <w:p w:rsidR="00655B00" w:rsidRPr="006D591B" w:rsidRDefault="00E23463" w:rsidP="00655B00">
      <w:pPr>
        <w:spacing w:beforeLines="50" w:before="156" w:afterLines="50" w:after="156"/>
        <w:jc w:val="both"/>
        <w:rPr>
          <w:rFonts w:ascii="Times New Roman" w:hAnsi="Times New Roman" w:cs="Times New Roman"/>
          <w:b/>
          <w:bCs/>
          <w:sz w:val="21"/>
          <w:szCs w:val="21"/>
        </w:rPr>
      </w:pPr>
      <w:r>
        <w:rPr>
          <w:noProof/>
        </w:rPr>
        <w:lastRenderedPageBreak/>
        <w:drawing>
          <wp:anchor distT="0" distB="0" distL="114300" distR="114300" simplePos="0" relativeHeight="251660288" behindDoc="0" locked="0" layoutInCell="1" allowOverlap="1">
            <wp:simplePos x="0" y="0"/>
            <wp:positionH relativeFrom="margin">
              <wp:align>right</wp:align>
            </wp:positionH>
            <wp:positionV relativeFrom="paragraph">
              <wp:posOffset>168250</wp:posOffset>
            </wp:positionV>
            <wp:extent cx="5278120" cy="4915535"/>
            <wp:effectExtent l="0" t="0" r="0" b="0"/>
            <wp:wrapTopAndBottom/>
            <wp:docPr id="48520531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b="6864"/>
                    <a:stretch/>
                  </pic:blipFill>
                  <pic:spPr bwMode="auto">
                    <a:xfrm>
                      <a:off x="0" y="0"/>
                      <a:ext cx="5278120" cy="4915814"/>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D71012" w:rsidRPr="00D71012">
        <w:rPr>
          <w:noProof/>
          <w14:ligatures w14:val="standardContextual"/>
        </w:rPr>
        <w:t xml:space="preserve"> </w:t>
      </w:r>
      <w:r w:rsidR="00662A43" w:rsidRPr="006D591B">
        <w:rPr>
          <w:rFonts w:ascii="Times New Roman" w:hAnsi="Times New Roman" w:cs="Times New Roman" w:hint="eastAsia"/>
          <w:b/>
          <w:bCs/>
          <w:sz w:val="21"/>
          <w:szCs w:val="21"/>
        </w:rPr>
        <w:t>Supplementary</w:t>
      </w:r>
      <w:r w:rsidR="00662A43" w:rsidRPr="006D591B">
        <w:rPr>
          <w:rFonts w:hint="eastAsia"/>
          <w:noProof/>
          <w:sz w:val="21"/>
          <w:szCs w:val="21"/>
          <w14:ligatures w14:val="standardContextual"/>
        </w:rPr>
        <w:t xml:space="preserve"> </w:t>
      </w:r>
      <w:r w:rsidR="00662A43" w:rsidRPr="006D591B">
        <w:rPr>
          <w:rFonts w:ascii="Times New Roman" w:hAnsi="Times New Roman" w:cs="Times New Roman"/>
          <w:b/>
          <w:bCs/>
          <w:sz w:val="21"/>
          <w:szCs w:val="21"/>
        </w:rPr>
        <w:t>Fig.</w:t>
      </w:r>
      <w:r w:rsidR="00886A06">
        <w:rPr>
          <w:rFonts w:ascii="Times New Roman" w:hAnsi="Times New Roman" w:cs="Times New Roman" w:hint="eastAsia"/>
          <w:b/>
          <w:bCs/>
          <w:sz w:val="21"/>
          <w:szCs w:val="21"/>
          <w:lang w:eastAsia="zh-CN"/>
        </w:rPr>
        <w:t xml:space="preserve"> S</w:t>
      </w:r>
      <w:r w:rsidR="00662A43" w:rsidRPr="006D591B">
        <w:rPr>
          <w:rFonts w:ascii="Times New Roman" w:hAnsi="Times New Roman" w:cs="Times New Roman"/>
          <w:b/>
          <w:bCs/>
          <w:sz w:val="21"/>
          <w:szCs w:val="21"/>
        </w:rPr>
        <w:t>2</w:t>
      </w:r>
      <w:r w:rsidR="00B90459">
        <w:rPr>
          <w:rFonts w:ascii="Times New Roman" w:hAnsi="Times New Roman" w:cs="Times New Roman" w:hint="eastAsia"/>
          <w:b/>
          <w:bCs/>
          <w:sz w:val="21"/>
          <w:szCs w:val="21"/>
          <w:lang w:eastAsia="zh-CN"/>
        </w:rPr>
        <w:t>.</w:t>
      </w:r>
      <w:r w:rsidR="00662A43" w:rsidRPr="006D591B">
        <w:rPr>
          <w:rFonts w:ascii="Times New Roman" w:hAnsi="Times New Roman" w:cs="Times New Roman"/>
          <w:b/>
          <w:bCs/>
          <w:sz w:val="21"/>
          <w:szCs w:val="21"/>
        </w:rPr>
        <w:t xml:space="preserve"> inferCNV analysis of epithelial cells. </w:t>
      </w:r>
    </w:p>
    <w:p w:rsidR="00662A43" w:rsidRPr="006D591B" w:rsidRDefault="00F061AF" w:rsidP="00655B00">
      <w:pPr>
        <w:spacing w:beforeLines="50" w:before="156" w:afterLines="50" w:after="156"/>
        <w:jc w:val="both"/>
        <w:rPr>
          <w:rFonts w:ascii="Times New Roman" w:hAnsi="Times New Roman" w:cs="Times New Roman"/>
          <w:sz w:val="21"/>
          <w:szCs w:val="21"/>
        </w:rPr>
      </w:pPr>
      <w:r w:rsidRPr="006D591B">
        <w:rPr>
          <w:rFonts w:ascii="Times New Roman" w:hAnsi="Times New Roman" w:cs="Times New Roman"/>
          <w:sz w:val="21"/>
          <w:szCs w:val="21"/>
        </w:rPr>
        <w:t xml:space="preserve"> </w:t>
      </w:r>
      <w:r w:rsidR="00662A43" w:rsidRPr="006D591B">
        <w:rPr>
          <w:rFonts w:ascii="Times New Roman" w:hAnsi="Times New Roman" w:cs="Times New Roman"/>
          <w:sz w:val="21"/>
          <w:szCs w:val="21"/>
        </w:rPr>
        <w:t>(</w:t>
      </w:r>
      <w:r w:rsidR="00662A43" w:rsidRPr="006D591B">
        <w:rPr>
          <w:rFonts w:ascii="Times New Roman" w:hAnsi="Times New Roman" w:cs="Times New Roman"/>
          <w:b/>
          <w:bCs/>
          <w:sz w:val="21"/>
          <w:szCs w:val="21"/>
        </w:rPr>
        <w:t>A</w:t>
      </w:r>
      <w:r w:rsidR="00662A43" w:rsidRPr="006D591B">
        <w:rPr>
          <w:rFonts w:ascii="Times New Roman" w:hAnsi="Times New Roman" w:cs="Times New Roman"/>
          <w:sz w:val="21"/>
          <w:szCs w:val="21"/>
        </w:rPr>
        <w:t xml:space="preserve">) Copy number </w:t>
      </w:r>
      <w:r w:rsidR="00662A43" w:rsidRPr="006D591B">
        <w:rPr>
          <w:rFonts w:ascii="Times New Roman" w:hAnsi="Times New Roman" w:cs="Times New Roman" w:hint="eastAsia"/>
          <w:sz w:val="21"/>
          <w:szCs w:val="21"/>
        </w:rPr>
        <w:t>variation (CNV)</w:t>
      </w:r>
      <w:r w:rsidR="00662A43" w:rsidRPr="006D591B">
        <w:rPr>
          <w:rFonts w:ascii="Times New Roman" w:hAnsi="Times New Roman" w:cs="Times New Roman"/>
          <w:sz w:val="21"/>
          <w:szCs w:val="21"/>
        </w:rPr>
        <w:t xml:space="preserve"> analyzed by inferCNV to recognize malignant and non-malignant epithelial cells. The observation heatmap is ranked by CNV groups which is manually set as 20. (</w:t>
      </w:r>
      <w:r w:rsidR="00662A43" w:rsidRPr="006D591B">
        <w:rPr>
          <w:rFonts w:ascii="Times New Roman" w:hAnsi="Times New Roman" w:cs="Times New Roman"/>
          <w:b/>
          <w:bCs/>
          <w:sz w:val="21"/>
          <w:szCs w:val="21"/>
        </w:rPr>
        <w:t>B</w:t>
      </w:r>
      <w:r w:rsidR="00662A43" w:rsidRPr="006D591B">
        <w:rPr>
          <w:rFonts w:ascii="Times New Roman" w:hAnsi="Times New Roman" w:cs="Times New Roman"/>
          <w:sz w:val="21"/>
          <w:szCs w:val="21"/>
        </w:rPr>
        <w:t>) C</w:t>
      </w:r>
      <w:r w:rsidR="00662A43" w:rsidRPr="006D591B">
        <w:rPr>
          <w:rFonts w:ascii="Times New Roman" w:hAnsi="Times New Roman" w:cs="Times New Roman" w:hint="eastAsia"/>
          <w:sz w:val="21"/>
          <w:szCs w:val="21"/>
        </w:rPr>
        <w:t>NV</w:t>
      </w:r>
      <w:r w:rsidR="00662A43" w:rsidRPr="006D591B">
        <w:rPr>
          <w:rFonts w:ascii="Times New Roman" w:hAnsi="Times New Roman" w:cs="Times New Roman"/>
          <w:sz w:val="21"/>
          <w:szCs w:val="21"/>
        </w:rPr>
        <w:t xml:space="preserve"> analyzed by inferCNV to recognize malignant and non-malignant epithelial cells. The observation heatmap is ranked by patients. iCCA4 is removed due to cells less than 50. (</w:t>
      </w:r>
      <w:r w:rsidR="00662A43" w:rsidRPr="006D591B">
        <w:rPr>
          <w:rFonts w:ascii="Times New Roman" w:hAnsi="Times New Roman" w:cs="Times New Roman"/>
          <w:b/>
          <w:bCs/>
          <w:sz w:val="21"/>
          <w:szCs w:val="21"/>
        </w:rPr>
        <w:t>C</w:t>
      </w:r>
      <w:r w:rsidR="00662A43" w:rsidRPr="006D591B">
        <w:rPr>
          <w:rFonts w:ascii="Times New Roman" w:hAnsi="Times New Roman" w:cs="Times New Roman"/>
          <w:sz w:val="21"/>
          <w:szCs w:val="21"/>
        </w:rPr>
        <w:t>) CNV scores of each CNV group corresponding to (A) and (B). Group 3, 5 and 6</w:t>
      </w:r>
      <w:r w:rsidR="00662A43" w:rsidRPr="006D591B">
        <w:rPr>
          <w:rFonts w:ascii="Times New Roman" w:hAnsi="Times New Roman" w:cs="Times New Roman" w:hint="eastAsia"/>
          <w:sz w:val="21"/>
          <w:szCs w:val="21"/>
        </w:rPr>
        <w:t xml:space="preserve">, </w:t>
      </w:r>
      <w:r w:rsidR="00662A43" w:rsidRPr="006D591B">
        <w:rPr>
          <w:rFonts w:ascii="Times New Roman" w:hAnsi="Times New Roman" w:cs="Times New Roman"/>
          <w:sz w:val="21"/>
          <w:szCs w:val="21"/>
        </w:rPr>
        <w:t>mainly deriv</w:t>
      </w:r>
      <w:r w:rsidR="00662A43" w:rsidRPr="006D591B">
        <w:rPr>
          <w:rFonts w:ascii="Times New Roman" w:hAnsi="Times New Roman" w:cs="Times New Roman" w:hint="eastAsia"/>
          <w:sz w:val="21"/>
          <w:szCs w:val="21"/>
        </w:rPr>
        <w:t>ed</w:t>
      </w:r>
      <w:r w:rsidR="00662A43" w:rsidRPr="006D591B">
        <w:rPr>
          <w:rFonts w:ascii="Times New Roman" w:hAnsi="Times New Roman" w:cs="Times New Roman"/>
          <w:sz w:val="21"/>
          <w:szCs w:val="21"/>
        </w:rPr>
        <w:t xml:space="preserve"> from non-tumor sample</w:t>
      </w:r>
      <w:r w:rsidR="00662A43" w:rsidRPr="006D591B">
        <w:rPr>
          <w:rFonts w:ascii="Times New Roman" w:hAnsi="Times New Roman" w:cs="Times New Roman" w:hint="eastAsia"/>
          <w:sz w:val="21"/>
          <w:szCs w:val="21"/>
        </w:rPr>
        <w:t xml:space="preserve">s, </w:t>
      </w:r>
      <w:r w:rsidR="00662A43" w:rsidRPr="006D591B">
        <w:rPr>
          <w:rFonts w:ascii="Times New Roman" w:hAnsi="Times New Roman" w:cs="Times New Roman"/>
          <w:sz w:val="21"/>
          <w:szCs w:val="21"/>
        </w:rPr>
        <w:t>are classified</w:t>
      </w:r>
      <w:r w:rsidR="00662A43" w:rsidRPr="006D591B">
        <w:rPr>
          <w:rFonts w:ascii="Times New Roman" w:hAnsi="Times New Roman" w:cs="Times New Roman" w:hint="eastAsia"/>
          <w:sz w:val="21"/>
          <w:szCs w:val="21"/>
        </w:rPr>
        <w:t xml:space="preserve"> as</w:t>
      </w:r>
      <w:r w:rsidR="00662A43" w:rsidRPr="006D591B">
        <w:rPr>
          <w:rFonts w:ascii="Times New Roman" w:hAnsi="Times New Roman" w:cs="Times New Roman"/>
          <w:sz w:val="21"/>
          <w:szCs w:val="21"/>
        </w:rPr>
        <w:t xml:space="preserve"> non-malignant epithelial cells due to lower CNV scores.</w:t>
      </w:r>
      <w:r w:rsidR="00242C03">
        <w:rPr>
          <w:rFonts w:ascii="Times New Roman" w:hAnsi="Times New Roman" w:cs="Times New Roman" w:hint="eastAsia"/>
          <w:sz w:val="21"/>
          <w:szCs w:val="21"/>
          <w:lang w:eastAsia="zh-CN"/>
        </w:rPr>
        <w:t xml:space="preserve"> </w:t>
      </w:r>
      <w:r w:rsidR="00662A43" w:rsidRPr="006D591B">
        <w:rPr>
          <w:rFonts w:ascii="Times New Roman" w:hAnsi="Times New Roman" w:cs="Times New Roman"/>
          <w:sz w:val="21"/>
          <w:szCs w:val="21"/>
        </w:rPr>
        <w:t>(</w:t>
      </w:r>
      <w:r w:rsidR="00662A43" w:rsidRPr="006D591B">
        <w:rPr>
          <w:rFonts w:ascii="Times New Roman" w:hAnsi="Times New Roman" w:cs="Times New Roman"/>
          <w:b/>
          <w:bCs/>
          <w:sz w:val="21"/>
          <w:szCs w:val="21"/>
        </w:rPr>
        <w:t>D</w:t>
      </w:r>
      <w:r w:rsidR="00662A43" w:rsidRPr="006D591B">
        <w:rPr>
          <w:rFonts w:ascii="Times New Roman" w:hAnsi="Times New Roman" w:cs="Times New Roman"/>
          <w:sz w:val="21"/>
          <w:szCs w:val="21"/>
        </w:rPr>
        <w:t xml:space="preserve">) Proportions of non-malignant and malignant cell in each patient. </w:t>
      </w:r>
    </w:p>
    <w:p w:rsidR="00662A43" w:rsidRDefault="00662A43">
      <w:pPr>
        <w:spacing w:after="0" w:line="240" w:lineRule="auto"/>
        <w:rPr>
          <w:rFonts w:ascii="Times New Roman" w:hAnsi="Times New Roman" w:cs="Times New Roman"/>
        </w:rPr>
      </w:pPr>
      <w:r>
        <w:rPr>
          <w:rFonts w:ascii="Times New Roman" w:hAnsi="Times New Roman" w:cs="Times New Roman"/>
        </w:rPr>
        <w:br w:type="page"/>
      </w:r>
    </w:p>
    <w:p w:rsidR="0048251E" w:rsidRPr="006D591B" w:rsidRDefault="00CF6D81" w:rsidP="000906FE">
      <w:pPr>
        <w:rPr>
          <w:rFonts w:ascii="Times New Roman" w:hAnsi="Times New Roman" w:cs="Times New Roman"/>
          <w:b/>
          <w:bCs/>
          <w:sz w:val="21"/>
          <w:szCs w:val="21"/>
        </w:rPr>
      </w:pPr>
      <w:r>
        <w:rPr>
          <w:noProof/>
        </w:rPr>
        <w:lastRenderedPageBreak/>
        <w:drawing>
          <wp:inline distT="0" distB="0" distL="0" distR="0">
            <wp:extent cx="5278120" cy="4653915"/>
            <wp:effectExtent l="0" t="0" r="0" b="0"/>
            <wp:docPr id="148582373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78120" cy="4653915"/>
                    </a:xfrm>
                    <a:prstGeom prst="rect">
                      <a:avLst/>
                    </a:prstGeom>
                    <a:noFill/>
                    <a:ln>
                      <a:noFill/>
                    </a:ln>
                  </pic:spPr>
                </pic:pic>
              </a:graphicData>
            </a:graphic>
          </wp:inline>
        </w:drawing>
      </w:r>
      <w:r w:rsidR="00AF09A3" w:rsidRPr="006D591B">
        <w:rPr>
          <w:rFonts w:ascii="Times New Roman" w:hAnsi="Times New Roman" w:cs="Times New Roman" w:hint="eastAsia"/>
          <w:b/>
          <w:bCs/>
          <w:sz w:val="21"/>
          <w:szCs w:val="21"/>
        </w:rPr>
        <w:t>Supplementary</w:t>
      </w:r>
      <w:r w:rsidR="00AF09A3" w:rsidRPr="006D591B">
        <w:rPr>
          <w:rFonts w:hint="eastAsia"/>
          <w:noProof/>
          <w:sz w:val="21"/>
          <w:szCs w:val="21"/>
          <w14:ligatures w14:val="standardContextual"/>
        </w:rPr>
        <w:t xml:space="preserve"> </w:t>
      </w:r>
      <w:r w:rsidR="00AF09A3" w:rsidRPr="006D591B">
        <w:rPr>
          <w:rFonts w:ascii="Times New Roman" w:hAnsi="Times New Roman" w:cs="Times New Roman"/>
          <w:b/>
          <w:bCs/>
          <w:sz w:val="21"/>
          <w:szCs w:val="21"/>
        </w:rPr>
        <w:t xml:space="preserve">Fig. </w:t>
      </w:r>
      <w:r w:rsidR="00886A06">
        <w:rPr>
          <w:rFonts w:ascii="Times New Roman" w:hAnsi="Times New Roman" w:cs="Times New Roman" w:hint="eastAsia"/>
          <w:b/>
          <w:bCs/>
          <w:sz w:val="21"/>
          <w:szCs w:val="21"/>
          <w:lang w:eastAsia="zh-CN"/>
        </w:rPr>
        <w:t>S</w:t>
      </w:r>
      <w:r w:rsidR="00AF09A3" w:rsidRPr="006D591B">
        <w:rPr>
          <w:rFonts w:ascii="Times New Roman" w:hAnsi="Times New Roman" w:cs="Times New Roman" w:hint="eastAsia"/>
          <w:b/>
          <w:bCs/>
          <w:sz w:val="21"/>
          <w:szCs w:val="21"/>
          <w:lang w:eastAsia="zh-CN"/>
        </w:rPr>
        <w:t>3</w:t>
      </w:r>
      <w:r w:rsidR="00B90459">
        <w:rPr>
          <w:rFonts w:ascii="Times New Roman" w:hAnsi="Times New Roman" w:cs="Times New Roman" w:hint="eastAsia"/>
          <w:b/>
          <w:bCs/>
          <w:sz w:val="21"/>
          <w:szCs w:val="21"/>
          <w:lang w:eastAsia="zh-CN"/>
        </w:rPr>
        <w:t>.</w:t>
      </w:r>
      <w:r w:rsidR="00AF09A3" w:rsidRPr="006D591B">
        <w:rPr>
          <w:rFonts w:ascii="Times New Roman" w:hAnsi="Times New Roman" w:cs="Times New Roman"/>
          <w:b/>
          <w:bCs/>
          <w:sz w:val="21"/>
          <w:szCs w:val="21"/>
        </w:rPr>
        <w:t xml:space="preserve"> </w:t>
      </w:r>
      <w:r w:rsidR="00FD0B25" w:rsidRPr="006D591B">
        <w:rPr>
          <w:rFonts w:ascii="Times New Roman" w:hAnsi="Times New Roman" w:cs="Times New Roman" w:hint="eastAsia"/>
          <w:b/>
          <w:bCs/>
          <w:sz w:val="21"/>
          <w:szCs w:val="21"/>
          <w:lang w:eastAsia="zh-CN"/>
        </w:rPr>
        <w:t xml:space="preserve">Subtyping of benign </w:t>
      </w:r>
      <w:r w:rsidR="00AF09A3" w:rsidRPr="006D591B">
        <w:rPr>
          <w:rFonts w:ascii="Times New Roman" w:hAnsi="Times New Roman" w:cs="Times New Roman"/>
          <w:b/>
          <w:bCs/>
          <w:sz w:val="21"/>
          <w:szCs w:val="21"/>
        </w:rPr>
        <w:t>epithelial cells.</w:t>
      </w:r>
    </w:p>
    <w:p w:rsidR="00AF09A3" w:rsidRPr="006D591B" w:rsidRDefault="00AF09A3" w:rsidP="0048251E">
      <w:pPr>
        <w:spacing w:beforeLines="50" w:before="156" w:afterLines="50" w:after="156"/>
        <w:jc w:val="both"/>
        <w:rPr>
          <w:rFonts w:ascii="Times New Roman" w:hAnsi="Times New Roman" w:cs="Times New Roman"/>
          <w:sz w:val="21"/>
          <w:szCs w:val="21"/>
        </w:rPr>
      </w:pPr>
      <w:r w:rsidRPr="006D591B">
        <w:rPr>
          <w:rFonts w:ascii="Times New Roman" w:hAnsi="Times New Roman" w:cs="Times New Roman" w:hint="eastAsia"/>
          <w:sz w:val="21"/>
          <w:szCs w:val="21"/>
        </w:rPr>
        <w:t>(</w:t>
      </w:r>
      <w:r w:rsidR="00FD0B25" w:rsidRPr="006D591B">
        <w:rPr>
          <w:rFonts w:ascii="Times New Roman" w:hAnsi="Times New Roman" w:cs="Times New Roman" w:hint="eastAsia"/>
          <w:b/>
          <w:bCs/>
          <w:sz w:val="21"/>
          <w:szCs w:val="21"/>
          <w:lang w:eastAsia="zh-CN"/>
        </w:rPr>
        <w:t>A</w:t>
      </w:r>
      <w:r w:rsidRPr="006D591B">
        <w:rPr>
          <w:rFonts w:ascii="Times New Roman" w:hAnsi="Times New Roman" w:cs="Times New Roman" w:hint="eastAsia"/>
          <w:sz w:val="21"/>
          <w:szCs w:val="21"/>
        </w:rPr>
        <w:t>) UMAP displaying eight benign epithelial subtypes labeled by colors and numbers. (</w:t>
      </w:r>
      <w:r w:rsidR="00FD0B25" w:rsidRPr="006D591B">
        <w:rPr>
          <w:rFonts w:ascii="Times New Roman" w:hAnsi="Times New Roman" w:cs="Times New Roman" w:hint="eastAsia"/>
          <w:b/>
          <w:bCs/>
          <w:sz w:val="21"/>
          <w:szCs w:val="21"/>
          <w:lang w:eastAsia="zh-CN"/>
        </w:rPr>
        <w:t>B</w:t>
      </w:r>
      <w:r w:rsidRPr="006D591B">
        <w:rPr>
          <w:rFonts w:ascii="Times New Roman" w:hAnsi="Times New Roman" w:cs="Times New Roman" w:hint="eastAsia"/>
          <w:sz w:val="21"/>
          <w:szCs w:val="21"/>
        </w:rPr>
        <w:t>) Heatmap showing the expression levels of the DEGs of eight benign epithelial subtypes normalized by z-score. (</w:t>
      </w:r>
      <w:r w:rsidR="00FD0B25" w:rsidRPr="006D591B">
        <w:rPr>
          <w:rFonts w:ascii="Times New Roman" w:hAnsi="Times New Roman" w:cs="Times New Roman" w:hint="eastAsia"/>
          <w:b/>
          <w:bCs/>
          <w:sz w:val="21"/>
          <w:szCs w:val="21"/>
          <w:lang w:eastAsia="zh-CN"/>
        </w:rPr>
        <w:t>C</w:t>
      </w:r>
      <w:r w:rsidRPr="006D591B">
        <w:rPr>
          <w:rFonts w:ascii="Times New Roman" w:hAnsi="Times New Roman" w:cs="Times New Roman" w:hint="eastAsia"/>
          <w:sz w:val="21"/>
          <w:szCs w:val="21"/>
        </w:rPr>
        <w:t>) Barplots showing GO biological processes across eight benign epithelial subtypes. (</w:t>
      </w:r>
      <w:r w:rsidR="00FD0B25" w:rsidRPr="006D591B">
        <w:rPr>
          <w:rFonts w:ascii="Times New Roman" w:hAnsi="Times New Roman" w:cs="Times New Roman" w:hint="eastAsia"/>
          <w:b/>
          <w:bCs/>
          <w:sz w:val="21"/>
          <w:szCs w:val="21"/>
          <w:lang w:eastAsia="zh-CN"/>
        </w:rPr>
        <w:t>D</w:t>
      </w:r>
      <w:r w:rsidRPr="006D591B">
        <w:rPr>
          <w:rFonts w:ascii="Times New Roman" w:hAnsi="Times New Roman" w:cs="Times New Roman" w:hint="eastAsia"/>
          <w:sz w:val="21"/>
          <w:szCs w:val="21"/>
        </w:rPr>
        <w:t>) UMAP plot displaying benign EPCs colored by sample types. (</w:t>
      </w:r>
      <w:r w:rsidR="00FD0B25" w:rsidRPr="006D591B">
        <w:rPr>
          <w:rFonts w:ascii="Times New Roman" w:hAnsi="Times New Roman" w:cs="Times New Roman" w:hint="eastAsia"/>
          <w:b/>
          <w:bCs/>
          <w:sz w:val="21"/>
          <w:szCs w:val="21"/>
          <w:lang w:eastAsia="zh-CN"/>
        </w:rPr>
        <w:t>E</w:t>
      </w:r>
      <w:r w:rsidRPr="006D591B">
        <w:rPr>
          <w:rFonts w:ascii="Times New Roman" w:hAnsi="Times New Roman" w:cs="Times New Roman" w:hint="eastAsia"/>
          <w:sz w:val="21"/>
          <w:szCs w:val="21"/>
        </w:rPr>
        <w:t xml:space="preserve">) Proportion of benign epithelial subtypes across four sample types. Epithelial </w:t>
      </w:r>
      <w:r w:rsidR="00FD0B25" w:rsidRPr="006D591B">
        <w:rPr>
          <w:rFonts w:ascii="Times New Roman" w:hAnsi="Times New Roman" w:cs="Times New Roman" w:hint="eastAsia"/>
          <w:sz w:val="21"/>
          <w:szCs w:val="21"/>
        </w:rPr>
        <w:t xml:space="preserve">subtypes </w:t>
      </w:r>
      <w:r w:rsidRPr="006D591B">
        <w:rPr>
          <w:rFonts w:ascii="Times New Roman" w:hAnsi="Times New Roman" w:cs="Times New Roman" w:hint="eastAsia"/>
          <w:sz w:val="21"/>
          <w:szCs w:val="21"/>
        </w:rPr>
        <w:t>are colored the same as (</w:t>
      </w:r>
      <w:r w:rsidR="00FD0B25" w:rsidRPr="006D591B">
        <w:rPr>
          <w:rFonts w:ascii="Times New Roman" w:hAnsi="Times New Roman" w:cs="Times New Roman" w:hint="eastAsia"/>
          <w:sz w:val="21"/>
          <w:szCs w:val="21"/>
          <w:lang w:eastAsia="zh-CN"/>
        </w:rPr>
        <w:t>A</w:t>
      </w:r>
      <w:r w:rsidRPr="006D591B">
        <w:rPr>
          <w:rFonts w:ascii="Times New Roman" w:hAnsi="Times New Roman" w:cs="Times New Roman" w:hint="eastAsia"/>
          <w:sz w:val="21"/>
          <w:szCs w:val="21"/>
        </w:rPr>
        <w:t>).</w:t>
      </w:r>
    </w:p>
    <w:p w:rsidR="00AF09A3" w:rsidRDefault="00AF09A3" w:rsidP="0048251E">
      <w:pPr>
        <w:spacing w:beforeLines="50" w:before="156" w:afterLines="50" w:after="156" w:line="240" w:lineRule="auto"/>
        <w:rPr>
          <w:rFonts w:hint="eastAsia"/>
          <w:noProof/>
          <w14:ligatures w14:val="standardContextual"/>
        </w:rPr>
      </w:pPr>
      <w:r>
        <w:rPr>
          <w:rFonts w:hint="eastAsia"/>
          <w:noProof/>
          <w14:ligatures w14:val="standardContextual"/>
        </w:rPr>
        <w:br w:type="page"/>
      </w:r>
    </w:p>
    <w:p w:rsidR="006D591B" w:rsidRPr="006D591B" w:rsidRDefault="00762289" w:rsidP="00921DEF">
      <w:pPr>
        <w:jc w:val="both"/>
        <w:rPr>
          <w:rFonts w:ascii="Times New Roman" w:hAnsi="Times New Roman" w:cs="Times New Roman"/>
          <w:b/>
          <w:bCs/>
          <w:sz w:val="21"/>
          <w:szCs w:val="21"/>
        </w:rPr>
      </w:pPr>
      <w:r>
        <w:rPr>
          <w:noProof/>
        </w:rPr>
        <w:lastRenderedPageBreak/>
        <w:drawing>
          <wp:inline distT="0" distB="0" distL="0" distR="0">
            <wp:extent cx="5278120" cy="6981190"/>
            <wp:effectExtent l="0" t="0" r="0" b="0"/>
            <wp:docPr id="144465937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78120" cy="6981190"/>
                    </a:xfrm>
                    <a:prstGeom prst="rect">
                      <a:avLst/>
                    </a:prstGeom>
                    <a:noFill/>
                    <a:ln>
                      <a:noFill/>
                    </a:ln>
                  </pic:spPr>
                </pic:pic>
              </a:graphicData>
            </a:graphic>
          </wp:inline>
        </w:drawing>
      </w:r>
      <w:r w:rsidR="00874F8E" w:rsidRPr="006D591B">
        <w:rPr>
          <w:rFonts w:ascii="Times New Roman" w:hAnsi="Times New Roman" w:cs="Times New Roman" w:hint="eastAsia"/>
          <w:b/>
          <w:bCs/>
          <w:sz w:val="21"/>
          <w:szCs w:val="21"/>
        </w:rPr>
        <w:t xml:space="preserve"> </w:t>
      </w:r>
      <w:r w:rsidR="001F2773" w:rsidRPr="006D591B">
        <w:rPr>
          <w:rFonts w:ascii="Times New Roman" w:hAnsi="Times New Roman" w:cs="Times New Roman" w:hint="eastAsia"/>
          <w:b/>
          <w:bCs/>
          <w:sz w:val="21"/>
          <w:szCs w:val="21"/>
        </w:rPr>
        <w:t>Supplementary</w:t>
      </w:r>
      <w:r w:rsidR="001F2773" w:rsidRPr="006D591B">
        <w:rPr>
          <w:rFonts w:hint="eastAsia"/>
          <w:noProof/>
          <w:sz w:val="21"/>
          <w:szCs w:val="21"/>
          <w14:ligatures w14:val="standardContextual"/>
        </w:rPr>
        <w:t xml:space="preserve"> </w:t>
      </w:r>
      <w:r w:rsidR="001F2773" w:rsidRPr="006D591B">
        <w:rPr>
          <w:rFonts w:ascii="Times New Roman" w:hAnsi="Times New Roman" w:cs="Times New Roman"/>
          <w:b/>
          <w:bCs/>
          <w:sz w:val="21"/>
          <w:szCs w:val="21"/>
        </w:rPr>
        <w:t xml:space="preserve">Fig. </w:t>
      </w:r>
      <w:r w:rsidR="00886A06">
        <w:rPr>
          <w:rFonts w:ascii="Times New Roman" w:hAnsi="Times New Roman" w:cs="Times New Roman" w:hint="eastAsia"/>
          <w:b/>
          <w:bCs/>
          <w:sz w:val="21"/>
          <w:szCs w:val="21"/>
          <w:lang w:eastAsia="zh-CN"/>
        </w:rPr>
        <w:t>S</w:t>
      </w:r>
      <w:r w:rsidR="001F2773" w:rsidRPr="006D591B">
        <w:rPr>
          <w:rFonts w:ascii="Times New Roman" w:hAnsi="Times New Roman" w:cs="Times New Roman" w:hint="eastAsia"/>
          <w:b/>
          <w:bCs/>
          <w:sz w:val="21"/>
          <w:szCs w:val="21"/>
          <w:lang w:eastAsia="zh-CN"/>
        </w:rPr>
        <w:t>4</w:t>
      </w:r>
      <w:r w:rsidR="00B90459">
        <w:rPr>
          <w:rFonts w:ascii="Times New Roman" w:hAnsi="Times New Roman" w:cs="Times New Roman" w:hint="eastAsia"/>
          <w:b/>
          <w:bCs/>
          <w:sz w:val="21"/>
          <w:szCs w:val="21"/>
          <w:lang w:eastAsia="zh-CN"/>
        </w:rPr>
        <w:t>.</w:t>
      </w:r>
      <w:r w:rsidR="001F2773" w:rsidRPr="006D591B">
        <w:rPr>
          <w:rFonts w:ascii="Times New Roman" w:hAnsi="Times New Roman" w:cs="Times New Roman"/>
          <w:b/>
          <w:bCs/>
          <w:sz w:val="21"/>
          <w:szCs w:val="21"/>
        </w:rPr>
        <w:t xml:space="preserve"> </w:t>
      </w:r>
      <w:r w:rsidR="001F2773" w:rsidRPr="006D591B">
        <w:rPr>
          <w:rFonts w:ascii="Times New Roman" w:hAnsi="Times New Roman" w:cs="Times New Roman" w:hint="eastAsia"/>
          <w:b/>
          <w:bCs/>
          <w:sz w:val="21"/>
          <w:szCs w:val="21"/>
          <w:lang w:eastAsia="zh-CN"/>
        </w:rPr>
        <w:t>Decoding and validating malignant meta-programs between CCA subtypes</w:t>
      </w:r>
      <w:r w:rsidR="001F2773" w:rsidRPr="006D591B">
        <w:rPr>
          <w:rFonts w:ascii="Times New Roman" w:hAnsi="Times New Roman" w:cs="Times New Roman"/>
          <w:b/>
          <w:bCs/>
          <w:sz w:val="21"/>
          <w:szCs w:val="21"/>
        </w:rPr>
        <w:t xml:space="preserve">. </w:t>
      </w:r>
    </w:p>
    <w:p w:rsidR="001F2773" w:rsidRPr="006D591B" w:rsidRDefault="001F2773" w:rsidP="00921DEF">
      <w:pPr>
        <w:jc w:val="both"/>
        <w:rPr>
          <w:rFonts w:ascii="Times New Roman" w:hAnsi="Times New Roman" w:cs="Times New Roman"/>
          <w:b/>
          <w:bCs/>
          <w:sz w:val="21"/>
          <w:szCs w:val="21"/>
        </w:rPr>
      </w:pPr>
      <w:r w:rsidRPr="006D591B">
        <w:rPr>
          <w:rFonts w:ascii="Times New Roman" w:hAnsi="Times New Roman" w:cs="Times New Roman" w:hint="eastAsia"/>
          <w:sz w:val="21"/>
          <w:szCs w:val="21"/>
        </w:rPr>
        <w:t>(</w:t>
      </w:r>
      <w:r w:rsidRPr="00376E73">
        <w:rPr>
          <w:rFonts w:ascii="Times New Roman" w:hAnsi="Times New Roman" w:cs="Times New Roman" w:hint="eastAsia"/>
          <w:b/>
          <w:bCs/>
          <w:sz w:val="21"/>
          <w:szCs w:val="21"/>
          <w:lang w:eastAsia="zh-CN"/>
        </w:rPr>
        <w:t>A</w:t>
      </w:r>
      <w:r w:rsidRPr="006D591B">
        <w:rPr>
          <w:rFonts w:ascii="Times New Roman" w:hAnsi="Times New Roman" w:cs="Times New Roman" w:hint="eastAsia"/>
          <w:sz w:val="21"/>
          <w:szCs w:val="21"/>
        </w:rPr>
        <w:t xml:space="preserve">) </w:t>
      </w:r>
      <w:r w:rsidR="000130BE" w:rsidRPr="006D591B">
        <w:rPr>
          <w:rFonts w:ascii="Times New Roman" w:hAnsi="Times New Roman" w:cs="Times New Roman"/>
          <w:sz w:val="21"/>
          <w:szCs w:val="21"/>
        </w:rPr>
        <w:t xml:space="preserve">NMF analysis of all malignant epithelial cells. The NMF modules are clustered by K-means. </w:t>
      </w:r>
      <w:r w:rsidR="000130BE" w:rsidRPr="006D591B">
        <w:rPr>
          <w:rFonts w:ascii="Times New Roman" w:hAnsi="Times New Roman" w:cs="Times New Roman" w:hint="eastAsia"/>
          <w:sz w:val="21"/>
          <w:szCs w:val="21"/>
          <w:lang w:eastAsia="zh-CN"/>
        </w:rPr>
        <w:t>(</w:t>
      </w:r>
      <w:r w:rsidR="000130BE" w:rsidRPr="00376E73">
        <w:rPr>
          <w:rFonts w:ascii="Times New Roman" w:hAnsi="Times New Roman" w:cs="Times New Roman" w:hint="eastAsia"/>
          <w:b/>
          <w:bCs/>
          <w:sz w:val="21"/>
          <w:szCs w:val="21"/>
          <w:lang w:eastAsia="zh-CN"/>
        </w:rPr>
        <w:t>B</w:t>
      </w:r>
      <w:r w:rsidR="000130BE" w:rsidRPr="006D591B">
        <w:rPr>
          <w:rFonts w:ascii="Times New Roman" w:hAnsi="Times New Roman" w:cs="Times New Roman" w:hint="eastAsia"/>
          <w:sz w:val="21"/>
          <w:szCs w:val="21"/>
          <w:lang w:eastAsia="zh-CN"/>
        </w:rPr>
        <w:t>)</w:t>
      </w:r>
      <w:r w:rsidR="006D591B">
        <w:rPr>
          <w:rFonts w:ascii="Times New Roman" w:hAnsi="Times New Roman" w:cs="Times New Roman" w:hint="eastAsia"/>
          <w:sz w:val="21"/>
          <w:szCs w:val="21"/>
          <w:lang w:eastAsia="zh-CN"/>
        </w:rPr>
        <w:t xml:space="preserve"> </w:t>
      </w:r>
      <w:r w:rsidR="000130BE" w:rsidRPr="006D591B">
        <w:rPr>
          <w:rFonts w:ascii="Times New Roman" w:hAnsi="Times New Roman" w:cs="Times New Roman" w:hint="eastAsia"/>
          <w:sz w:val="21"/>
          <w:szCs w:val="21"/>
          <w:lang w:eastAsia="zh-CN"/>
        </w:rPr>
        <w:t>Pie chart showing the propotion of four malignant epithlial subtypes between eCCA and iCCA in in-house scRNA-seq cohort.</w:t>
      </w:r>
      <w:r w:rsidR="000745F6" w:rsidRPr="006D591B">
        <w:rPr>
          <w:rFonts w:ascii="Times New Roman" w:hAnsi="Times New Roman" w:cs="Times New Roman" w:hint="eastAsia"/>
          <w:sz w:val="21"/>
          <w:szCs w:val="21"/>
          <w:lang w:eastAsia="zh-CN"/>
        </w:rPr>
        <w:t xml:space="preserve"> (</w:t>
      </w:r>
      <w:r w:rsidR="000745F6" w:rsidRPr="00376E73">
        <w:rPr>
          <w:rFonts w:ascii="Times New Roman" w:hAnsi="Times New Roman" w:cs="Times New Roman" w:hint="eastAsia"/>
          <w:b/>
          <w:bCs/>
          <w:sz w:val="21"/>
          <w:szCs w:val="21"/>
          <w:lang w:eastAsia="zh-CN"/>
        </w:rPr>
        <w:t>C</w:t>
      </w:r>
      <w:r w:rsidR="000745F6" w:rsidRPr="006D591B">
        <w:rPr>
          <w:rFonts w:ascii="Times New Roman" w:hAnsi="Times New Roman" w:cs="Times New Roman" w:hint="eastAsia"/>
          <w:sz w:val="21"/>
          <w:szCs w:val="21"/>
          <w:lang w:eastAsia="zh-CN"/>
        </w:rPr>
        <w:t>)</w:t>
      </w:r>
      <w:r w:rsidR="006D591B">
        <w:rPr>
          <w:rFonts w:ascii="Times New Roman" w:hAnsi="Times New Roman" w:cs="Times New Roman" w:hint="eastAsia"/>
          <w:sz w:val="21"/>
          <w:szCs w:val="21"/>
          <w:lang w:eastAsia="zh-CN"/>
        </w:rPr>
        <w:t xml:space="preserve"> </w:t>
      </w:r>
      <w:r w:rsidR="000745F6" w:rsidRPr="006D591B">
        <w:rPr>
          <w:rFonts w:ascii="Times New Roman" w:hAnsi="Times New Roman" w:cs="Times New Roman" w:hint="eastAsia"/>
          <w:sz w:val="21"/>
          <w:szCs w:val="21"/>
          <w:lang w:eastAsia="zh-CN"/>
        </w:rPr>
        <w:t>Pie chart showing the propotion of sample types of four malignant epithlial subtypes in in-house scRNA-seq cohort.</w:t>
      </w:r>
      <w:r w:rsidR="000745F6" w:rsidRPr="006D591B">
        <w:rPr>
          <w:rFonts w:ascii="Times New Roman" w:hAnsi="Times New Roman" w:cs="Times New Roman" w:hint="eastAsia"/>
          <w:sz w:val="21"/>
          <w:szCs w:val="21"/>
        </w:rPr>
        <w:t xml:space="preserve"> </w:t>
      </w:r>
      <w:r w:rsidR="000745F6" w:rsidRPr="006D591B">
        <w:rPr>
          <w:rFonts w:ascii="Times New Roman" w:hAnsi="Times New Roman" w:cs="Times New Roman" w:hint="eastAsia"/>
          <w:sz w:val="21"/>
          <w:szCs w:val="21"/>
          <w:lang w:eastAsia="zh-CN"/>
        </w:rPr>
        <w:t>(</w:t>
      </w:r>
      <w:r w:rsidR="000745F6" w:rsidRPr="00376E73">
        <w:rPr>
          <w:rFonts w:ascii="Times New Roman" w:hAnsi="Times New Roman" w:cs="Times New Roman" w:hint="eastAsia"/>
          <w:b/>
          <w:bCs/>
          <w:sz w:val="21"/>
          <w:szCs w:val="21"/>
          <w:lang w:eastAsia="zh-CN"/>
        </w:rPr>
        <w:t>D</w:t>
      </w:r>
      <w:r w:rsidR="000745F6" w:rsidRPr="006D591B">
        <w:rPr>
          <w:rFonts w:ascii="Times New Roman" w:hAnsi="Times New Roman" w:cs="Times New Roman" w:hint="eastAsia"/>
          <w:sz w:val="21"/>
          <w:szCs w:val="21"/>
          <w:lang w:eastAsia="zh-CN"/>
        </w:rPr>
        <w:t>)</w:t>
      </w:r>
      <w:r w:rsidR="006D591B">
        <w:rPr>
          <w:rFonts w:ascii="Times New Roman" w:hAnsi="Times New Roman" w:cs="Times New Roman" w:hint="eastAsia"/>
          <w:sz w:val="21"/>
          <w:szCs w:val="21"/>
          <w:lang w:eastAsia="zh-CN"/>
        </w:rPr>
        <w:t xml:space="preserve"> </w:t>
      </w:r>
      <w:r w:rsidR="000745F6" w:rsidRPr="006D591B">
        <w:rPr>
          <w:rFonts w:ascii="Times New Roman" w:hAnsi="Times New Roman" w:cs="Times New Roman" w:hint="eastAsia"/>
          <w:sz w:val="21"/>
          <w:szCs w:val="21"/>
          <w:lang w:eastAsia="zh-CN"/>
        </w:rPr>
        <w:t>Pie chart showing the propotion of stages of four malignant epithlial subtypes in in-house scRNA-seq cohort.</w:t>
      </w:r>
      <w:r w:rsidR="000745F6" w:rsidRPr="006D591B">
        <w:rPr>
          <w:rFonts w:ascii="Times New Roman" w:hAnsi="Times New Roman" w:cs="Times New Roman" w:hint="eastAsia"/>
          <w:sz w:val="21"/>
          <w:szCs w:val="21"/>
        </w:rPr>
        <w:t xml:space="preserve"> </w:t>
      </w:r>
      <w:r w:rsidR="000745F6" w:rsidRPr="006D591B">
        <w:rPr>
          <w:rFonts w:ascii="Times New Roman" w:hAnsi="Times New Roman" w:cs="Times New Roman" w:hint="eastAsia"/>
          <w:sz w:val="21"/>
          <w:szCs w:val="21"/>
          <w:lang w:eastAsia="zh-CN"/>
        </w:rPr>
        <w:t>(</w:t>
      </w:r>
      <w:r w:rsidR="000745F6" w:rsidRPr="00376E73">
        <w:rPr>
          <w:rFonts w:ascii="Times New Roman" w:hAnsi="Times New Roman" w:cs="Times New Roman" w:hint="eastAsia"/>
          <w:b/>
          <w:bCs/>
          <w:sz w:val="21"/>
          <w:szCs w:val="21"/>
          <w:lang w:eastAsia="zh-CN"/>
        </w:rPr>
        <w:t>E</w:t>
      </w:r>
      <w:r w:rsidR="000745F6" w:rsidRPr="006D591B">
        <w:rPr>
          <w:rFonts w:ascii="Times New Roman" w:hAnsi="Times New Roman" w:cs="Times New Roman" w:hint="eastAsia"/>
          <w:sz w:val="21"/>
          <w:szCs w:val="21"/>
          <w:lang w:eastAsia="zh-CN"/>
        </w:rPr>
        <w:t>)</w:t>
      </w:r>
      <w:r w:rsidRPr="006D591B">
        <w:rPr>
          <w:rFonts w:ascii="Times New Roman" w:hAnsi="Times New Roman" w:cs="Times New Roman" w:hint="eastAsia"/>
          <w:sz w:val="21"/>
          <w:szCs w:val="21"/>
        </w:rPr>
        <w:t xml:space="preserve"> </w:t>
      </w:r>
      <w:r w:rsidRPr="006D591B">
        <w:rPr>
          <w:rFonts w:ascii="Times New Roman" w:hAnsi="Times New Roman" w:cs="Times New Roman"/>
          <w:sz w:val="21"/>
          <w:szCs w:val="21"/>
        </w:rPr>
        <w:t>Subtyping of ICGC-</w:t>
      </w:r>
      <w:r w:rsidRPr="006D591B">
        <w:rPr>
          <w:rFonts w:ascii="Times New Roman" w:hAnsi="Times New Roman" w:cs="Times New Roman"/>
          <w:sz w:val="21"/>
          <w:szCs w:val="21"/>
        </w:rPr>
        <w:lastRenderedPageBreak/>
        <w:t xml:space="preserve">CCA cohort (GSE132305) based on </w:t>
      </w:r>
      <w:r w:rsidRPr="006D591B">
        <w:rPr>
          <w:rFonts w:ascii="Times New Roman" w:hAnsi="Times New Roman" w:cs="Times New Roman" w:hint="eastAsia"/>
          <w:sz w:val="21"/>
          <w:szCs w:val="21"/>
        </w:rPr>
        <w:t>our</w:t>
      </w:r>
      <w:r w:rsidRPr="006D591B">
        <w:rPr>
          <w:rFonts w:ascii="Times New Roman" w:hAnsi="Times New Roman" w:cs="Times New Roman"/>
          <w:sz w:val="21"/>
          <w:szCs w:val="21"/>
        </w:rPr>
        <w:t xml:space="preserve"> </w:t>
      </w:r>
      <w:r w:rsidRPr="006D591B">
        <w:rPr>
          <w:rFonts w:ascii="Times New Roman" w:hAnsi="Times New Roman" w:cs="Times New Roman" w:hint="eastAsia"/>
          <w:sz w:val="21"/>
          <w:szCs w:val="21"/>
        </w:rPr>
        <w:t>m</w:t>
      </w:r>
      <w:r w:rsidRPr="006D591B">
        <w:rPr>
          <w:rFonts w:ascii="Times New Roman" w:hAnsi="Times New Roman" w:cs="Times New Roman"/>
          <w:sz w:val="21"/>
          <w:szCs w:val="21"/>
        </w:rPr>
        <w:t>eta-program scores. H, high; H-M, high-middle; M, middle; M-L, middle-low; L, low; NA, not available.</w:t>
      </w:r>
      <w:r w:rsidR="000745F6" w:rsidRPr="006D591B">
        <w:rPr>
          <w:rFonts w:ascii="Times New Roman" w:hAnsi="Times New Roman" w:cs="Times New Roman" w:hint="eastAsia"/>
          <w:sz w:val="21"/>
          <w:szCs w:val="21"/>
          <w:lang w:eastAsia="zh-CN"/>
        </w:rPr>
        <w:t xml:space="preserve"> (</w:t>
      </w:r>
      <w:r w:rsidR="000745F6" w:rsidRPr="001A4DB2">
        <w:rPr>
          <w:rFonts w:ascii="Times New Roman" w:hAnsi="Times New Roman" w:cs="Times New Roman" w:hint="eastAsia"/>
          <w:b/>
          <w:bCs/>
          <w:sz w:val="21"/>
          <w:szCs w:val="21"/>
          <w:lang w:eastAsia="zh-CN"/>
        </w:rPr>
        <w:t>F</w:t>
      </w:r>
      <w:r w:rsidR="000745F6" w:rsidRPr="006D591B">
        <w:rPr>
          <w:rFonts w:ascii="Times New Roman" w:hAnsi="Times New Roman" w:cs="Times New Roman" w:hint="eastAsia"/>
          <w:sz w:val="21"/>
          <w:szCs w:val="21"/>
          <w:lang w:eastAsia="zh-CN"/>
        </w:rPr>
        <w:t>)</w:t>
      </w:r>
      <w:r w:rsidR="001A4DB2">
        <w:rPr>
          <w:rFonts w:ascii="Times New Roman" w:hAnsi="Times New Roman" w:cs="Times New Roman" w:hint="eastAsia"/>
          <w:sz w:val="21"/>
          <w:szCs w:val="21"/>
          <w:lang w:eastAsia="zh-CN"/>
        </w:rPr>
        <w:t xml:space="preserve"> </w:t>
      </w:r>
      <w:r w:rsidR="000745F6" w:rsidRPr="006D591B">
        <w:rPr>
          <w:rFonts w:ascii="Times New Roman" w:hAnsi="Times New Roman" w:cs="Times New Roman" w:hint="eastAsia"/>
          <w:sz w:val="21"/>
          <w:szCs w:val="21"/>
          <w:lang w:eastAsia="zh-CN"/>
        </w:rPr>
        <w:t>Pie chart showing the propotion of four malignant epithlial subtypes between eCCA and iCCA in ICGC-CCA cohort. (</w:t>
      </w:r>
      <w:r w:rsidR="000745F6" w:rsidRPr="00376E73">
        <w:rPr>
          <w:rFonts w:ascii="Times New Roman" w:hAnsi="Times New Roman" w:cs="Times New Roman" w:hint="eastAsia"/>
          <w:b/>
          <w:bCs/>
          <w:sz w:val="21"/>
          <w:szCs w:val="21"/>
          <w:lang w:eastAsia="zh-CN"/>
        </w:rPr>
        <w:t>G</w:t>
      </w:r>
      <w:r w:rsidR="000745F6" w:rsidRPr="006D591B">
        <w:rPr>
          <w:rFonts w:ascii="Times New Roman" w:hAnsi="Times New Roman" w:cs="Times New Roman" w:hint="eastAsia"/>
          <w:sz w:val="21"/>
          <w:szCs w:val="21"/>
          <w:lang w:eastAsia="zh-CN"/>
        </w:rPr>
        <w:t>)</w:t>
      </w:r>
      <w:r w:rsidR="006D591B">
        <w:rPr>
          <w:rFonts w:ascii="Times New Roman" w:hAnsi="Times New Roman" w:cs="Times New Roman" w:hint="eastAsia"/>
          <w:sz w:val="21"/>
          <w:szCs w:val="21"/>
          <w:lang w:eastAsia="zh-CN"/>
        </w:rPr>
        <w:t xml:space="preserve"> </w:t>
      </w:r>
      <w:r w:rsidR="000745F6" w:rsidRPr="006D591B">
        <w:rPr>
          <w:rFonts w:ascii="Times New Roman" w:hAnsi="Times New Roman" w:cs="Times New Roman" w:hint="eastAsia"/>
          <w:sz w:val="21"/>
          <w:szCs w:val="21"/>
          <w:lang w:eastAsia="zh-CN"/>
        </w:rPr>
        <w:t>Pie chart showing the propotion of sample types of four malignant epithlial subtypes in ICGC-CCA cohort.</w:t>
      </w:r>
      <w:r w:rsidR="000745F6" w:rsidRPr="006D591B">
        <w:rPr>
          <w:rFonts w:ascii="Times New Roman" w:hAnsi="Times New Roman" w:cs="Times New Roman" w:hint="eastAsia"/>
          <w:sz w:val="21"/>
          <w:szCs w:val="21"/>
        </w:rPr>
        <w:t xml:space="preserve"> </w:t>
      </w:r>
      <w:r w:rsidR="000745F6" w:rsidRPr="006D591B">
        <w:rPr>
          <w:rFonts w:ascii="Times New Roman" w:hAnsi="Times New Roman" w:cs="Times New Roman" w:hint="eastAsia"/>
          <w:sz w:val="21"/>
          <w:szCs w:val="21"/>
          <w:lang w:eastAsia="zh-CN"/>
        </w:rPr>
        <w:t>(</w:t>
      </w:r>
      <w:r w:rsidR="000745F6" w:rsidRPr="001A4DB2">
        <w:rPr>
          <w:rFonts w:ascii="Times New Roman" w:hAnsi="Times New Roman" w:cs="Times New Roman" w:hint="eastAsia"/>
          <w:b/>
          <w:bCs/>
          <w:sz w:val="21"/>
          <w:szCs w:val="21"/>
          <w:lang w:eastAsia="zh-CN"/>
        </w:rPr>
        <w:t>H</w:t>
      </w:r>
      <w:r w:rsidR="000745F6" w:rsidRPr="006D591B">
        <w:rPr>
          <w:rFonts w:ascii="Times New Roman" w:hAnsi="Times New Roman" w:cs="Times New Roman" w:hint="eastAsia"/>
          <w:sz w:val="21"/>
          <w:szCs w:val="21"/>
          <w:lang w:eastAsia="zh-CN"/>
        </w:rPr>
        <w:t>)</w:t>
      </w:r>
      <w:r w:rsidR="006D591B">
        <w:rPr>
          <w:rFonts w:ascii="Times New Roman" w:hAnsi="Times New Roman" w:cs="Times New Roman" w:hint="eastAsia"/>
          <w:sz w:val="21"/>
          <w:szCs w:val="21"/>
          <w:lang w:eastAsia="zh-CN"/>
        </w:rPr>
        <w:t xml:space="preserve"> </w:t>
      </w:r>
      <w:r w:rsidR="000745F6" w:rsidRPr="006D591B">
        <w:rPr>
          <w:rFonts w:ascii="Times New Roman" w:hAnsi="Times New Roman" w:cs="Times New Roman" w:hint="eastAsia"/>
          <w:sz w:val="21"/>
          <w:szCs w:val="21"/>
          <w:lang w:eastAsia="zh-CN"/>
        </w:rPr>
        <w:t xml:space="preserve">Pie chart showing the propotion of stages of four malignant epithlial subtypes in ICGC-CCA cohort. </w:t>
      </w:r>
      <w:r w:rsidRPr="006D591B">
        <w:rPr>
          <w:rFonts w:ascii="Times New Roman" w:hAnsi="Times New Roman" w:cs="Times New Roman"/>
          <w:sz w:val="21"/>
          <w:szCs w:val="21"/>
        </w:rPr>
        <w:t>(</w:t>
      </w:r>
      <w:r w:rsidR="000745F6" w:rsidRPr="001A4DB2">
        <w:rPr>
          <w:rFonts w:ascii="Times New Roman" w:hAnsi="Times New Roman" w:cs="Times New Roman" w:hint="eastAsia"/>
          <w:b/>
          <w:bCs/>
          <w:sz w:val="21"/>
          <w:szCs w:val="21"/>
          <w:lang w:eastAsia="zh-CN"/>
        </w:rPr>
        <w:t>I</w:t>
      </w:r>
      <w:r w:rsidRPr="006D591B">
        <w:rPr>
          <w:rFonts w:ascii="Times New Roman" w:hAnsi="Times New Roman" w:cs="Times New Roman"/>
          <w:sz w:val="21"/>
          <w:szCs w:val="21"/>
        </w:rPr>
        <w:t xml:space="preserve">) </w:t>
      </w:r>
      <w:r w:rsidRPr="006D591B">
        <w:rPr>
          <w:rFonts w:ascii="Times New Roman" w:hAnsi="Times New Roman" w:cs="Times New Roman" w:hint="eastAsia"/>
          <w:sz w:val="21"/>
          <w:szCs w:val="21"/>
        </w:rPr>
        <w:t>Kaplan-Meier curves comparing overall s</w:t>
      </w:r>
      <w:r w:rsidRPr="006D591B">
        <w:rPr>
          <w:rFonts w:ascii="Times New Roman" w:hAnsi="Times New Roman" w:cs="Times New Roman"/>
          <w:sz w:val="21"/>
          <w:szCs w:val="21"/>
        </w:rPr>
        <w:t xml:space="preserve">urvival </w:t>
      </w:r>
      <w:r w:rsidRPr="006D591B">
        <w:rPr>
          <w:rFonts w:ascii="Times New Roman" w:hAnsi="Times New Roman" w:cs="Times New Roman" w:hint="eastAsia"/>
          <w:sz w:val="21"/>
          <w:szCs w:val="21"/>
        </w:rPr>
        <w:t xml:space="preserve">between </w:t>
      </w:r>
      <w:r w:rsidRPr="006D591B">
        <w:rPr>
          <w:rFonts w:ascii="Times New Roman" w:hAnsi="Times New Roman" w:cs="Times New Roman"/>
          <w:sz w:val="21"/>
          <w:szCs w:val="21"/>
        </w:rPr>
        <w:t xml:space="preserve">four subtypes </w:t>
      </w:r>
      <w:r w:rsidRPr="006D591B">
        <w:rPr>
          <w:rFonts w:ascii="Times New Roman" w:hAnsi="Times New Roman" w:cs="Times New Roman" w:hint="eastAsia"/>
          <w:sz w:val="21"/>
          <w:szCs w:val="21"/>
        </w:rPr>
        <w:t xml:space="preserve">of CCA patients </w:t>
      </w:r>
      <w:r w:rsidRPr="006D591B">
        <w:rPr>
          <w:rFonts w:ascii="Times New Roman" w:hAnsi="Times New Roman" w:cs="Times New Roman"/>
          <w:sz w:val="21"/>
          <w:szCs w:val="21"/>
        </w:rPr>
        <w:t xml:space="preserve">in </w:t>
      </w:r>
      <w:r w:rsidRPr="006D591B">
        <w:rPr>
          <w:rFonts w:ascii="Times New Roman" w:hAnsi="Times New Roman" w:cs="Times New Roman" w:hint="eastAsia"/>
          <w:sz w:val="21"/>
          <w:szCs w:val="21"/>
        </w:rPr>
        <w:t xml:space="preserve">the </w:t>
      </w:r>
      <w:r w:rsidRPr="006D591B">
        <w:rPr>
          <w:rFonts w:ascii="Times New Roman" w:hAnsi="Times New Roman" w:cs="Times New Roman"/>
          <w:sz w:val="21"/>
          <w:szCs w:val="21"/>
        </w:rPr>
        <w:t>ICGC</w:t>
      </w:r>
      <w:r w:rsidR="0074235F" w:rsidRPr="006D591B">
        <w:rPr>
          <w:rFonts w:ascii="Times New Roman" w:hAnsi="Times New Roman" w:cs="Times New Roman" w:hint="eastAsia"/>
          <w:sz w:val="21"/>
          <w:szCs w:val="21"/>
          <w:lang w:eastAsia="zh-CN"/>
        </w:rPr>
        <w:t>-CCA</w:t>
      </w:r>
      <w:r w:rsidRPr="006D591B">
        <w:rPr>
          <w:rFonts w:ascii="Times New Roman" w:hAnsi="Times New Roman" w:cs="Times New Roman"/>
          <w:sz w:val="21"/>
          <w:szCs w:val="21"/>
        </w:rPr>
        <w:t xml:space="preserve"> cohort (GSE132305).</w:t>
      </w:r>
    </w:p>
    <w:p w:rsidR="001F2773" w:rsidRDefault="001F2773">
      <w:pPr>
        <w:spacing w:after="0" w:line="240" w:lineRule="auto"/>
        <w:rPr>
          <w:rFonts w:ascii="Times New Roman" w:hAnsi="Times New Roman" w:cs="Times New Roman"/>
          <w:b/>
          <w:bCs/>
        </w:rPr>
      </w:pPr>
      <w:r>
        <w:rPr>
          <w:rFonts w:ascii="Times New Roman" w:hAnsi="Times New Roman" w:cs="Times New Roman"/>
          <w:b/>
          <w:bCs/>
        </w:rPr>
        <w:br w:type="page"/>
      </w:r>
    </w:p>
    <w:p w:rsidR="00662A43" w:rsidRDefault="008F4613" w:rsidP="00662A43">
      <w:pPr>
        <w:rPr>
          <w:rFonts w:ascii="Times New Roman" w:hAnsi="Times New Roman" w:cs="Times New Roman"/>
          <w:b/>
          <w:bCs/>
        </w:rPr>
      </w:pPr>
      <w:r>
        <w:rPr>
          <w:noProof/>
        </w:rPr>
        <w:lastRenderedPageBreak/>
        <w:drawing>
          <wp:inline distT="0" distB="0" distL="0" distR="0">
            <wp:extent cx="5278120" cy="6981190"/>
            <wp:effectExtent l="0" t="0" r="0" b="0"/>
            <wp:docPr id="210156778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78120" cy="6981190"/>
                    </a:xfrm>
                    <a:prstGeom prst="rect">
                      <a:avLst/>
                    </a:prstGeom>
                    <a:noFill/>
                    <a:ln>
                      <a:noFill/>
                    </a:ln>
                  </pic:spPr>
                </pic:pic>
              </a:graphicData>
            </a:graphic>
          </wp:inline>
        </w:drawing>
      </w:r>
      <w:r w:rsidR="00D14CFE" w:rsidRPr="00BB68D1">
        <w:rPr>
          <w:rFonts w:ascii="Times New Roman" w:hAnsi="Times New Roman" w:cs="Times New Roman"/>
          <w:b/>
          <w:bCs/>
        </w:rPr>
        <w:t xml:space="preserve"> </w:t>
      </w:r>
    </w:p>
    <w:p w:rsidR="00662A43" w:rsidRDefault="00D04F2A">
      <w:pPr>
        <w:spacing w:after="0" w:line="240" w:lineRule="auto"/>
        <w:rPr>
          <w:rFonts w:ascii="Times New Roman" w:hAnsi="Times New Roman" w:cs="Times New Roman"/>
          <w:b/>
          <w:bCs/>
        </w:rPr>
      </w:pPr>
      <w:r w:rsidRPr="00662A43">
        <w:rPr>
          <w:rFonts w:ascii="Times New Roman" w:hAnsi="Times New Roman" w:cs="Times New Roman" w:hint="eastAsia"/>
          <w:b/>
          <w:bCs/>
        </w:rPr>
        <w:t xml:space="preserve">Supplementary </w:t>
      </w:r>
      <w:r w:rsidRPr="00BB68D1">
        <w:rPr>
          <w:rFonts w:ascii="Times New Roman" w:hAnsi="Times New Roman" w:cs="Times New Roman"/>
          <w:b/>
          <w:bCs/>
        </w:rPr>
        <w:t>Fig.</w:t>
      </w:r>
      <w:r w:rsidR="00886A06">
        <w:rPr>
          <w:rFonts w:ascii="Times New Roman" w:hAnsi="Times New Roman" w:cs="Times New Roman" w:hint="eastAsia"/>
          <w:b/>
          <w:bCs/>
          <w:lang w:eastAsia="zh-CN"/>
        </w:rPr>
        <w:t xml:space="preserve"> S</w:t>
      </w:r>
      <w:r>
        <w:rPr>
          <w:rFonts w:ascii="Times New Roman" w:hAnsi="Times New Roman" w:cs="Times New Roman" w:hint="eastAsia"/>
          <w:b/>
          <w:bCs/>
          <w:lang w:eastAsia="zh-CN"/>
        </w:rPr>
        <w:t>5</w:t>
      </w:r>
      <w:r w:rsidRPr="00BB68D1">
        <w:rPr>
          <w:rFonts w:ascii="Times New Roman" w:hAnsi="Times New Roman" w:cs="Times New Roman"/>
          <w:b/>
          <w:bCs/>
        </w:rPr>
        <w:t>.</w:t>
      </w:r>
      <w:r>
        <w:rPr>
          <w:rFonts w:ascii="Times New Roman" w:hAnsi="Times New Roman" w:cs="Times New Roman" w:hint="eastAsia"/>
          <w:b/>
          <w:bCs/>
        </w:rPr>
        <w:t xml:space="preserve"> Heatmap showing the high-throughput s</w:t>
      </w:r>
      <w:r w:rsidRPr="00BB68D1">
        <w:rPr>
          <w:rFonts w:ascii="Times New Roman" w:hAnsi="Times New Roman" w:cs="Times New Roman"/>
          <w:b/>
          <w:bCs/>
        </w:rPr>
        <w:t xml:space="preserve">creening </w:t>
      </w:r>
      <w:r>
        <w:rPr>
          <w:rFonts w:ascii="Times New Roman" w:hAnsi="Times New Roman" w:cs="Times New Roman" w:hint="eastAsia"/>
          <w:b/>
          <w:bCs/>
        </w:rPr>
        <w:t xml:space="preserve">of </w:t>
      </w:r>
      <w:r w:rsidRPr="00BB68D1">
        <w:rPr>
          <w:rFonts w:ascii="Times New Roman" w:hAnsi="Times New Roman" w:cs="Times New Roman"/>
          <w:b/>
          <w:bCs/>
        </w:rPr>
        <w:t xml:space="preserve">175 drugs </w:t>
      </w:r>
      <w:r>
        <w:rPr>
          <w:rFonts w:ascii="Times New Roman" w:hAnsi="Times New Roman" w:cs="Times New Roman" w:hint="eastAsia"/>
          <w:b/>
          <w:bCs/>
        </w:rPr>
        <w:t>across</w:t>
      </w:r>
      <w:r w:rsidRPr="00BB68D1">
        <w:rPr>
          <w:rFonts w:ascii="Times New Roman" w:hAnsi="Times New Roman" w:cs="Times New Roman"/>
          <w:b/>
          <w:bCs/>
        </w:rPr>
        <w:t xml:space="preserve"> 16 CCA patient-derived organoid</w:t>
      </w:r>
      <w:r>
        <w:rPr>
          <w:rFonts w:ascii="Times New Roman" w:hAnsi="Times New Roman" w:cs="Times New Roman" w:hint="eastAsia"/>
          <w:b/>
          <w:bCs/>
        </w:rPr>
        <w:t>s</w:t>
      </w:r>
      <w:r w:rsidRPr="00BB68D1">
        <w:rPr>
          <w:rFonts w:ascii="Times New Roman" w:hAnsi="Times New Roman" w:cs="Times New Roman"/>
          <w:b/>
          <w:bCs/>
        </w:rPr>
        <w:t>.</w:t>
      </w:r>
    </w:p>
    <w:p w:rsidR="00D14CFE" w:rsidRDefault="00D14CFE" w:rsidP="00D14CFE">
      <w:pPr>
        <w:spacing w:line="480" w:lineRule="auto"/>
        <w:rPr>
          <w:rFonts w:ascii="Times New Roman" w:hAnsi="Times New Roman" w:cs="Times New Roman"/>
          <w:b/>
          <w:bCs/>
          <w:lang w:eastAsia="zh-CN"/>
        </w:rPr>
      </w:pPr>
    </w:p>
    <w:p w:rsidR="00886A06" w:rsidRDefault="00886A06" w:rsidP="00D14CFE">
      <w:pPr>
        <w:spacing w:line="480" w:lineRule="auto"/>
        <w:rPr>
          <w:rFonts w:ascii="Times New Roman" w:hAnsi="Times New Roman" w:cs="Times New Roman"/>
          <w:b/>
          <w:bCs/>
          <w:lang w:eastAsia="zh-CN"/>
        </w:rPr>
      </w:pPr>
    </w:p>
    <w:p w:rsidR="00FA0ACF" w:rsidRPr="009833BA" w:rsidRDefault="00B80661" w:rsidP="006B4B2A">
      <w:pPr>
        <w:spacing w:before="100" w:beforeAutospacing="1" w:after="100" w:afterAutospacing="1"/>
        <w:jc w:val="both"/>
        <w:rPr>
          <w:rFonts w:ascii="Times New Roman" w:hAnsi="Times New Roman" w:cs="Times New Roman"/>
          <w:sz w:val="21"/>
          <w:szCs w:val="21"/>
          <w:lang w:eastAsia="zh-CN"/>
        </w:rPr>
      </w:pPr>
      <w:r>
        <w:rPr>
          <w:noProof/>
        </w:rPr>
        <w:lastRenderedPageBreak/>
        <w:drawing>
          <wp:inline distT="0" distB="0" distL="0" distR="0">
            <wp:extent cx="5278120" cy="6561734"/>
            <wp:effectExtent l="0" t="0" r="0" b="0"/>
            <wp:docPr id="143234679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b="6008"/>
                    <a:stretch/>
                  </pic:blipFill>
                  <pic:spPr bwMode="auto">
                    <a:xfrm>
                      <a:off x="0" y="0"/>
                      <a:ext cx="5278120" cy="6561734"/>
                    </a:xfrm>
                    <a:prstGeom prst="rect">
                      <a:avLst/>
                    </a:prstGeom>
                    <a:noFill/>
                    <a:ln>
                      <a:noFill/>
                    </a:ln>
                    <a:extLst>
                      <a:ext uri="{53640926-AAD7-44D8-BBD7-CCE9431645EC}">
                        <a14:shadowObscured xmlns:a14="http://schemas.microsoft.com/office/drawing/2010/main"/>
                      </a:ext>
                    </a:extLst>
                  </pic:spPr>
                </pic:pic>
              </a:graphicData>
            </a:graphic>
          </wp:inline>
        </w:drawing>
      </w:r>
      <w:r w:rsidR="00886A06" w:rsidRPr="009833BA">
        <w:rPr>
          <w:rFonts w:ascii="Times New Roman" w:hAnsi="Times New Roman" w:cs="Times New Roman" w:hint="eastAsia"/>
          <w:b/>
          <w:bCs/>
          <w:sz w:val="21"/>
          <w:szCs w:val="21"/>
        </w:rPr>
        <w:t xml:space="preserve"> </w:t>
      </w:r>
      <w:r w:rsidR="00D04F2A" w:rsidRPr="009833BA">
        <w:rPr>
          <w:rFonts w:ascii="Times New Roman" w:hAnsi="Times New Roman" w:cs="Times New Roman" w:hint="eastAsia"/>
          <w:b/>
          <w:bCs/>
          <w:sz w:val="21"/>
          <w:szCs w:val="21"/>
        </w:rPr>
        <w:t xml:space="preserve">Supplementary Fig. </w:t>
      </w:r>
      <w:r w:rsidR="00886A06">
        <w:rPr>
          <w:rFonts w:ascii="Times New Roman" w:hAnsi="Times New Roman" w:cs="Times New Roman" w:hint="eastAsia"/>
          <w:b/>
          <w:bCs/>
          <w:sz w:val="21"/>
          <w:szCs w:val="21"/>
          <w:lang w:eastAsia="zh-CN"/>
        </w:rPr>
        <w:t>S</w:t>
      </w:r>
      <w:r w:rsidR="00D04F2A" w:rsidRPr="009833BA">
        <w:rPr>
          <w:rFonts w:ascii="Times New Roman" w:hAnsi="Times New Roman" w:cs="Times New Roman" w:hint="eastAsia"/>
          <w:b/>
          <w:bCs/>
          <w:sz w:val="21"/>
          <w:szCs w:val="21"/>
        </w:rPr>
        <w:t>6.</w:t>
      </w:r>
      <w:r w:rsidR="00FA0ACF" w:rsidRPr="009833BA">
        <w:rPr>
          <w:rFonts w:ascii="Times New Roman" w:hAnsi="Times New Roman" w:cs="Times New Roman" w:hint="eastAsia"/>
          <w:b/>
          <w:bCs/>
          <w:sz w:val="21"/>
          <w:szCs w:val="21"/>
          <w:lang w:eastAsia="zh-CN"/>
        </w:rPr>
        <w:t xml:space="preserve"> Analysis of malignant epithelial cell heterogeneity and</w:t>
      </w:r>
      <w:r w:rsidR="00D04F2A" w:rsidRPr="009833BA">
        <w:rPr>
          <w:rFonts w:ascii="Times New Roman" w:hAnsi="Times New Roman" w:cs="Times New Roman" w:hint="eastAsia"/>
          <w:b/>
          <w:bCs/>
          <w:sz w:val="21"/>
          <w:szCs w:val="21"/>
        </w:rPr>
        <w:t xml:space="preserve"> </w:t>
      </w:r>
      <w:r w:rsidR="00FA0ACF" w:rsidRPr="009833BA">
        <w:rPr>
          <w:rFonts w:ascii="Times New Roman" w:hAnsi="Times New Roman" w:cs="Times New Roman" w:hint="eastAsia"/>
          <w:b/>
          <w:bCs/>
          <w:sz w:val="21"/>
          <w:szCs w:val="21"/>
          <w:lang w:eastAsia="zh-CN"/>
        </w:rPr>
        <w:t>i</w:t>
      </w:r>
      <w:r w:rsidR="00D04F2A" w:rsidRPr="009833BA">
        <w:rPr>
          <w:rFonts w:ascii="Times New Roman" w:hAnsi="Times New Roman" w:cs="Times New Roman" w:hint="eastAsia"/>
          <w:b/>
          <w:bCs/>
          <w:sz w:val="21"/>
          <w:szCs w:val="21"/>
        </w:rPr>
        <w:t>dentification of eCCA-specific basal-like progenitor populations</w:t>
      </w:r>
      <w:r w:rsidR="00D04F2A" w:rsidRPr="009833BA">
        <w:rPr>
          <w:rFonts w:ascii="Times New Roman" w:hAnsi="Times New Roman" w:cs="Times New Roman" w:hint="eastAsia"/>
          <w:b/>
          <w:bCs/>
          <w:sz w:val="21"/>
          <w:szCs w:val="21"/>
          <w:lang w:eastAsia="zh-CN"/>
        </w:rPr>
        <w:t>.</w:t>
      </w:r>
      <w:r w:rsidR="00D04F2A" w:rsidRPr="009833BA">
        <w:rPr>
          <w:rFonts w:ascii="Times New Roman" w:hAnsi="Times New Roman" w:cs="Times New Roman" w:hint="eastAsia"/>
          <w:sz w:val="21"/>
          <w:szCs w:val="21"/>
          <w:lang w:eastAsia="zh-CN"/>
        </w:rPr>
        <w:t xml:space="preserve"> </w:t>
      </w:r>
    </w:p>
    <w:p w:rsidR="00D14CFE" w:rsidRPr="009833BA" w:rsidRDefault="00FA0ACF" w:rsidP="006B4B2A">
      <w:pPr>
        <w:spacing w:before="100" w:beforeAutospacing="1" w:after="100" w:afterAutospacing="1" w:line="240" w:lineRule="auto"/>
        <w:jc w:val="both"/>
        <w:rPr>
          <w:rFonts w:ascii="Times New Roman" w:hAnsi="Times New Roman" w:cs="Times New Roman"/>
          <w:sz w:val="21"/>
          <w:szCs w:val="21"/>
        </w:rPr>
      </w:pPr>
      <w:r w:rsidRPr="009833BA">
        <w:rPr>
          <w:rFonts w:ascii="Times New Roman" w:hAnsi="Times New Roman" w:cs="Times New Roman"/>
          <w:sz w:val="21"/>
          <w:szCs w:val="21"/>
        </w:rPr>
        <w:t>(</w:t>
      </w:r>
      <w:r w:rsidRPr="009833BA">
        <w:rPr>
          <w:rFonts w:ascii="Times New Roman" w:hAnsi="Times New Roman" w:cs="Times New Roman" w:hint="eastAsia"/>
          <w:b/>
          <w:bCs/>
          <w:sz w:val="21"/>
          <w:szCs w:val="21"/>
          <w:lang w:eastAsia="zh-CN"/>
        </w:rPr>
        <w:t>A</w:t>
      </w:r>
      <w:r w:rsidRPr="009833BA">
        <w:rPr>
          <w:rFonts w:ascii="Times New Roman" w:hAnsi="Times New Roman" w:cs="Times New Roman"/>
          <w:sz w:val="21"/>
          <w:szCs w:val="21"/>
        </w:rPr>
        <w:t>) Inter</w:t>
      </w:r>
      <w:r w:rsidRPr="009833BA">
        <w:rPr>
          <w:rFonts w:ascii="Times New Roman" w:hAnsi="Times New Roman" w:cs="Times New Roman" w:hint="eastAsia"/>
          <w:sz w:val="21"/>
          <w:szCs w:val="21"/>
        </w:rPr>
        <w:t xml:space="preserve">-tumoral </w:t>
      </w:r>
      <w:r w:rsidRPr="009833BA">
        <w:rPr>
          <w:rFonts w:ascii="Times New Roman" w:hAnsi="Times New Roman" w:cs="Times New Roman"/>
          <w:sz w:val="21"/>
          <w:szCs w:val="21"/>
        </w:rPr>
        <w:t>heterogeneity of iCCA</w:t>
      </w:r>
      <w:r w:rsidRPr="009833BA">
        <w:rPr>
          <w:rFonts w:ascii="Times New Roman" w:hAnsi="Times New Roman" w:cs="Times New Roman" w:hint="eastAsia"/>
          <w:sz w:val="21"/>
          <w:szCs w:val="21"/>
        </w:rPr>
        <w:t>s</w:t>
      </w:r>
      <w:r w:rsidRPr="009833BA">
        <w:rPr>
          <w:rFonts w:ascii="Times New Roman" w:hAnsi="Times New Roman" w:cs="Times New Roman"/>
          <w:sz w:val="21"/>
          <w:szCs w:val="21"/>
        </w:rPr>
        <w:t>, pCCA</w:t>
      </w:r>
      <w:r w:rsidRPr="009833BA">
        <w:rPr>
          <w:rFonts w:ascii="Times New Roman" w:hAnsi="Times New Roman" w:cs="Times New Roman" w:hint="eastAsia"/>
          <w:sz w:val="21"/>
          <w:szCs w:val="21"/>
        </w:rPr>
        <w:t>s</w:t>
      </w:r>
      <w:r w:rsidRPr="009833BA">
        <w:rPr>
          <w:rFonts w:ascii="Times New Roman" w:hAnsi="Times New Roman" w:cs="Times New Roman"/>
          <w:sz w:val="21"/>
          <w:szCs w:val="21"/>
        </w:rPr>
        <w:t xml:space="preserve"> and dCCA</w:t>
      </w:r>
      <w:r w:rsidRPr="009833BA">
        <w:rPr>
          <w:rFonts w:ascii="Times New Roman" w:hAnsi="Times New Roman" w:cs="Times New Roman" w:hint="eastAsia"/>
          <w:sz w:val="21"/>
          <w:szCs w:val="21"/>
        </w:rPr>
        <w:t>s</w:t>
      </w:r>
      <w:r w:rsidRPr="009833BA">
        <w:rPr>
          <w:rFonts w:ascii="Times New Roman" w:hAnsi="Times New Roman" w:cs="Times New Roman"/>
          <w:sz w:val="21"/>
          <w:szCs w:val="21"/>
        </w:rPr>
        <w:t>.(</w:t>
      </w:r>
      <w:r w:rsidRPr="009833BA">
        <w:rPr>
          <w:rFonts w:ascii="Times New Roman" w:hAnsi="Times New Roman" w:cs="Times New Roman" w:hint="eastAsia"/>
          <w:b/>
          <w:bCs/>
          <w:sz w:val="21"/>
          <w:szCs w:val="21"/>
          <w:lang w:eastAsia="zh-CN"/>
        </w:rPr>
        <w:t>B</w:t>
      </w:r>
      <w:r w:rsidRPr="009833BA">
        <w:rPr>
          <w:rFonts w:ascii="Times New Roman" w:hAnsi="Times New Roman" w:cs="Times New Roman"/>
          <w:sz w:val="21"/>
          <w:szCs w:val="21"/>
        </w:rPr>
        <w:t xml:space="preserve">) </w:t>
      </w:r>
      <w:r w:rsidRPr="009833BA">
        <w:rPr>
          <w:rFonts w:ascii="Times New Roman" w:hAnsi="Times New Roman" w:cs="Times New Roman" w:hint="eastAsia"/>
          <w:sz w:val="21"/>
          <w:szCs w:val="21"/>
        </w:rPr>
        <w:t>I</w:t>
      </w:r>
      <w:r w:rsidRPr="009833BA">
        <w:rPr>
          <w:rFonts w:ascii="Times New Roman" w:hAnsi="Times New Roman" w:cs="Times New Roman"/>
          <w:sz w:val="21"/>
          <w:szCs w:val="21"/>
        </w:rPr>
        <w:t>ntra</w:t>
      </w:r>
      <w:r w:rsidRPr="009833BA">
        <w:rPr>
          <w:rFonts w:ascii="Times New Roman" w:hAnsi="Times New Roman" w:cs="Times New Roman" w:hint="eastAsia"/>
          <w:sz w:val="21"/>
          <w:szCs w:val="21"/>
        </w:rPr>
        <w:t xml:space="preserve">-tumoral </w:t>
      </w:r>
      <w:r w:rsidRPr="009833BA">
        <w:rPr>
          <w:rFonts w:ascii="Times New Roman" w:hAnsi="Times New Roman" w:cs="Times New Roman"/>
          <w:sz w:val="21"/>
          <w:szCs w:val="21"/>
        </w:rPr>
        <w:t>heterogeneity of iCCA</w:t>
      </w:r>
      <w:r w:rsidRPr="009833BA">
        <w:rPr>
          <w:rFonts w:ascii="Times New Roman" w:hAnsi="Times New Roman" w:cs="Times New Roman" w:hint="eastAsia"/>
          <w:sz w:val="21"/>
          <w:szCs w:val="21"/>
        </w:rPr>
        <w:t>s</w:t>
      </w:r>
      <w:r w:rsidRPr="009833BA">
        <w:rPr>
          <w:rFonts w:ascii="Times New Roman" w:hAnsi="Times New Roman" w:cs="Times New Roman"/>
          <w:sz w:val="21"/>
          <w:szCs w:val="21"/>
        </w:rPr>
        <w:t>, pCCA</w:t>
      </w:r>
      <w:r w:rsidRPr="009833BA">
        <w:rPr>
          <w:rFonts w:ascii="Times New Roman" w:hAnsi="Times New Roman" w:cs="Times New Roman" w:hint="eastAsia"/>
          <w:sz w:val="21"/>
          <w:szCs w:val="21"/>
        </w:rPr>
        <w:t>s,</w:t>
      </w:r>
      <w:r w:rsidRPr="009833BA">
        <w:rPr>
          <w:rFonts w:ascii="Times New Roman" w:hAnsi="Times New Roman" w:cs="Times New Roman"/>
          <w:sz w:val="21"/>
          <w:szCs w:val="21"/>
        </w:rPr>
        <w:t xml:space="preserve"> and dCCA</w:t>
      </w:r>
      <w:r w:rsidRPr="009833BA">
        <w:rPr>
          <w:rFonts w:ascii="Times New Roman" w:hAnsi="Times New Roman" w:cs="Times New Roman" w:hint="eastAsia"/>
          <w:sz w:val="21"/>
          <w:szCs w:val="21"/>
        </w:rPr>
        <w:t>s</w:t>
      </w:r>
      <w:r w:rsidRPr="009833BA">
        <w:rPr>
          <w:rFonts w:ascii="Times New Roman" w:hAnsi="Times New Roman" w:cs="Times New Roman"/>
          <w:sz w:val="21"/>
          <w:szCs w:val="21"/>
        </w:rPr>
        <w:t xml:space="preserve">. </w:t>
      </w:r>
      <w:r w:rsidR="00D14CFE" w:rsidRPr="009833BA">
        <w:rPr>
          <w:rFonts w:ascii="Times New Roman" w:hAnsi="Times New Roman" w:cs="Times New Roman"/>
          <w:sz w:val="21"/>
          <w:szCs w:val="21"/>
        </w:rPr>
        <w:t>(</w:t>
      </w:r>
      <w:r w:rsidRPr="009833BA">
        <w:rPr>
          <w:rFonts w:ascii="Times New Roman" w:hAnsi="Times New Roman" w:cs="Times New Roman" w:hint="eastAsia"/>
          <w:b/>
          <w:bCs/>
          <w:sz w:val="21"/>
          <w:szCs w:val="21"/>
          <w:lang w:eastAsia="zh-CN"/>
        </w:rPr>
        <w:t>C</w:t>
      </w:r>
      <w:r w:rsidR="00D14CFE" w:rsidRPr="009833BA">
        <w:rPr>
          <w:rFonts w:ascii="Times New Roman" w:hAnsi="Times New Roman" w:cs="Times New Roman"/>
          <w:sz w:val="21"/>
          <w:szCs w:val="21"/>
        </w:rPr>
        <w:t xml:space="preserve">) UMAP </w:t>
      </w:r>
      <w:r w:rsidR="00D14CFE" w:rsidRPr="009833BA">
        <w:rPr>
          <w:rFonts w:ascii="Times New Roman" w:hAnsi="Times New Roman" w:cs="Times New Roman" w:hint="eastAsia"/>
          <w:sz w:val="21"/>
          <w:szCs w:val="21"/>
        </w:rPr>
        <w:t>visualization</w:t>
      </w:r>
      <w:r w:rsidR="00D14CFE" w:rsidRPr="009833BA">
        <w:rPr>
          <w:rFonts w:ascii="Times New Roman" w:hAnsi="Times New Roman" w:cs="Times New Roman"/>
          <w:sz w:val="21"/>
          <w:szCs w:val="21"/>
        </w:rPr>
        <w:t xml:space="preserve"> of m</w:t>
      </w:r>
      <w:r w:rsidR="00D14CFE" w:rsidRPr="009833BA">
        <w:rPr>
          <w:rFonts w:ascii="Times New Roman" w:hAnsi="Times New Roman" w:cs="Times New Roman" w:hint="eastAsia"/>
          <w:sz w:val="21"/>
          <w:szCs w:val="21"/>
        </w:rPr>
        <w:t>EPC</w:t>
      </w:r>
      <w:r w:rsidR="00D14CFE" w:rsidRPr="009833BA">
        <w:rPr>
          <w:rFonts w:ascii="Times New Roman" w:hAnsi="Times New Roman" w:cs="Times New Roman"/>
          <w:sz w:val="21"/>
          <w:szCs w:val="21"/>
        </w:rPr>
        <w:t>s color</w:t>
      </w:r>
      <w:r w:rsidR="00D14CFE" w:rsidRPr="009833BA">
        <w:rPr>
          <w:rFonts w:ascii="Times New Roman" w:hAnsi="Times New Roman" w:cs="Times New Roman" w:hint="eastAsia"/>
          <w:sz w:val="21"/>
          <w:szCs w:val="21"/>
        </w:rPr>
        <w:t>ed</w:t>
      </w:r>
      <w:r w:rsidR="00D14CFE" w:rsidRPr="009833BA">
        <w:rPr>
          <w:rFonts w:ascii="Times New Roman" w:hAnsi="Times New Roman" w:cs="Times New Roman"/>
          <w:sz w:val="21"/>
          <w:szCs w:val="21"/>
        </w:rPr>
        <w:t xml:space="preserve"> by sample types. (</w:t>
      </w:r>
      <w:r w:rsidRPr="009833BA">
        <w:rPr>
          <w:rFonts w:ascii="Times New Roman" w:hAnsi="Times New Roman" w:cs="Times New Roman" w:hint="eastAsia"/>
          <w:b/>
          <w:bCs/>
          <w:sz w:val="21"/>
          <w:szCs w:val="21"/>
          <w:lang w:eastAsia="zh-CN"/>
        </w:rPr>
        <w:t>D</w:t>
      </w:r>
      <w:r w:rsidR="00D14CFE" w:rsidRPr="009833BA">
        <w:rPr>
          <w:rFonts w:ascii="Times New Roman" w:hAnsi="Times New Roman" w:cs="Times New Roman"/>
          <w:sz w:val="21"/>
          <w:szCs w:val="21"/>
        </w:rPr>
        <w:t xml:space="preserve">) UMAP </w:t>
      </w:r>
      <w:r w:rsidR="00D14CFE" w:rsidRPr="009833BA">
        <w:rPr>
          <w:rFonts w:ascii="Times New Roman" w:hAnsi="Times New Roman" w:cs="Times New Roman" w:hint="eastAsia"/>
          <w:sz w:val="21"/>
          <w:szCs w:val="21"/>
        </w:rPr>
        <w:t>visualization</w:t>
      </w:r>
      <w:r w:rsidR="00D14CFE" w:rsidRPr="009833BA">
        <w:rPr>
          <w:rFonts w:ascii="Times New Roman" w:hAnsi="Times New Roman" w:cs="Times New Roman"/>
          <w:sz w:val="21"/>
          <w:szCs w:val="21"/>
        </w:rPr>
        <w:t xml:space="preserve"> of m</w:t>
      </w:r>
      <w:r w:rsidR="00D14CFE" w:rsidRPr="009833BA">
        <w:rPr>
          <w:rFonts w:ascii="Times New Roman" w:hAnsi="Times New Roman" w:cs="Times New Roman" w:hint="eastAsia"/>
          <w:sz w:val="21"/>
          <w:szCs w:val="21"/>
        </w:rPr>
        <w:t>EPC</w:t>
      </w:r>
      <w:r w:rsidR="00D14CFE" w:rsidRPr="009833BA">
        <w:rPr>
          <w:rFonts w:ascii="Times New Roman" w:hAnsi="Times New Roman" w:cs="Times New Roman"/>
          <w:sz w:val="21"/>
          <w:szCs w:val="21"/>
        </w:rPr>
        <w:t>s color</w:t>
      </w:r>
      <w:r w:rsidR="00D14CFE" w:rsidRPr="009833BA">
        <w:rPr>
          <w:rFonts w:ascii="Times New Roman" w:hAnsi="Times New Roman" w:cs="Times New Roman" w:hint="eastAsia"/>
          <w:sz w:val="21"/>
          <w:szCs w:val="21"/>
        </w:rPr>
        <w:t>ed</w:t>
      </w:r>
      <w:r w:rsidR="00D14CFE" w:rsidRPr="009833BA">
        <w:rPr>
          <w:rFonts w:ascii="Times New Roman" w:hAnsi="Times New Roman" w:cs="Times New Roman"/>
          <w:sz w:val="21"/>
          <w:szCs w:val="21"/>
        </w:rPr>
        <w:t xml:space="preserve"> by </w:t>
      </w:r>
      <w:r w:rsidR="00D14CFE" w:rsidRPr="009833BA">
        <w:rPr>
          <w:rFonts w:ascii="Times New Roman" w:hAnsi="Times New Roman" w:cs="Times New Roman" w:hint="eastAsia"/>
          <w:sz w:val="21"/>
          <w:szCs w:val="21"/>
        </w:rPr>
        <w:t>patients</w:t>
      </w:r>
      <w:r w:rsidR="00D14CFE" w:rsidRPr="009833BA">
        <w:rPr>
          <w:rFonts w:ascii="Times New Roman" w:hAnsi="Times New Roman" w:cs="Times New Roman"/>
          <w:sz w:val="21"/>
          <w:szCs w:val="21"/>
        </w:rPr>
        <w:t>. (</w:t>
      </w:r>
      <w:r w:rsidRPr="009833BA">
        <w:rPr>
          <w:rFonts w:ascii="Times New Roman" w:hAnsi="Times New Roman" w:cs="Times New Roman" w:hint="eastAsia"/>
          <w:b/>
          <w:bCs/>
          <w:sz w:val="21"/>
          <w:szCs w:val="21"/>
          <w:lang w:eastAsia="zh-CN"/>
        </w:rPr>
        <w:t>E</w:t>
      </w:r>
      <w:r w:rsidR="00D14CFE" w:rsidRPr="009833BA">
        <w:rPr>
          <w:rFonts w:ascii="Times New Roman" w:hAnsi="Times New Roman" w:cs="Times New Roman"/>
          <w:sz w:val="21"/>
          <w:szCs w:val="21"/>
        </w:rPr>
        <w:t>)</w:t>
      </w:r>
      <w:r w:rsidR="00D14CFE" w:rsidRPr="009833BA">
        <w:rPr>
          <w:rFonts w:ascii="Times New Roman" w:hAnsi="Times New Roman" w:cs="Times New Roman" w:hint="eastAsia"/>
          <w:sz w:val="21"/>
          <w:szCs w:val="21"/>
        </w:rPr>
        <w:t xml:space="preserve"> Dotplot showing m</w:t>
      </w:r>
      <w:r w:rsidR="00D14CFE" w:rsidRPr="009833BA">
        <w:rPr>
          <w:rFonts w:ascii="Times New Roman" w:hAnsi="Times New Roman" w:cs="Times New Roman"/>
          <w:sz w:val="21"/>
          <w:szCs w:val="21"/>
        </w:rPr>
        <w:t>eta-program scores of cluster</w:t>
      </w:r>
      <w:r w:rsidR="00D14CFE" w:rsidRPr="009833BA">
        <w:rPr>
          <w:rFonts w:ascii="Times New Roman" w:hAnsi="Times New Roman" w:cs="Times New Roman" w:hint="eastAsia"/>
          <w:sz w:val="21"/>
          <w:szCs w:val="21"/>
        </w:rPr>
        <w:t xml:space="preserve"> </w:t>
      </w:r>
      <w:r w:rsidR="00D14CFE" w:rsidRPr="009833BA">
        <w:rPr>
          <w:rFonts w:ascii="Times New Roman" w:hAnsi="Times New Roman" w:cs="Times New Roman"/>
          <w:sz w:val="21"/>
          <w:szCs w:val="21"/>
        </w:rPr>
        <w:t xml:space="preserve">7. </w:t>
      </w:r>
      <w:r w:rsidR="00D14CFE" w:rsidRPr="009833BA">
        <w:rPr>
          <w:rFonts w:ascii="Times New Roman" w:hAnsi="Times New Roman" w:cs="Times New Roman" w:hint="eastAsia"/>
          <w:sz w:val="21"/>
          <w:szCs w:val="21"/>
        </w:rPr>
        <w:t>The p values are</w:t>
      </w:r>
      <w:r w:rsidR="00D14CFE" w:rsidRPr="009833BA">
        <w:rPr>
          <w:rFonts w:ascii="Times New Roman" w:hAnsi="Times New Roman" w:cs="Times New Roman"/>
          <w:sz w:val="21"/>
          <w:szCs w:val="21"/>
        </w:rPr>
        <w:t xml:space="preserve"> obtained from Wilcoxon-test. *, p&lt;0.05; **, p&lt;0.01; ***, p&lt;0.001</w:t>
      </w:r>
      <w:r w:rsidR="00D14CFE" w:rsidRPr="009833BA">
        <w:rPr>
          <w:rFonts w:ascii="Times New Roman" w:hAnsi="Times New Roman" w:cs="Times New Roman" w:hint="eastAsia"/>
          <w:sz w:val="21"/>
          <w:szCs w:val="21"/>
        </w:rPr>
        <w:t>.</w:t>
      </w:r>
    </w:p>
    <w:p w:rsidR="00D04F2A" w:rsidRDefault="00A55A1B" w:rsidP="00D04F2A">
      <w:pPr>
        <w:jc w:val="both"/>
        <w:rPr>
          <w:rFonts w:ascii="Times New Roman" w:hAnsi="Times New Roman" w:cs="Times New Roman"/>
          <w:b/>
          <w:bCs/>
        </w:rPr>
      </w:pPr>
      <w:r>
        <w:rPr>
          <w:noProof/>
        </w:rPr>
        <w:lastRenderedPageBreak/>
        <w:drawing>
          <wp:inline distT="0" distB="0" distL="0" distR="0">
            <wp:extent cx="5278120" cy="6466637"/>
            <wp:effectExtent l="0" t="0" r="0" b="0"/>
            <wp:docPr id="41848438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b="7371"/>
                    <a:stretch/>
                  </pic:blipFill>
                  <pic:spPr bwMode="auto">
                    <a:xfrm>
                      <a:off x="0" y="0"/>
                      <a:ext cx="5278120" cy="6466637"/>
                    </a:xfrm>
                    <a:prstGeom prst="rect">
                      <a:avLst/>
                    </a:prstGeom>
                    <a:noFill/>
                    <a:ln>
                      <a:noFill/>
                    </a:ln>
                    <a:extLst>
                      <a:ext uri="{53640926-AAD7-44D8-BBD7-CCE9431645EC}">
                        <a14:shadowObscured xmlns:a14="http://schemas.microsoft.com/office/drawing/2010/main"/>
                      </a:ext>
                    </a:extLst>
                  </pic:spPr>
                </pic:pic>
              </a:graphicData>
            </a:graphic>
          </wp:inline>
        </w:drawing>
      </w:r>
    </w:p>
    <w:p w:rsidR="00D207C5" w:rsidRDefault="00D04F2A" w:rsidP="00E474D9">
      <w:pPr>
        <w:jc w:val="both"/>
        <w:rPr>
          <w:rFonts w:ascii="Times New Roman" w:hAnsi="Times New Roman" w:cs="Times New Roman"/>
          <w:b/>
          <w:bCs/>
        </w:rPr>
      </w:pPr>
      <w:r>
        <w:rPr>
          <w:rFonts w:ascii="Times New Roman" w:hAnsi="Times New Roman" w:cs="Times New Roman" w:hint="eastAsia"/>
          <w:b/>
          <w:bCs/>
        </w:rPr>
        <w:t xml:space="preserve">Supplementary Fig. </w:t>
      </w:r>
      <w:r w:rsidR="00886A06">
        <w:rPr>
          <w:rFonts w:ascii="Times New Roman" w:hAnsi="Times New Roman" w:cs="Times New Roman" w:hint="eastAsia"/>
          <w:b/>
          <w:bCs/>
          <w:lang w:eastAsia="zh-CN"/>
        </w:rPr>
        <w:t>S</w:t>
      </w:r>
      <w:r>
        <w:rPr>
          <w:rFonts w:ascii="Times New Roman" w:hAnsi="Times New Roman" w:cs="Times New Roman" w:hint="eastAsia"/>
          <w:b/>
          <w:bCs/>
        </w:rPr>
        <w:t xml:space="preserve">7. </w:t>
      </w:r>
      <w:r w:rsidRPr="00BB68D1">
        <w:rPr>
          <w:rFonts w:ascii="Times New Roman" w:hAnsi="Times New Roman" w:cs="Times New Roman"/>
          <w:b/>
          <w:bCs/>
        </w:rPr>
        <w:t xml:space="preserve">Validation of eCCA-specific basal-like progenitor </w:t>
      </w:r>
      <w:r>
        <w:rPr>
          <w:rFonts w:ascii="Times New Roman" w:hAnsi="Times New Roman" w:cs="Times New Roman" w:hint="eastAsia"/>
          <w:b/>
          <w:bCs/>
        </w:rPr>
        <w:t>sub</w:t>
      </w:r>
      <w:r w:rsidRPr="00BB68D1">
        <w:rPr>
          <w:rFonts w:ascii="Times New Roman" w:hAnsi="Times New Roman" w:cs="Times New Roman"/>
          <w:b/>
          <w:bCs/>
        </w:rPr>
        <w:t xml:space="preserve">populations in </w:t>
      </w:r>
      <w:r>
        <w:rPr>
          <w:rFonts w:ascii="Times New Roman" w:hAnsi="Times New Roman" w:cs="Times New Roman" w:hint="eastAsia"/>
          <w:b/>
          <w:bCs/>
        </w:rPr>
        <w:t xml:space="preserve">three </w:t>
      </w:r>
      <w:r w:rsidRPr="00BB68D1">
        <w:rPr>
          <w:rFonts w:ascii="Times New Roman" w:hAnsi="Times New Roman" w:cs="Times New Roman"/>
          <w:b/>
          <w:bCs/>
        </w:rPr>
        <w:t xml:space="preserve">external </w:t>
      </w:r>
      <w:r>
        <w:rPr>
          <w:rFonts w:ascii="Times New Roman" w:hAnsi="Times New Roman" w:cs="Times New Roman" w:hint="eastAsia"/>
          <w:b/>
          <w:bCs/>
        </w:rPr>
        <w:t>single-cell</w:t>
      </w:r>
      <w:r>
        <w:rPr>
          <w:rFonts w:ascii="Times New Roman" w:hAnsi="Times New Roman" w:cs="Times New Roman" w:hint="eastAsia"/>
          <w:b/>
          <w:bCs/>
          <w:lang w:eastAsia="zh-CN"/>
        </w:rPr>
        <w:t>/single-nuclei</w:t>
      </w:r>
      <w:r>
        <w:rPr>
          <w:rFonts w:ascii="Times New Roman" w:hAnsi="Times New Roman" w:cs="Times New Roman" w:hint="eastAsia"/>
          <w:b/>
          <w:bCs/>
        </w:rPr>
        <w:t xml:space="preserve"> RNA-seq cohort</w:t>
      </w:r>
      <w:r w:rsidRPr="00BB68D1">
        <w:rPr>
          <w:rFonts w:ascii="Times New Roman" w:hAnsi="Times New Roman" w:cs="Times New Roman"/>
          <w:b/>
          <w:bCs/>
        </w:rPr>
        <w:t xml:space="preserve">. </w:t>
      </w:r>
    </w:p>
    <w:p w:rsidR="00E474D9" w:rsidRPr="000955E4" w:rsidRDefault="00662A43" w:rsidP="00D207C5">
      <w:pPr>
        <w:spacing w:beforeLines="50" w:before="156" w:afterLines="50" w:after="156"/>
        <w:jc w:val="both"/>
        <w:rPr>
          <w:rFonts w:ascii="Times New Roman" w:hAnsi="Times New Roman" w:cs="Times New Roman"/>
        </w:rPr>
      </w:pPr>
      <w:r w:rsidRPr="00D04F2A">
        <w:rPr>
          <w:rFonts w:ascii="Times New Roman" w:hAnsi="Times New Roman" w:cs="Times New Roman"/>
        </w:rPr>
        <w:t>(</w:t>
      </w:r>
      <w:r w:rsidRPr="00D207C5">
        <w:rPr>
          <w:rFonts w:ascii="Times New Roman" w:hAnsi="Times New Roman" w:cs="Times New Roman" w:hint="eastAsia"/>
          <w:b/>
          <w:bCs/>
        </w:rPr>
        <w:t>A</w:t>
      </w:r>
      <w:r w:rsidRPr="00D04F2A">
        <w:rPr>
          <w:rFonts w:ascii="Times New Roman" w:hAnsi="Times New Roman" w:cs="Times New Roman"/>
        </w:rPr>
        <w:t xml:space="preserve">) </w:t>
      </w:r>
      <w:r w:rsidR="00D04F2A">
        <w:rPr>
          <w:rFonts w:ascii="Times New Roman" w:hAnsi="Times New Roman" w:cs="Times New Roman" w:hint="eastAsia"/>
          <w:lang w:eastAsia="zh-CN"/>
        </w:rPr>
        <w:t xml:space="preserve">Informations of three validation eCCA </w:t>
      </w:r>
      <w:r w:rsidR="00D04F2A" w:rsidRPr="00D04F2A">
        <w:rPr>
          <w:rFonts w:ascii="Times New Roman" w:hAnsi="Times New Roman" w:cs="Times New Roman" w:hint="eastAsia"/>
          <w:lang w:eastAsia="zh-CN"/>
        </w:rPr>
        <w:t xml:space="preserve">single-cell/single-nuclei RNA-seq </w:t>
      </w:r>
      <w:r w:rsidR="00D04F2A">
        <w:rPr>
          <w:rFonts w:ascii="Times New Roman" w:hAnsi="Times New Roman" w:cs="Times New Roman" w:hint="eastAsia"/>
          <w:lang w:eastAsia="zh-CN"/>
        </w:rPr>
        <w:t>cohort</w:t>
      </w:r>
      <w:r w:rsidR="002D11B2">
        <w:rPr>
          <w:rFonts w:ascii="Times New Roman" w:hAnsi="Times New Roman" w:cs="Times New Roman" w:hint="eastAsia"/>
          <w:lang w:eastAsia="zh-CN"/>
        </w:rPr>
        <w:t>s</w:t>
      </w:r>
      <w:r w:rsidR="00D04F2A">
        <w:rPr>
          <w:rFonts w:ascii="Times New Roman" w:hAnsi="Times New Roman" w:cs="Times New Roman" w:hint="eastAsia"/>
          <w:lang w:eastAsia="zh-CN"/>
        </w:rPr>
        <w:t>. (</w:t>
      </w:r>
      <w:r w:rsidR="00D04F2A" w:rsidRPr="00D207C5">
        <w:rPr>
          <w:rFonts w:ascii="Times New Roman" w:hAnsi="Times New Roman" w:cs="Times New Roman" w:hint="eastAsia"/>
          <w:b/>
          <w:bCs/>
          <w:lang w:eastAsia="zh-CN"/>
        </w:rPr>
        <w:t>B</w:t>
      </w:r>
      <w:r w:rsidR="00D04F2A">
        <w:rPr>
          <w:rFonts w:ascii="Times New Roman" w:hAnsi="Times New Roman" w:cs="Times New Roman" w:hint="eastAsia"/>
          <w:lang w:eastAsia="zh-CN"/>
        </w:rPr>
        <w:t xml:space="preserve">) </w:t>
      </w:r>
      <w:r w:rsidRPr="00D04F2A">
        <w:rPr>
          <w:rFonts w:ascii="Times New Roman" w:hAnsi="Times New Roman" w:cs="Times New Roman"/>
        </w:rPr>
        <w:t>UMAP visualization</w:t>
      </w:r>
      <w:r w:rsidRPr="00D04F2A">
        <w:rPr>
          <w:rFonts w:ascii="Times New Roman" w:hAnsi="Times New Roman" w:cs="Times New Roman" w:hint="eastAsia"/>
        </w:rPr>
        <w:t xml:space="preserve"> </w:t>
      </w:r>
      <w:r w:rsidRPr="00D04F2A">
        <w:rPr>
          <w:rFonts w:ascii="Times New Roman" w:hAnsi="Times New Roman" w:cs="Times New Roman"/>
        </w:rPr>
        <w:t>of all cells color by cell types.</w:t>
      </w:r>
      <w:r w:rsidR="00D04F2A">
        <w:rPr>
          <w:rFonts w:ascii="Times New Roman" w:hAnsi="Times New Roman" w:cs="Times New Roman" w:hint="eastAsia"/>
          <w:lang w:eastAsia="zh-CN"/>
        </w:rPr>
        <w:t>(</w:t>
      </w:r>
      <w:r w:rsidR="00D04F2A" w:rsidRPr="00D207C5">
        <w:rPr>
          <w:rFonts w:ascii="Times New Roman" w:hAnsi="Times New Roman" w:cs="Times New Roman" w:hint="eastAsia"/>
          <w:b/>
          <w:bCs/>
          <w:lang w:eastAsia="zh-CN"/>
        </w:rPr>
        <w:t>C</w:t>
      </w:r>
      <w:r w:rsidR="00D04F2A">
        <w:rPr>
          <w:rFonts w:ascii="Times New Roman" w:hAnsi="Times New Roman" w:cs="Times New Roman" w:hint="eastAsia"/>
          <w:lang w:eastAsia="zh-CN"/>
        </w:rPr>
        <w:t xml:space="preserve">) </w:t>
      </w:r>
      <w:r w:rsidR="00D04F2A" w:rsidRPr="00D04F2A">
        <w:rPr>
          <w:rFonts w:ascii="Times New Roman" w:hAnsi="Times New Roman" w:cs="Times New Roman"/>
        </w:rPr>
        <w:t>UMAP visualization</w:t>
      </w:r>
      <w:r w:rsidR="00D04F2A" w:rsidRPr="00D04F2A">
        <w:rPr>
          <w:rFonts w:ascii="Times New Roman" w:hAnsi="Times New Roman" w:cs="Times New Roman" w:hint="eastAsia"/>
        </w:rPr>
        <w:t xml:space="preserve"> </w:t>
      </w:r>
      <w:r w:rsidR="00D04F2A" w:rsidRPr="00D04F2A">
        <w:rPr>
          <w:rFonts w:ascii="Times New Roman" w:hAnsi="Times New Roman" w:cs="Times New Roman"/>
        </w:rPr>
        <w:t xml:space="preserve">of all cells color by </w:t>
      </w:r>
      <w:r w:rsidR="00D04F2A">
        <w:rPr>
          <w:rFonts w:ascii="Times New Roman" w:hAnsi="Times New Roman" w:cs="Times New Roman" w:hint="eastAsia"/>
          <w:lang w:eastAsia="zh-CN"/>
        </w:rPr>
        <w:t>cohorts.</w:t>
      </w:r>
      <w:r w:rsidR="00D04F2A" w:rsidRPr="00D04F2A">
        <w:rPr>
          <w:rFonts w:ascii="Times New Roman" w:hAnsi="Times New Roman" w:cs="Times New Roman" w:hint="eastAsia"/>
          <w:lang w:eastAsia="zh-CN"/>
        </w:rPr>
        <w:t xml:space="preserve"> </w:t>
      </w:r>
      <w:r w:rsidR="00D04F2A">
        <w:rPr>
          <w:rFonts w:ascii="Times New Roman" w:hAnsi="Times New Roman" w:cs="Times New Roman" w:hint="eastAsia"/>
          <w:lang w:eastAsia="zh-CN"/>
        </w:rPr>
        <w:t>(</w:t>
      </w:r>
      <w:r w:rsidR="00D04F2A" w:rsidRPr="00D207C5">
        <w:rPr>
          <w:rFonts w:ascii="Times New Roman" w:hAnsi="Times New Roman" w:cs="Times New Roman" w:hint="eastAsia"/>
          <w:b/>
          <w:bCs/>
          <w:lang w:eastAsia="zh-CN"/>
        </w:rPr>
        <w:t>D</w:t>
      </w:r>
      <w:r w:rsidR="00D04F2A">
        <w:rPr>
          <w:rFonts w:ascii="Times New Roman" w:hAnsi="Times New Roman" w:cs="Times New Roman" w:hint="eastAsia"/>
          <w:lang w:eastAsia="zh-CN"/>
        </w:rPr>
        <w:t xml:space="preserve">) </w:t>
      </w:r>
      <w:r w:rsidR="00D04F2A" w:rsidRPr="00D04F2A">
        <w:rPr>
          <w:rFonts w:ascii="Times New Roman" w:hAnsi="Times New Roman" w:cs="Times New Roman"/>
        </w:rPr>
        <w:t>UMAP visualization</w:t>
      </w:r>
      <w:r w:rsidR="00D04F2A" w:rsidRPr="00D04F2A">
        <w:rPr>
          <w:rFonts w:ascii="Times New Roman" w:hAnsi="Times New Roman" w:cs="Times New Roman" w:hint="eastAsia"/>
        </w:rPr>
        <w:t xml:space="preserve"> </w:t>
      </w:r>
      <w:r w:rsidR="00D04F2A" w:rsidRPr="00D04F2A">
        <w:rPr>
          <w:rFonts w:ascii="Times New Roman" w:hAnsi="Times New Roman" w:cs="Times New Roman"/>
        </w:rPr>
        <w:t>of all cells color by</w:t>
      </w:r>
      <w:r w:rsidR="00D04F2A">
        <w:rPr>
          <w:rFonts w:ascii="Times New Roman" w:hAnsi="Times New Roman" w:cs="Times New Roman" w:hint="eastAsia"/>
          <w:lang w:eastAsia="zh-CN"/>
        </w:rPr>
        <w:t xml:space="preserve"> patients</w:t>
      </w:r>
      <w:r w:rsidR="00D04F2A" w:rsidRPr="00D04F2A">
        <w:rPr>
          <w:rFonts w:ascii="Times New Roman" w:hAnsi="Times New Roman" w:cs="Times New Roman"/>
        </w:rPr>
        <w:t xml:space="preserve">. </w:t>
      </w:r>
      <w:r w:rsidR="00D04F2A">
        <w:rPr>
          <w:rFonts w:ascii="Times New Roman" w:hAnsi="Times New Roman" w:cs="Times New Roman" w:hint="eastAsia"/>
          <w:lang w:eastAsia="zh-CN"/>
        </w:rPr>
        <w:t>(</w:t>
      </w:r>
      <w:r w:rsidR="00D04F2A" w:rsidRPr="00D207C5">
        <w:rPr>
          <w:rFonts w:ascii="Times New Roman" w:hAnsi="Times New Roman" w:cs="Times New Roman" w:hint="eastAsia"/>
          <w:b/>
          <w:bCs/>
          <w:lang w:eastAsia="zh-CN"/>
        </w:rPr>
        <w:t>E</w:t>
      </w:r>
      <w:r w:rsidR="00D04F2A">
        <w:rPr>
          <w:rFonts w:ascii="Times New Roman" w:hAnsi="Times New Roman" w:cs="Times New Roman" w:hint="eastAsia"/>
          <w:lang w:eastAsia="zh-CN"/>
        </w:rPr>
        <w:t xml:space="preserve">) Bubble plot showing expression of cell markers. </w:t>
      </w:r>
      <w:r w:rsidRPr="00D04F2A">
        <w:rPr>
          <w:rFonts w:ascii="Times New Roman" w:hAnsi="Times New Roman" w:cs="Times New Roman"/>
        </w:rPr>
        <w:t>(</w:t>
      </w:r>
      <w:r w:rsidR="00D04F2A" w:rsidRPr="00D207C5">
        <w:rPr>
          <w:rFonts w:ascii="Times New Roman" w:hAnsi="Times New Roman" w:cs="Times New Roman" w:hint="eastAsia"/>
          <w:b/>
          <w:bCs/>
          <w:lang w:eastAsia="zh-CN"/>
        </w:rPr>
        <w:t>F</w:t>
      </w:r>
      <w:r w:rsidRPr="00D04F2A">
        <w:rPr>
          <w:rFonts w:ascii="Times New Roman" w:hAnsi="Times New Roman" w:cs="Times New Roman"/>
        </w:rPr>
        <w:t>) UMAP visualization</w:t>
      </w:r>
      <w:r w:rsidRPr="00D04F2A">
        <w:rPr>
          <w:rFonts w:ascii="Times New Roman" w:hAnsi="Times New Roman" w:cs="Times New Roman" w:hint="eastAsia"/>
        </w:rPr>
        <w:t xml:space="preserve"> </w:t>
      </w:r>
      <w:r w:rsidRPr="00D04F2A">
        <w:rPr>
          <w:rFonts w:ascii="Times New Roman" w:hAnsi="Times New Roman" w:cs="Times New Roman"/>
        </w:rPr>
        <w:t>of epithelial cells colored by Seurat clusters. (</w:t>
      </w:r>
      <w:r w:rsidR="00D04F2A" w:rsidRPr="00D207C5">
        <w:rPr>
          <w:rFonts w:ascii="Times New Roman" w:hAnsi="Times New Roman" w:cs="Times New Roman" w:hint="eastAsia"/>
          <w:b/>
          <w:bCs/>
          <w:lang w:eastAsia="zh-CN"/>
        </w:rPr>
        <w:t>G</w:t>
      </w:r>
      <w:r w:rsidRPr="00D04F2A">
        <w:rPr>
          <w:rFonts w:ascii="Times New Roman" w:hAnsi="Times New Roman" w:cs="Times New Roman"/>
        </w:rPr>
        <w:t>)</w:t>
      </w:r>
      <w:r w:rsidRPr="00D04F2A">
        <w:rPr>
          <w:rFonts w:ascii="Times New Roman" w:hAnsi="Times New Roman" w:cs="Times New Roman" w:hint="eastAsia"/>
        </w:rPr>
        <w:t xml:space="preserve"> </w:t>
      </w:r>
      <w:r w:rsidR="00D04F2A" w:rsidRPr="00D04F2A">
        <w:rPr>
          <w:rFonts w:ascii="Times New Roman" w:hAnsi="Times New Roman" w:cs="Times New Roman" w:hint="eastAsia"/>
        </w:rPr>
        <w:t xml:space="preserve">Dotplot showing </w:t>
      </w:r>
      <w:r w:rsidR="00D04F2A">
        <w:rPr>
          <w:rFonts w:ascii="Times New Roman" w:hAnsi="Times New Roman" w:cs="Times New Roman" w:hint="eastAsia"/>
          <w:lang w:eastAsia="zh-CN"/>
        </w:rPr>
        <w:t>expression of basal-like epithelial genes</w:t>
      </w:r>
      <w:r w:rsidR="00D04F2A" w:rsidRPr="00D04F2A">
        <w:rPr>
          <w:rFonts w:ascii="Times New Roman" w:hAnsi="Times New Roman" w:cs="Times New Roman"/>
        </w:rPr>
        <w:t>.</w:t>
      </w:r>
      <w:r w:rsidR="00D04F2A">
        <w:rPr>
          <w:rFonts w:ascii="Times New Roman" w:hAnsi="Times New Roman" w:cs="Times New Roman" w:hint="eastAsia"/>
          <w:lang w:eastAsia="zh-CN"/>
        </w:rPr>
        <w:t xml:space="preserve"> (</w:t>
      </w:r>
      <w:r w:rsidR="00D04F2A" w:rsidRPr="00D207C5">
        <w:rPr>
          <w:rFonts w:ascii="Times New Roman" w:hAnsi="Times New Roman" w:cs="Times New Roman" w:hint="eastAsia"/>
          <w:b/>
          <w:bCs/>
          <w:lang w:eastAsia="zh-CN"/>
        </w:rPr>
        <w:t>H</w:t>
      </w:r>
      <w:r w:rsidR="00D04F2A">
        <w:rPr>
          <w:rFonts w:ascii="Times New Roman" w:hAnsi="Times New Roman" w:cs="Times New Roman" w:hint="eastAsia"/>
          <w:lang w:eastAsia="zh-CN"/>
        </w:rPr>
        <w:t xml:space="preserve">) </w:t>
      </w:r>
      <w:r w:rsidR="00D04F2A" w:rsidRPr="00D04F2A">
        <w:rPr>
          <w:rFonts w:ascii="Times New Roman" w:hAnsi="Times New Roman" w:cs="Times New Roman"/>
          <w:lang w:eastAsia="zh-CN"/>
        </w:rPr>
        <w:t>Comparison</w:t>
      </w:r>
      <w:r w:rsidR="00D04F2A">
        <w:rPr>
          <w:rFonts w:ascii="Times New Roman" w:hAnsi="Times New Roman" w:cs="Times New Roman" w:hint="eastAsia"/>
          <w:lang w:eastAsia="zh-CN"/>
        </w:rPr>
        <w:t xml:space="preserve"> of Epi_05 proportions between benign and tumore samples. </w:t>
      </w:r>
      <w:r w:rsidRPr="00D04F2A">
        <w:rPr>
          <w:rFonts w:ascii="Times New Roman" w:hAnsi="Times New Roman" w:cs="Times New Roman"/>
        </w:rPr>
        <w:t>(</w:t>
      </w:r>
      <w:r w:rsidR="00D04F2A" w:rsidRPr="00D207C5">
        <w:rPr>
          <w:rFonts w:ascii="Times New Roman" w:hAnsi="Times New Roman" w:cs="Times New Roman" w:hint="eastAsia"/>
          <w:b/>
          <w:bCs/>
          <w:lang w:eastAsia="zh-CN"/>
        </w:rPr>
        <w:t>I</w:t>
      </w:r>
      <w:r w:rsidRPr="00D04F2A">
        <w:rPr>
          <w:rFonts w:ascii="Times New Roman" w:hAnsi="Times New Roman" w:cs="Times New Roman"/>
        </w:rPr>
        <w:t>)</w:t>
      </w:r>
      <w:r w:rsidR="00D04F2A">
        <w:rPr>
          <w:rFonts w:ascii="Times New Roman" w:hAnsi="Times New Roman" w:cs="Times New Roman" w:hint="eastAsia"/>
          <w:lang w:eastAsia="zh-CN"/>
        </w:rPr>
        <w:t xml:space="preserve"> Pie chart showing the proportion of </w:t>
      </w:r>
      <w:r w:rsidR="00D04F2A">
        <w:rPr>
          <w:rFonts w:ascii="Times New Roman" w:hAnsi="Times New Roman" w:cs="Times New Roman" w:hint="eastAsia"/>
          <w:lang w:eastAsia="zh-CN"/>
        </w:rPr>
        <w:lastRenderedPageBreak/>
        <w:t>patients in Epi_05.</w:t>
      </w:r>
      <w:r w:rsidRPr="00D04F2A">
        <w:rPr>
          <w:rFonts w:ascii="Times New Roman" w:hAnsi="Times New Roman" w:cs="Times New Roman"/>
        </w:rPr>
        <w:t xml:space="preserve"> </w:t>
      </w:r>
      <w:r w:rsidR="00E474D9" w:rsidRPr="000955E4">
        <w:rPr>
          <w:rFonts w:ascii="Times New Roman" w:hAnsi="Times New Roman" w:cs="Times New Roman"/>
        </w:rPr>
        <w:t>(</w:t>
      </w:r>
      <w:r w:rsidR="001B639D" w:rsidRPr="00D207C5">
        <w:rPr>
          <w:rFonts w:ascii="Times New Roman" w:hAnsi="Times New Roman" w:cs="Times New Roman" w:hint="eastAsia"/>
          <w:b/>
          <w:bCs/>
          <w:lang w:eastAsia="zh-CN"/>
        </w:rPr>
        <w:t>J</w:t>
      </w:r>
      <w:r w:rsidR="00E474D9" w:rsidRPr="000955E4">
        <w:rPr>
          <w:rFonts w:ascii="Times New Roman" w:hAnsi="Times New Roman" w:cs="Times New Roman"/>
        </w:rPr>
        <w:t>)</w:t>
      </w:r>
      <w:r w:rsidR="00E474D9" w:rsidRPr="00D14CFE">
        <w:rPr>
          <w:rFonts w:ascii="Times New Roman" w:hAnsi="Times New Roman" w:cs="Times New Roman" w:hint="eastAsia"/>
        </w:rPr>
        <w:t xml:space="preserve"> </w:t>
      </w:r>
      <w:r w:rsidR="00551CA8">
        <w:rPr>
          <w:rFonts w:ascii="Times New Roman" w:hAnsi="Times New Roman" w:cs="Times New Roman" w:hint="eastAsia"/>
          <w:lang w:eastAsia="zh-CN"/>
        </w:rPr>
        <w:t>Violin plot</w:t>
      </w:r>
      <w:r w:rsidR="00551CA8">
        <w:rPr>
          <w:rFonts w:ascii="Times New Roman" w:hAnsi="Times New Roman" w:cs="Times New Roman" w:hint="eastAsia"/>
        </w:rPr>
        <w:t xml:space="preserve"> showing IFN-response</w:t>
      </w:r>
      <w:r w:rsidR="00551CA8" w:rsidRPr="00BB68D1">
        <w:rPr>
          <w:rFonts w:ascii="Times New Roman" w:hAnsi="Times New Roman" w:cs="Times New Roman"/>
        </w:rPr>
        <w:t xml:space="preserve"> scores of </w:t>
      </w:r>
      <w:r w:rsidR="00551CA8">
        <w:rPr>
          <w:rFonts w:ascii="Times New Roman" w:hAnsi="Times New Roman" w:cs="Times New Roman" w:hint="eastAsia"/>
        </w:rPr>
        <w:t>epithelial clusters</w:t>
      </w:r>
      <w:r w:rsidR="00E474D9" w:rsidRPr="000955E4">
        <w:rPr>
          <w:rFonts w:ascii="Times New Roman" w:hAnsi="Times New Roman" w:cs="Times New Roman"/>
        </w:rPr>
        <w:t xml:space="preserve">. </w:t>
      </w:r>
      <w:r w:rsidR="00E474D9" w:rsidRPr="000955E4">
        <w:rPr>
          <w:rFonts w:ascii="Times New Roman" w:hAnsi="Times New Roman" w:cs="Times New Roman" w:hint="eastAsia"/>
        </w:rPr>
        <w:t>The p values are</w:t>
      </w:r>
      <w:r w:rsidR="00E474D9" w:rsidRPr="000955E4">
        <w:rPr>
          <w:rFonts w:ascii="Times New Roman" w:hAnsi="Times New Roman" w:cs="Times New Roman"/>
        </w:rPr>
        <w:t xml:space="preserve"> obtained from Wilcoxon-test. *, p&lt;0.05; **, p&lt;0.01; ***, p&lt;0.001</w:t>
      </w:r>
      <w:r w:rsidR="00E474D9" w:rsidRPr="000955E4">
        <w:rPr>
          <w:rFonts w:ascii="Times New Roman" w:hAnsi="Times New Roman" w:cs="Times New Roman" w:hint="eastAsia"/>
        </w:rPr>
        <w:t>.</w:t>
      </w:r>
    </w:p>
    <w:p w:rsidR="00965D09" w:rsidRDefault="00662A43" w:rsidP="00242C03">
      <w:pPr>
        <w:spacing w:after="0" w:line="240" w:lineRule="auto"/>
        <w:rPr>
          <w:rFonts w:ascii="Times New Roman" w:hAnsi="Times New Roman" w:cs="Times New Roman"/>
          <w:b/>
          <w:bCs/>
          <w:sz w:val="21"/>
          <w:szCs w:val="21"/>
        </w:rPr>
      </w:pPr>
      <w:r>
        <w:rPr>
          <w:rFonts w:ascii="Times New Roman" w:hAnsi="Times New Roman" w:cs="Times New Roman"/>
        </w:rPr>
        <w:br w:type="page"/>
      </w:r>
      <w:r w:rsidR="00A50107">
        <w:rPr>
          <w:noProof/>
        </w:rPr>
        <w:lastRenderedPageBreak/>
        <w:drawing>
          <wp:inline distT="0" distB="0" distL="0" distR="0">
            <wp:extent cx="5278120" cy="5742432"/>
            <wp:effectExtent l="0" t="0" r="0" b="0"/>
            <wp:docPr id="85308876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b="7553"/>
                    <a:stretch/>
                  </pic:blipFill>
                  <pic:spPr bwMode="auto">
                    <a:xfrm>
                      <a:off x="0" y="0"/>
                      <a:ext cx="5278120" cy="5742432"/>
                    </a:xfrm>
                    <a:prstGeom prst="rect">
                      <a:avLst/>
                    </a:prstGeom>
                    <a:noFill/>
                    <a:ln>
                      <a:noFill/>
                    </a:ln>
                    <a:extLst>
                      <a:ext uri="{53640926-AAD7-44D8-BBD7-CCE9431645EC}">
                        <a14:shadowObscured xmlns:a14="http://schemas.microsoft.com/office/drawing/2010/main"/>
                      </a:ext>
                    </a:extLst>
                  </pic:spPr>
                </pic:pic>
              </a:graphicData>
            </a:graphic>
          </wp:inline>
        </w:drawing>
      </w:r>
      <w:r w:rsidR="00D71012" w:rsidRPr="00D71012">
        <w:rPr>
          <w:noProof/>
          <w14:ligatures w14:val="standardContextual"/>
        </w:rPr>
        <w:t xml:space="preserve"> </w:t>
      </w:r>
      <w:r w:rsidRPr="00965D09">
        <w:rPr>
          <w:rFonts w:ascii="Times New Roman" w:hAnsi="Times New Roman" w:cs="Times New Roman" w:hint="eastAsia"/>
          <w:b/>
          <w:bCs/>
          <w:sz w:val="21"/>
          <w:szCs w:val="21"/>
        </w:rPr>
        <w:t xml:space="preserve">Supplementary </w:t>
      </w:r>
      <w:r w:rsidRPr="00965D09">
        <w:rPr>
          <w:rFonts w:ascii="Times New Roman" w:hAnsi="Times New Roman" w:cs="Times New Roman"/>
          <w:b/>
          <w:bCs/>
          <w:sz w:val="21"/>
          <w:szCs w:val="21"/>
        </w:rPr>
        <w:t xml:space="preserve">Fig. </w:t>
      </w:r>
      <w:r w:rsidR="000D476B">
        <w:rPr>
          <w:rFonts w:ascii="Times New Roman" w:hAnsi="Times New Roman" w:cs="Times New Roman" w:hint="eastAsia"/>
          <w:b/>
          <w:bCs/>
          <w:sz w:val="21"/>
          <w:szCs w:val="21"/>
          <w:lang w:eastAsia="zh-CN"/>
        </w:rPr>
        <w:t>S</w:t>
      </w:r>
      <w:r w:rsidR="005B4AE1" w:rsidRPr="00965D09">
        <w:rPr>
          <w:rFonts w:ascii="Times New Roman" w:hAnsi="Times New Roman" w:cs="Times New Roman" w:hint="eastAsia"/>
          <w:b/>
          <w:bCs/>
          <w:sz w:val="21"/>
          <w:szCs w:val="21"/>
          <w:lang w:eastAsia="zh-CN"/>
        </w:rPr>
        <w:t>8</w:t>
      </w:r>
      <w:r w:rsidRPr="00965D09">
        <w:rPr>
          <w:rFonts w:ascii="Times New Roman" w:hAnsi="Times New Roman" w:cs="Times New Roman"/>
          <w:b/>
          <w:bCs/>
          <w:sz w:val="21"/>
          <w:szCs w:val="21"/>
        </w:rPr>
        <w:t xml:space="preserve">. </w:t>
      </w:r>
      <w:r w:rsidRPr="00965D09">
        <w:rPr>
          <w:rFonts w:ascii="Times New Roman" w:hAnsi="Times New Roman" w:cs="Times New Roman" w:hint="eastAsia"/>
          <w:b/>
          <w:bCs/>
          <w:sz w:val="21"/>
          <w:szCs w:val="21"/>
        </w:rPr>
        <w:t>RNA in situ sequencing</w:t>
      </w:r>
      <w:r w:rsidRPr="00965D09" w:rsidDel="008A01A1">
        <w:rPr>
          <w:rFonts w:ascii="Times New Roman" w:hAnsi="Times New Roman" w:cs="Times New Roman"/>
          <w:b/>
          <w:bCs/>
          <w:sz w:val="21"/>
          <w:szCs w:val="21"/>
        </w:rPr>
        <w:t xml:space="preserve"> </w:t>
      </w:r>
      <w:r w:rsidRPr="00965D09">
        <w:rPr>
          <w:rFonts w:ascii="Times New Roman" w:hAnsi="Times New Roman" w:cs="Times New Roman"/>
          <w:b/>
          <w:bCs/>
          <w:sz w:val="21"/>
          <w:szCs w:val="21"/>
        </w:rPr>
        <w:t xml:space="preserve">of four eCCA patient samples. </w:t>
      </w:r>
    </w:p>
    <w:p w:rsidR="00662A43" w:rsidRPr="00965D09" w:rsidRDefault="00662A43" w:rsidP="00965D09">
      <w:pPr>
        <w:spacing w:beforeLines="50" w:before="156" w:afterLines="50" w:after="156"/>
        <w:jc w:val="both"/>
        <w:rPr>
          <w:rFonts w:ascii="Times New Roman" w:hAnsi="Times New Roman" w:cs="Times New Roman"/>
          <w:sz w:val="21"/>
          <w:szCs w:val="21"/>
        </w:rPr>
      </w:pPr>
      <w:r w:rsidRPr="00965D09">
        <w:rPr>
          <w:rFonts w:ascii="Times New Roman" w:hAnsi="Times New Roman" w:cs="Times New Roman"/>
          <w:sz w:val="21"/>
          <w:szCs w:val="21"/>
        </w:rPr>
        <w:t>(</w:t>
      </w:r>
      <w:r w:rsidRPr="00965D09">
        <w:rPr>
          <w:rFonts w:ascii="Times New Roman" w:hAnsi="Times New Roman" w:cs="Times New Roman"/>
          <w:b/>
          <w:bCs/>
          <w:sz w:val="21"/>
          <w:szCs w:val="21"/>
        </w:rPr>
        <w:t>A</w:t>
      </w:r>
      <w:r w:rsidRPr="00965D09">
        <w:rPr>
          <w:rFonts w:ascii="Times New Roman" w:hAnsi="Times New Roman" w:cs="Times New Roman"/>
          <w:sz w:val="21"/>
          <w:szCs w:val="21"/>
        </w:rPr>
        <w:t>) eCCA4</w:t>
      </w:r>
      <w:r w:rsidR="00965D09">
        <w:rPr>
          <w:rFonts w:ascii="Times New Roman" w:hAnsi="Times New Roman" w:cs="Times New Roman" w:hint="eastAsia"/>
          <w:sz w:val="21"/>
          <w:szCs w:val="21"/>
          <w:lang w:eastAsia="zh-CN"/>
        </w:rPr>
        <w:t xml:space="preserve">, </w:t>
      </w:r>
      <w:r w:rsidRPr="00965D09">
        <w:rPr>
          <w:rFonts w:ascii="Times New Roman" w:hAnsi="Times New Roman" w:cs="Times New Roman"/>
          <w:sz w:val="21"/>
          <w:szCs w:val="21"/>
        </w:rPr>
        <w:t>(</w:t>
      </w:r>
      <w:r w:rsidRPr="00965D09">
        <w:rPr>
          <w:rFonts w:ascii="Times New Roman" w:hAnsi="Times New Roman" w:cs="Times New Roman"/>
          <w:b/>
          <w:bCs/>
          <w:sz w:val="21"/>
          <w:szCs w:val="21"/>
        </w:rPr>
        <w:t>B</w:t>
      </w:r>
      <w:r w:rsidRPr="00965D09">
        <w:rPr>
          <w:rFonts w:ascii="Times New Roman" w:hAnsi="Times New Roman" w:cs="Times New Roman"/>
          <w:sz w:val="21"/>
          <w:szCs w:val="21"/>
        </w:rPr>
        <w:t>) eCCA5</w:t>
      </w:r>
      <w:r w:rsidR="00965D09">
        <w:rPr>
          <w:rFonts w:ascii="Times New Roman" w:hAnsi="Times New Roman" w:cs="Times New Roman" w:hint="eastAsia"/>
          <w:sz w:val="21"/>
          <w:szCs w:val="21"/>
          <w:lang w:eastAsia="zh-CN"/>
        </w:rPr>
        <w:t xml:space="preserve"> and </w:t>
      </w:r>
      <w:r w:rsidRPr="00965D09">
        <w:rPr>
          <w:rFonts w:ascii="Times New Roman" w:hAnsi="Times New Roman" w:cs="Times New Roman"/>
          <w:sz w:val="21"/>
          <w:szCs w:val="21"/>
        </w:rPr>
        <w:t>(</w:t>
      </w:r>
      <w:r w:rsidRPr="00965D09">
        <w:rPr>
          <w:rFonts w:ascii="Times New Roman" w:hAnsi="Times New Roman" w:cs="Times New Roman"/>
          <w:b/>
          <w:bCs/>
          <w:sz w:val="21"/>
          <w:szCs w:val="21"/>
        </w:rPr>
        <w:t>C</w:t>
      </w:r>
      <w:r w:rsidRPr="00965D09">
        <w:rPr>
          <w:rFonts w:ascii="Times New Roman" w:hAnsi="Times New Roman" w:cs="Times New Roman"/>
          <w:sz w:val="21"/>
          <w:szCs w:val="21"/>
        </w:rPr>
        <w:t>) eCCA6. the left column is IHC. The middle and right column</w:t>
      </w:r>
      <w:r w:rsidRPr="00965D09">
        <w:rPr>
          <w:rFonts w:ascii="Times New Roman" w:hAnsi="Times New Roman" w:cs="Times New Roman" w:hint="eastAsia"/>
          <w:sz w:val="21"/>
          <w:szCs w:val="21"/>
        </w:rPr>
        <w:t>s</w:t>
      </w:r>
      <w:r w:rsidRPr="00965D09">
        <w:rPr>
          <w:rFonts w:ascii="Times New Roman" w:hAnsi="Times New Roman" w:cs="Times New Roman"/>
          <w:sz w:val="21"/>
          <w:szCs w:val="21"/>
        </w:rPr>
        <w:t xml:space="preserve"> </w:t>
      </w:r>
      <w:r w:rsidRPr="00965D09">
        <w:rPr>
          <w:rFonts w:ascii="Times New Roman" w:hAnsi="Times New Roman" w:cs="Times New Roman" w:hint="eastAsia"/>
          <w:sz w:val="21"/>
          <w:szCs w:val="21"/>
        </w:rPr>
        <w:t>display</w:t>
      </w:r>
      <w:r w:rsidRPr="00965D09">
        <w:rPr>
          <w:rFonts w:ascii="Times New Roman" w:hAnsi="Times New Roman" w:cs="Times New Roman"/>
          <w:sz w:val="21"/>
          <w:szCs w:val="21"/>
        </w:rPr>
        <w:t xml:space="preserve"> the expression of </w:t>
      </w:r>
      <w:r w:rsidRPr="00965D09">
        <w:rPr>
          <w:rFonts w:ascii="Times New Roman" w:hAnsi="Times New Roman" w:cs="Times New Roman"/>
          <w:i/>
          <w:iCs/>
          <w:sz w:val="21"/>
          <w:szCs w:val="21"/>
        </w:rPr>
        <w:t>KRT19</w:t>
      </w:r>
      <w:r w:rsidRPr="00965D09">
        <w:rPr>
          <w:rFonts w:ascii="Times New Roman" w:hAnsi="Times New Roman" w:cs="Times New Roman"/>
          <w:sz w:val="21"/>
          <w:szCs w:val="21"/>
        </w:rPr>
        <w:t xml:space="preserve"> (cholangiocytes) and </w:t>
      </w:r>
      <w:r w:rsidRPr="00965D09">
        <w:rPr>
          <w:rFonts w:ascii="Times New Roman" w:hAnsi="Times New Roman" w:cs="Times New Roman"/>
          <w:i/>
          <w:iCs/>
          <w:sz w:val="21"/>
          <w:szCs w:val="21"/>
        </w:rPr>
        <w:t>LY6D</w:t>
      </w:r>
      <w:r w:rsidRPr="00965D09">
        <w:rPr>
          <w:rFonts w:ascii="Times New Roman" w:hAnsi="Times New Roman" w:cs="Times New Roman" w:hint="eastAsia"/>
          <w:sz w:val="21"/>
          <w:szCs w:val="21"/>
        </w:rPr>
        <w:t xml:space="preserve"> (basal-like cells)</w:t>
      </w:r>
      <w:r w:rsidRPr="00965D09">
        <w:rPr>
          <w:rFonts w:ascii="Times New Roman" w:hAnsi="Times New Roman" w:cs="Times New Roman"/>
          <w:sz w:val="21"/>
          <w:szCs w:val="21"/>
        </w:rPr>
        <w:t>, respectively.</w:t>
      </w:r>
    </w:p>
    <w:p w:rsidR="00662A43" w:rsidRDefault="00662A43">
      <w:pPr>
        <w:spacing w:after="0" w:line="240" w:lineRule="auto"/>
        <w:rPr>
          <w:rFonts w:ascii="Times New Roman" w:hAnsi="Times New Roman" w:cs="Times New Roman"/>
        </w:rPr>
      </w:pPr>
      <w:r>
        <w:rPr>
          <w:rFonts w:ascii="Times New Roman" w:hAnsi="Times New Roman" w:cs="Times New Roman"/>
        </w:rPr>
        <w:br w:type="page"/>
      </w:r>
    </w:p>
    <w:p w:rsidR="00921DEF" w:rsidRDefault="000C2205" w:rsidP="00921DEF">
      <w:pPr>
        <w:jc w:val="both"/>
        <w:rPr>
          <w:rFonts w:hint="eastAsia"/>
          <w:noProof/>
          <w14:ligatures w14:val="standardContextual"/>
        </w:rPr>
      </w:pPr>
      <w:r>
        <w:rPr>
          <w:noProof/>
        </w:rPr>
        <w:lastRenderedPageBreak/>
        <w:drawing>
          <wp:inline distT="0" distB="0" distL="0" distR="0">
            <wp:extent cx="5278120" cy="6137453"/>
            <wp:effectExtent l="0" t="0" r="0" b="0"/>
            <wp:docPr id="75250537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b="12086"/>
                    <a:stretch/>
                  </pic:blipFill>
                  <pic:spPr bwMode="auto">
                    <a:xfrm>
                      <a:off x="0" y="0"/>
                      <a:ext cx="5278120" cy="6137453"/>
                    </a:xfrm>
                    <a:prstGeom prst="rect">
                      <a:avLst/>
                    </a:prstGeom>
                    <a:noFill/>
                    <a:ln>
                      <a:noFill/>
                    </a:ln>
                    <a:extLst>
                      <a:ext uri="{53640926-AAD7-44D8-BBD7-CCE9431645EC}">
                        <a14:shadowObscured xmlns:a14="http://schemas.microsoft.com/office/drawing/2010/main"/>
                      </a:ext>
                    </a:extLst>
                  </pic:spPr>
                </pic:pic>
              </a:graphicData>
            </a:graphic>
          </wp:inline>
        </w:drawing>
      </w:r>
      <w:r w:rsidR="00D71012" w:rsidRPr="00D71012">
        <w:rPr>
          <w:noProof/>
          <w14:ligatures w14:val="standardContextual"/>
        </w:rPr>
        <w:t xml:space="preserve"> </w:t>
      </w:r>
    </w:p>
    <w:p w:rsidR="00242C03" w:rsidRDefault="00662A43" w:rsidP="00242C03">
      <w:pPr>
        <w:spacing w:beforeLines="50" w:before="156" w:afterLines="50" w:after="156"/>
        <w:jc w:val="both"/>
        <w:rPr>
          <w:rFonts w:ascii="Times New Roman" w:hAnsi="Times New Roman" w:cs="Times New Roman"/>
          <w:b/>
          <w:bCs/>
        </w:rPr>
      </w:pPr>
      <w:r w:rsidRPr="00662A43">
        <w:rPr>
          <w:rFonts w:ascii="Times New Roman" w:hAnsi="Times New Roman" w:cs="Times New Roman" w:hint="eastAsia"/>
          <w:b/>
          <w:bCs/>
        </w:rPr>
        <w:t xml:space="preserve">Supplementary </w:t>
      </w:r>
      <w:r w:rsidRPr="00BB68D1">
        <w:rPr>
          <w:rFonts w:ascii="Times New Roman" w:hAnsi="Times New Roman" w:cs="Times New Roman"/>
          <w:b/>
          <w:bCs/>
        </w:rPr>
        <w:t xml:space="preserve">Fig. </w:t>
      </w:r>
      <w:r w:rsidR="00E21B8A">
        <w:rPr>
          <w:rFonts w:ascii="Times New Roman" w:hAnsi="Times New Roman" w:cs="Times New Roman" w:hint="eastAsia"/>
          <w:b/>
          <w:bCs/>
          <w:lang w:eastAsia="zh-CN"/>
        </w:rPr>
        <w:t>S</w:t>
      </w:r>
      <w:r w:rsidR="00843ACD">
        <w:rPr>
          <w:rFonts w:ascii="Times New Roman" w:hAnsi="Times New Roman" w:cs="Times New Roman" w:hint="eastAsia"/>
          <w:b/>
          <w:bCs/>
          <w:lang w:eastAsia="zh-CN"/>
        </w:rPr>
        <w:t>9</w:t>
      </w:r>
      <w:r w:rsidRPr="00BB68D1">
        <w:rPr>
          <w:rFonts w:ascii="Times New Roman" w:hAnsi="Times New Roman" w:cs="Times New Roman"/>
          <w:b/>
          <w:bCs/>
        </w:rPr>
        <w:t>. Annotation, function</w:t>
      </w:r>
      <w:r>
        <w:rPr>
          <w:rFonts w:ascii="Times New Roman" w:hAnsi="Times New Roman" w:cs="Times New Roman" w:hint="eastAsia"/>
          <w:b/>
          <w:bCs/>
        </w:rPr>
        <w:t>al</w:t>
      </w:r>
      <w:r w:rsidRPr="00BB68D1">
        <w:rPr>
          <w:rFonts w:ascii="Times New Roman" w:hAnsi="Times New Roman" w:cs="Times New Roman"/>
          <w:b/>
          <w:bCs/>
        </w:rPr>
        <w:t xml:space="preserve"> analysis and cell-cell interaction of mesenchymal subpopulations.</w:t>
      </w:r>
    </w:p>
    <w:p w:rsidR="00662A43" w:rsidRDefault="00662A43" w:rsidP="00242C03">
      <w:pPr>
        <w:spacing w:beforeLines="50" w:before="156" w:afterLines="50" w:after="156"/>
        <w:jc w:val="both"/>
        <w:rPr>
          <w:rFonts w:ascii="Times New Roman" w:hAnsi="Times New Roman" w:cs="Times New Roman"/>
        </w:rPr>
      </w:pPr>
      <w:r w:rsidRPr="00BB68D1">
        <w:rPr>
          <w:rFonts w:ascii="Times New Roman" w:hAnsi="Times New Roman" w:cs="Times New Roman"/>
        </w:rPr>
        <w:t>(</w:t>
      </w:r>
      <w:r w:rsidRPr="00242C03">
        <w:rPr>
          <w:rFonts w:ascii="Times New Roman" w:hAnsi="Times New Roman" w:cs="Times New Roman"/>
          <w:b/>
          <w:bCs/>
        </w:rPr>
        <w:t>A</w:t>
      </w:r>
      <w:r w:rsidRPr="00BB68D1">
        <w:rPr>
          <w:rFonts w:ascii="Times New Roman" w:hAnsi="Times New Roman" w:cs="Times New Roman"/>
        </w:rPr>
        <w:t>)</w:t>
      </w:r>
      <w:r>
        <w:rPr>
          <w:rFonts w:ascii="Times New Roman" w:hAnsi="Times New Roman" w:cs="Times New Roman" w:hint="eastAsia"/>
        </w:rPr>
        <w:t xml:space="preserve"> </w:t>
      </w:r>
      <w:r w:rsidRPr="00BB68D1">
        <w:rPr>
          <w:rFonts w:ascii="Times New Roman" w:hAnsi="Times New Roman" w:cs="Times New Roman"/>
        </w:rPr>
        <w:t xml:space="preserve">UMAP </w:t>
      </w:r>
      <w:r>
        <w:rPr>
          <w:rFonts w:ascii="Times New Roman" w:hAnsi="Times New Roman" w:cs="Times New Roman" w:hint="eastAsia"/>
        </w:rPr>
        <w:t xml:space="preserve">plot </w:t>
      </w:r>
      <w:r w:rsidRPr="00BB68D1">
        <w:rPr>
          <w:rFonts w:ascii="Times New Roman" w:hAnsi="Times New Roman" w:cs="Times New Roman"/>
        </w:rPr>
        <w:t xml:space="preserve">showing the expression </w:t>
      </w:r>
      <w:r>
        <w:rPr>
          <w:rFonts w:ascii="Times New Roman" w:hAnsi="Times New Roman" w:cs="Times New Roman" w:hint="eastAsia"/>
        </w:rPr>
        <w:t xml:space="preserve">of </w:t>
      </w:r>
      <w:r w:rsidRPr="00BB68D1">
        <w:rPr>
          <w:rFonts w:ascii="Times New Roman" w:hAnsi="Times New Roman" w:cs="Times New Roman"/>
        </w:rPr>
        <w:t>mesenchymal marker</w:t>
      </w:r>
      <w:r>
        <w:rPr>
          <w:rFonts w:ascii="Times New Roman" w:hAnsi="Times New Roman" w:cs="Times New Roman" w:hint="eastAsia"/>
        </w:rPr>
        <w:t>s</w:t>
      </w:r>
      <w:r w:rsidRPr="00BB68D1">
        <w:rPr>
          <w:rFonts w:ascii="Times New Roman" w:hAnsi="Times New Roman" w:cs="Times New Roman"/>
        </w:rPr>
        <w:t xml:space="preserve">. Fibroblasts: </w:t>
      </w:r>
      <w:r w:rsidRPr="00AC7C7A">
        <w:rPr>
          <w:rFonts w:ascii="Times New Roman" w:hAnsi="Times New Roman" w:cs="Times New Roman"/>
          <w:i/>
          <w:iCs/>
        </w:rPr>
        <w:t>COL1A1</w:t>
      </w:r>
      <w:r w:rsidRPr="00BB68D1">
        <w:rPr>
          <w:rFonts w:ascii="Times New Roman" w:hAnsi="Times New Roman" w:cs="Times New Roman"/>
        </w:rPr>
        <w:t xml:space="preserve">, </w:t>
      </w:r>
      <w:r w:rsidRPr="00AC7C7A">
        <w:rPr>
          <w:rFonts w:ascii="Times New Roman" w:hAnsi="Times New Roman" w:cs="Times New Roman"/>
          <w:i/>
          <w:iCs/>
        </w:rPr>
        <w:t>LUM</w:t>
      </w:r>
      <w:r>
        <w:rPr>
          <w:rFonts w:ascii="Times New Roman" w:hAnsi="Times New Roman" w:cs="Times New Roman" w:hint="eastAsia"/>
        </w:rPr>
        <w:t xml:space="preserve">, </w:t>
      </w:r>
      <w:r w:rsidRPr="00BB68D1">
        <w:rPr>
          <w:rFonts w:ascii="Times New Roman" w:hAnsi="Times New Roman" w:cs="Times New Roman"/>
        </w:rPr>
        <w:t xml:space="preserve">and </w:t>
      </w:r>
      <w:r w:rsidRPr="00AC7C7A">
        <w:rPr>
          <w:rFonts w:ascii="Times New Roman" w:hAnsi="Times New Roman" w:cs="Times New Roman"/>
          <w:i/>
          <w:iCs/>
        </w:rPr>
        <w:t>PDGFRA</w:t>
      </w:r>
      <w:r w:rsidRPr="00BB68D1">
        <w:rPr>
          <w:rFonts w:ascii="Times New Roman" w:hAnsi="Times New Roman" w:cs="Times New Roman"/>
        </w:rPr>
        <w:t xml:space="preserve">. Pericytes: </w:t>
      </w:r>
      <w:r w:rsidRPr="00AC7C7A">
        <w:rPr>
          <w:rFonts w:ascii="Times New Roman" w:hAnsi="Times New Roman" w:cs="Times New Roman"/>
          <w:i/>
          <w:iCs/>
        </w:rPr>
        <w:t>PDGFRB</w:t>
      </w:r>
      <w:r w:rsidRPr="00BB68D1">
        <w:rPr>
          <w:rFonts w:ascii="Times New Roman" w:hAnsi="Times New Roman" w:cs="Times New Roman"/>
        </w:rPr>
        <w:t xml:space="preserve">, </w:t>
      </w:r>
      <w:r w:rsidRPr="00AC7C7A">
        <w:rPr>
          <w:rFonts w:ascii="Times New Roman" w:hAnsi="Times New Roman" w:cs="Times New Roman"/>
          <w:i/>
          <w:iCs/>
        </w:rPr>
        <w:t>RGS5</w:t>
      </w:r>
      <w:r>
        <w:rPr>
          <w:rFonts w:ascii="Times New Roman" w:hAnsi="Times New Roman" w:cs="Times New Roman" w:hint="eastAsia"/>
        </w:rPr>
        <w:t>,</w:t>
      </w:r>
      <w:r w:rsidRPr="00BB68D1">
        <w:rPr>
          <w:rFonts w:ascii="Times New Roman" w:hAnsi="Times New Roman" w:cs="Times New Roman"/>
        </w:rPr>
        <w:t xml:space="preserve"> and </w:t>
      </w:r>
      <w:r w:rsidRPr="00AC7C7A">
        <w:rPr>
          <w:rFonts w:ascii="Times New Roman" w:hAnsi="Times New Roman" w:cs="Times New Roman"/>
          <w:i/>
          <w:iCs/>
        </w:rPr>
        <w:t>NES</w:t>
      </w:r>
      <w:r w:rsidRPr="00BB68D1">
        <w:rPr>
          <w:rFonts w:ascii="Times New Roman" w:hAnsi="Times New Roman" w:cs="Times New Roman"/>
        </w:rPr>
        <w:t>. (</w:t>
      </w:r>
      <w:r w:rsidRPr="00242C03">
        <w:rPr>
          <w:rFonts w:ascii="Times New Roman" w:hAnsi="Times New Roman" w:cs="Times New Roman"/>
          <w:b/>
          <w:bCs/>
        </w:rPr>
        <w:t>B</w:t>
      </w:r>
      <w:r w:rsidRPr="00BB68D1">
        <w:rPr>
          <w:rFonts w:ascii="Times New Roman" w:hAnsi="Times New Roman" w:cs="Times New Roman"/>
        </w:rPr>
        <w:t>) Violin plot</w:t>
      </w:r>
      <w:r>
        <w:rPr>
          <w:rFonts w:ascii="Times New Roman" w:hAnsi="Times New Roman" w:cs="Times New Roman" w:hint="eastAsia"/>
        </w:rPr>
        <w:t>s</w:t>
      </w:r>
      <w:r w:rsidRPr="00BB68D1">
        <w:rPr>
          <w:rFonts w:ascii="Times New Roman" w:hAnsi="Times New Roman" w:cs="Times New Roman"/>
        </w:rPr>
        <w:t xml:space="preserve"> showing the expression </w:t>
      </w:r>
      <w:r>
        <w:rPr>
          <w:rFonts w:ascii="Times New Roman" w:hAnsi="Times New Roman" w:cs="Times New Roman" w:hint="eastAsia"/>
        </w:rPr>
        <w:t xml:space="preserve">of </w:t>
      </w:r>
      <w:r w:rsidRPr="00BB68D1">
        <w:rPr>
          <w:rFonts w:ascii="Times New Roman" w:hAnsi="Times New Roman" w:cs="Times New Roman"/>
        </w:rPr>
        <w:t>mesenchymal marker</w:t>
      </w:r>
      <w:r>
        <w:rPr>
          <w:rFonts w:ascii="Times New Roman" w:hAnsi="Times New Roman" w:cs="Times New Roman" w:hint="eastAsia"/>
        </w:rPr>
        <w:t>s</w:t>
      </w:r>
      <w:r w:rsidRPr="00BB68D1">
        <w:rPr>
          <w:rFonts w:ascii="Times New Roman" w:hAnsi="Times New Roman" w:cs="Times New Roman"/>
        </w:rPr>
        <w:t>. (</w:t>
      </w:r>
      <w:r w:rsidRPr="00242C03">
        <w:rPr>
          <w:rFonts w:ascii="Times New Roman" w:hAnsi="Times New Roman" w:cs="Times New Roman"/>
          <w:b/>
          <w:bCs/>
        </w:rPr>
        <w:t>C</w:t>
      </w:r>
      <w:r w:rsidRPr="00BB68D1">
        <w:rPr>
          <w:rFonts w:ascii="Times New Roman" w:hAnsi="Times New Roman" w:cs="Times New Roman"/>
        </w:rPr>
        <w:t xml:space="preserve">) </w:t>
      </w:r>
      <w:r>
        <w:rPr>
          <w:rFonts w:ascii="Times New Roman" w:hAnsi="Times New Roman" w:cs="Times New Roman" w:hint="eastAsia"/>
        </w:rPr>
        <w:t xml:space="preserve">Heatmap </w:t>
      </w:r>
      <w:r>
        <w:rPr>
          <w:rFonts w:ascii="Times New Roman" w:hAnsi="Times New Roman" w:cs="Times New Roman"/>
        </w:rPr>
        <w:t>showing</w:t>
      </w:r>
      <w:r>
        <w:rPr>
          <w:rFonts w:ascii="Times New Roman" w:hAnsi="Times New Roman" w:cs="Times New Roman" w:hint="eastAsia"/>
        </w:rPr>
        <w:t xml:space="preserve"> the</w:t>
      </w:r>
      <w:r w:rsidRPr="00BB68D1">
        <w:rPr>
          <w:rFonts w:ascii="Times New Roman" w:hAnsi="Times New Roman" w:cs="Times New Roman"/>
        </w:rPr>
        <w:t xml:space="preserve"> GSVA analysis of mesenchymal subtypes. (</w:t>
      </w:r>
      <w:r w:rsidRPr="00242C03">
        <w:rPr>
          <w:rFonts w:ascii="Times New Roman" w:hAnsi="Times New Roman" w:cs="Times New Roman"/>
          <w:b/>
          <w:bCs/>
        </w:rPr>
        <w:t>D</w:t>
      </w:r>
      <w:r w:rsidRPr="00BB68D1">
        <w:rPr>
          <w:rFonts w:ascii="Times New Roman" w:hAnsi="Times New Roman" w:cs="Times New Roman"/>
        </w:rPr>
        <w:t xml:space="preserve">) </w:t>
      </w:r>
      <w:r>
        <w:rPr>
          <w:rFonts w:ascii="Times New Roman" w:hAnsi="Times New Roman" w:cs="Times New Roman" w:hint="eastAsia"/>
        </w:rPr>
        <w:t xml:space="preserve">UMAP plot showing </w:t>
      </w:r>
      <w:r w:rsidRPr="00BB68D1">
        <w:rPr>
          <w:rFonts w:ascii="Times New Roman" w:hAnsi="Times New Roman" w:cs="Times New Roman"/>
        </w:rPr>
        <w:t>CytoTRACE score</w:t>
      </w:r>
      <w:r>
        <w:rPr>
          <w:rFonts w:ascii="Times New Roman" w:hAnsi="Times New Roman" w:cs="Times New Roman" w:hint="eastAsia"/>
        </w:rPr>
        <w:t>s</w:t>
      </w:r>
      <w:r w:rsidRPr="00BB68D1">
        <w:rPr>
          <w:rFonts w:ascii="Times New Roman" w:hAnsi="Times New Roman" w:cs="Times New Roman"/>
        </w:rPr>
        <w:t xml:space="preserve"> of </w:t>
      </w:r>
      <w:r w:rsidRPr="00AC7C7A">
        <w:rPr>
          <w:rFonts w:ascii="Times New Roman" w:hAnsi="Times New Roman" w:cs="Times New Roman"/>
        </w:rPr>
        <w:t>mesenchymal</w:t>
      </w:r>
      <w:r>
        <w:rPr>
          <w:rFonts w:ascii="Times New Roman" w:hAnsi="Times New Roman" w:cs="Times New Roman" w:hint="eastAsia"/>
        </w:rPr>
        <w:t xml:space="preserve"> cells</w:t>
      </w:r>
      <w:r w:rsidRPr="00BB68D1">
        <w:rPr>
          <w:rFonts w:ascii="Times New Roman" w:hAnsi="Times New Roman" w:cs="Times New Roman"/>
        </w:rPr>
        <w:t>. (</w:t>
      </w:r>
      <w:r w:rsidRPr="00242C03">
        <w:rPr>
          <w:rFonts w:ascii="Times New Roman" w:hAnsi="Times New Roman" w:cs="Times New Roman"/>
          <w:b/>
          <w:bCs/>
        </w:rPr>
        <w:t>E</w:t>
      </w:r>
      <w:r w:rsidRPr="00BB68D1">
        <w:rPr>
          <w:rFonts w:ascii="Times New Roman" w:hAnsi="Times New Roman" w:cs="Times New Roman"/>
        </w:rPr>
        <w:t xml:space="preserve">) </w:t>
      </w:r>
      <w:r>
        <w:rPr>
          <w:rFonts w:ascii="Times New Roman" w:hAnsi="Times New Roman" w:cs="Times New Roman" w:hint="eastAsia"/>
        </w:rPr>
        <w:t>R</w:t>
      </w:r>
      <w:r w:rsidRPr="00BB68D1">
        <w:rPr>
          <w:rFonts w:ascii="Times New Roman" w:hAnsi="Times New Roman" w:cs="Times New Roman"/>
        </w:rPr>
        <w:t xml:space="preserve">idge plot </w:t>
      </w:r>
      <w:r>
        <w:rPr>
          <w:rFonts w:ascii="Times New Roman" w:hAnsi="Times New Roman" w:cs="Times New Roman" w:hint="eastAsia"/>
        </w:rPr>
        <w:t>displaying</w:t>
      </w:r>
      <w:r w:rsidRPr="00BB68D1">
        <w:rPr>
          <w:rFonts w:ascii="Times New Roman" w:hAnsi="Times New Roman" w:cs="Times New Roman"/>
        </w:rPr>
        <w:t xml:space="preserve"> CytoTRACE score</w:t>
      </w:r>
      <w:r>
        <w:rPr>
          <w:rFonts w:ascii="Times New Roman" w:hAnsi="Times New Roman" w:cs="Times New Roman" w:hint="eastAsia"/>
        </w:rPr>
        <w:t>s for</w:t>
      </w:r>
      <w:r w:rsidRPr="00BB68D1">
        <w:rPr>
          <w:rFonts w:ascii="Times New Roman" w:hAnsi="Times New Roman" w:cs="Times New Roman"/>
        </w:rPr>
        <w:t xml:space="preserve"> each </w:t>
      </w:r>
      <w:r w:rsidRPr="00AC7C7A">
        <w:rPr>
          <w:rFonts w:ascii="Times New Roman" w:hAnsi="Times New Roman" w:cs="Times New Roman"/>
        </w:rPr>
        <w:t>mesenchymal</w:t>
      </w:r>
      <w:r w:rsidRPr="00BB68D1">
        <w:rPr>
          <w:rFonts w:ascii="Times New Roman" w:hAnsi="Times New Roman" w:cs="Times New Roman"/>
          <w:b/>
          <w:bCs/>
        </w:rPr>
        <w:t xml:space="preserve"> </w:t>
      </w:r>
      <w:r>
        <w:rPr>
          <w:rFonts w:ascii="Times New Roman" w:hAnsi="Times New Roman" w:cs="Times New Roman" w:hint="eastAsia"/>
        </w:rPr>
        <w:t>subcluster</w:t>
      </w:r>
      <w:r w:rsidRPr="00BB68D1">
        <w:rPr>
          <w:rFonts w:ascii="Times New Roman" w:hAnsi="Times New Roman" w:cs="Times New Roman"/>
        </w:rPr>
        <w:t xml:space="preserve">. </w:t>
      </w:r>
    </w:p>
    <w:p w:rsidR="00921DEF" w:rsidRDefault="00662A43" w:rsidP="00784CF0">
      <w:pPr>
        <w:spacing w:line="480" w:lineRule="auto"/>
        <w:jc w:val="both"/>
        <w:rPr>
          <w:rFonts w:ascii="Times New Roman" w:hAnsi="Times New Roman" w:cs="Times New Roman"/>
          <w:b/>
          <w:bCs/>
        </w:rPr>
      </w:pPr>
      <w:r>
        <w:rPr>
          <w:rFonts w:ascii="Times New Roman" w:hAnsi="Times New Roman" w:cs="Times New Roman"/>
        </w:rPr>
        <w:br w:type="page"/>
      </w:r>
      <w:r w:rsidR="009A5563">
        <w:rPr>
          <w:noProof/>
        </w:rPr>
        <w:lastRenderedPageBreak/>
        <w:drawing>
          <wp:inline distT="0" distB="0" distL="0" distR="0">
            <wp:extent cx="5278120" cy="5940908"/>
            <wp:effectExtent l="0" t="0" r="0" b="3175"/>
            <wp:docPr id="101686170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4357"/>
                    <a:stretch/>
                  </pic:blipFill>
                  <pic:spPr bwMode="auto">
                    <a:xfrm>
                      <a:off x="0" y="0"/>
                      <a:ext cx="5278120" cy="5940908"/>
                    </a:xfrm>
                    <a:prstGeom prst="rect">
                      <a:avLst/>
                    </a:prstGeom>
                    <a:noFill/>
                    <a:ln>
                      <a:noFill/>
                    </a:ln>
                    <a:extLst>
                      <a:ext uri="{53640926-AAD7-44D8-BBD7-CCE9431645EC}">
                        <a14:shadowObscured xmlns:a14="http://schemas.microsoft.com/office/drawing/2010/main"/>
                      </a:ext>
                    </a:extLst>
                  </pic:spPr>
                </pic:pic>
              </a:graphicData>
            </a:graphic>
          </wp:inline>
        </w:drawing>
      </w:r>
      <w:r w:rsidRPr="00662A43">
        <w:rPr>
          <w:rFonts w:ascii="Times New Roman" w:hAnsi="Times New Roman" w:cs="Times New Roman"/>
          <w:b/>
          <w:bCs/>
        </w:rPr>
        <w:t xml:space="preserve"> </w:t>
      </w:r>
    </w:p>
    <w:p w:rsidR="00FB1F27" w:rsidRPr="00FB1F27" w:rsidRDefault="00662A43" w:rsidP="00FB1F27">
      <w:pPr>
        <w:spacing w:beforeLines="50" w:before="156" w:afterLines="50" w:after="156"/>
        <w:jc w:val="both"/>
        <w:rPr>
          <w:rFonts w:ascii="Times New Roman" w:hAnsi="Times New Roman" w:cs="Times New Roman"/>
          <w:sz w:val="21"/>
          <w:szCs w:val="21"/>
        </w:rPr>
      </w:pPr>
      <w:r w:rsidRPr="00FB1F27">
        <w:rPr>
          <w:rFonts w:ascii="Times New Roman" w:hAnsi="Times New Roman" w:cs="Times New Roman" w:hint="eastAsia"/>
          <w:b/>
          <w:bCs/>
          <w:sz w:val="21"/>
          <w:szCs w:val="21"/>
        </w:rPr>
        <w:t xml:space="preserve">Supplementary </w:t>
      </w:r>
      <w:r w:rsidRPr="00FB1F27">
        <w:rPr>
          <w:rFonts w:ascii="Times New Roman" w:hAnsi="Times New Roman" w:cs="Times New Roman"/>
          <w:b/>
          <w:bCs/>
          <w:sz w:val="21"/>
          <w:szCs w:val="21"/>
        </w:rPr>
        <w:t xml:space="preserve">Fig. </w:t>
      </w:r>
      <w:r w:rsidR="00930984">
        <w:rPr>
          <w:rFonts w:ascii="Times New Roman" w:hAnsi="Times New Roman" w:cs="Times New Roman" w:hint="eastAsia"/>
          <w:b/>
          <w:bCs/>
          <w:sz w:val="21"/>
          <w:szCs w:val="21"/>
          <w:lang w:eastAsia="zh-CN"/>
        </w:rPr>
        <w:t>S</w:t>
      </w:r>
      <w:r w:rsidR="000D54FF" w:rsidRPr="00FB1F27">
        <w:rPr>
          <w:rFonts w:ascii="Times New Roman" w:hAnsi="Times New Roman" w:cs="Times New Roman" w:hint="eastAsia"/>
          <w:b/>
          <w:bCs/>
          <w:sz w:val="21"/>
          <w:szCs w:val="21"/>
        </w:rPr>
        <w:t>10</w:t>
      </w:r>
      <w:r w:rsidRPr="00FB1F27">
        <w:rPr>
          <w:rFonts w:ascii="Times New Roman" w:hAnsi="Times New Roman" w:cs="Times New Roman"/>
          <w:b/>
          <w:bCs/>
          <w:sz w:val="21"/>
          <w:szCs w:val="21"/>
        </w:rPr>
        <w:t xml:space="preserve">. </w:t>
      </w:r>
      <w:r w:rsidR="000D54FF" w:rsidRPr="00FB1F27">
        <w:rPr>
          <w:rFonts w:ascii="Times New Roman" w:hAnsi="Times New Roman" w:cs="Times New Roman" w:hint="eastAsia"/>
          <w:b/>
          <w:bCs/>
          <w:sz w:val="21"/>
          <w:szCs w:val="21"/>
        </w:rPr>
        <w:t>Analysis</w:t>
      </w:r>
      <w:r w:rsidRPr="00FB1F27">
        <w:rPr>
          <w:rFonts w:ascii="Times New Roman" w:hAnsi="Times New Roman" w:cs="Times New Roman"/>
          <w:b/>
          <w:bCs/>
          <w:sz w:val="21"/>
          <w:szCs w:val="21"/>
        </w:rPr>
        <w:t xml:space="preserve"> of myeloid</w:t>
      </w:r>
      <w:r w:rsidRPr="00FB1F27">
        <w:rPr>
          <w:rFonts w:ascii="Times New Roman" w:hAnsi="Times New Roman" w:cs="Times New Roman" w:hint="eastAsia"/>
          <w:b/>
          <w:bCs/>
          <w:sz w:val="21"/>
          <w:szCs w:val="21"/>
        </w:rPr>
        <w:t xml:space="preserve"> cells</w:t>
      </w:r>
      <w:r w:rsidRPr="00FB1F27">
        <w:rPr>
          <w:rFonts w:ascii="Times New Roman" w:hAnsi="Times New Roman" w:cs="Times New Roman"/>
          <w:b/>
          <w:bCs/>
          <w:sz w:val="21"/>
          <w:szCs w:val="21"/>
        </w:rPr>
        <w:t xml:space="preserve"> and </w:t>
      </w:r>
      <w:r w:rsidRPr="00FB1F27">
        <w:rPr>
          <w:rFonts w:ascii="Times New Roman" w:hAnsi="Times New Roman" w:cs="Times New Roman" w:hint="eastAsia"/>
          <w:b/>
          <w:bCs/>
          <w:sz w:val="21"/>
          <w:szCs w:val="21"/>
        </w:rPr>
        <w:t>lymphocytes</w:t>
      </w:r>
      <w:r w:rsidRPr="00FB1F27">
        <w:rPr>
          <w:rFonts w:ascii="Times New Roman" w:hAnsi="Times New Roman" w:cs="Times New Roman"/>
          <w:b/>
          <w:bCs/>
          <w:sz w:val="21"/>
          <w:szCs w:val="21"/>
        </w:rPr>
        <w:t>.</w:t>
      </w:r>
      <w:r w:rsidRPr="00FB1F27">
        <w:rPr>
          <w:rFonts w:ascii="Times New Roman" w:hAnsi="Times New Roman" w:cs="Times New Roman"/>
          <w:sz w:val="21"/>
          <w:szCs w:val="21"/>
        </w:rPr>
        <w:t xml:space="preserve"> </w:t>
      </w:r>
    </w:p>
    <w:p w:rsidR="00662A43" w:rsidRPr="00FB1F27" w:rsidRDefault="00662A43" w:rsidP="00FB1F27">
      <w:pPr>
        <w:spacing w:beforeLines="50" w:before="156" w:afterLines="50" w:after="156"/>
        <w:jc w:val="both"/>
        <w:rPr>
          <w:rFonts w:ascii="Times New Roman" w:hAnsi="Times New Roman" w:cs="Times New Roman"/>
          <w:sz w:val="21"/>
          <w:szCs w:val="21"/>
        </w:rPr>
      </w:pPr>
      <w:r w:rsidRPr="00FB1F27">
        <w:rPr>
          <w:rFonts w:ascii="Times New Roman" w:hAnsi="Times New Roman" w:cs="Times New Roman"/>
          <w:sz w:val="21"/>
          <w:szCs w:val="21"/>
        </w:rPr>
        <w:t>(</w:t>
      </w:r>
      <w:r w:rsidRPr="00FB1F27">
        <w:rPr>
          <w:rFonts w:ascii="Times New Roman" w:hAnsi="Times New Roman" w:cs="Times New Roman"/>
          <w:b/>
          <w:bCs/>
          <w:sz w:val="21"/>
          <w:szCs w:val="21"/>
        </w:rPr>
        <w:t>A</w:t>
      </w:r>
      <w:r w:rsidRPr="00FB1F27">
        <w:rPr>
          <w:rFonts w:ascii="Times New Roman" w:hAnsi="Times New Roman" w:cs="Times New Roman"/>
          <w:sz w:val="21"/>
          <w:szCs w:val="21"/>
        </w:rPr>
        <w:t xml:space="preserve">) UMAP </w:t>
      </w:r>
      <w:r w:rsidRPr="00FB1F27">
        <w:rPr>
          <w:rFonts w:ascii="Times New Roman" w:hAnsi="Times New Roman" w:cs="Times New Roman" w:hint="eastAsia"/>
          <w:sz w:val="21"/>
          <w:szCs w:val="21"/>
        </w:rPr>
        <w:t xml:space="preserve">plots </w:t>
      </w:r>
      <w:r w:rsidRPr="00FB1F27">
        <w:rPr>
          <w:rFonts w:ascii="Times New Roman" w:hAnsi="Times New Roman" w:cs="Times New Roman"/>
          <w:sz w:val="21"/>
          <w:szCs w:val="21"/>
        </w:rPr>
        <w:t xml:space="preserve">showing markers of monocytes, macrophages and </w:t>
      </w:r>
      <w:r w:rsidRPr="00FB1F27">
        <w:rPr>
          <w:rFonts w:ascii="Times New Roman" w:hAnsi="Times New Roman" w:cs="Times New Roman" w:hint="eastAsia"/>
          <w:sz w:val="21"/>
          <w:szCs w:val="21"/>
        </w:rPr>
        <w:t>dendritic cells</w:t>
      </w:r>
      <w:r w:rsidRPr="00FB1F27">
        <w:rPr>
          <w:rFonts w:ascii="Times New Roman" w:hAnsi="Times New Roman" w:cs="Times New Roman"/>
          <w:sz w:val="21"/>
          <w:szCs w:val="21"/>
        </w:rPr>
        <w:t>.</w:t>
      </w:r>
      <w:r w:rsidR="00784CF0" w:rsidRPr="00FB1F27">
        <w:rPr>
          <w:rFonts w:ascii="Times New Roman" w:hAnsi="Times New Roman" w:cs="Times New Roman" w:hint="eastAsia"/>
          <w:sz w:val="21"/>
          <w:szCs w:val="21"/>
        </w:rPr>
        <w:t xml:space="preserve"> (</w:t>
      </w:r>
      <w:r w:rsidR="00784CF0" w:rsidRPr="00FB1F27">
        <w:rPr>
          <w:rFonts w:ascii="Times New Roman" w:hAnsi="Times New Roman" w:cs="Times New Roman" w:hint="eastAsia"/>
          <w:b/>
          <w:bCs/>
          <w:sz w:val="21"/>
          <w:szCs w:val="21"/>
        </w:rPr>
        <w:t>B</w:t>
      </w:r>
      <w:r w:rsidR="00784CF0" w:rsidRPr="00FB1F27">
        <w:rPr>
          <w:rFonts w:ascii="Times New Roman" w:hAnsi="Times New Roman" w:cs="Times New Roman" w:hint="eastAsia"/>
          <w:sz w:val="21"/>
          <w:szCs w:val="21"/>
        </w:rPr>
        <w:t>)</w:t>
      </w:r>
      <w:r w:rsidRPr="00FB1F27">
        <w:rPr>
          <w:rFonts w:ascii="Times New Roman" w:hAnsi="Times New Roman" w:cs="Times New Roman"/>
          <w:sz w:val="21"/>
          <w:szCs w:val="21"/>
        </w:rPr>
        <w:t xml:space="preserve"> </w:t>
      </w:r>
      <w:r w:rsidR="00784CF0" w:rsidRPr="00FB1F27">
        <w:rPr>
          <w:rFonts w:ascii="Times New Roman" w:hAnsi="Times New Roman" w:cs="Times New Roman"/>
          <w:sz w:val="21"/>
          <w:szCs w:val="21"/>
        </w:rPr>
        <w:t xml:space="preserve">Bubble plot showing cell-cell interaction of </w:t>
      </w:r>
      <w:r w:rsidR="00784CF0" w:rsidRPr="00FB1F27">
        <w:rPr>
          <w:rFonts w:ascii="Times New Roman" w:hAnsi="Times New Roman" w:cs="Times New Roman" w:hint="eastAsia"/>
          <w:sz w:val="21"/>
          <w:szCs w:val="21"/>
        </w:rPr>
        <w:t>GAS</w:t>
      </w:r>
      <w:r w:rsidR="00784CF0" w:rsidRPr="00FB1F27">
        <w:rPr>
          <w:rFonts w:ascii="Times New Roman" w:hAnsi="Times New Roman" w:cs="Times New Roman"/>
          <w:sz w:val="21"/>
          <w:szCs w:val="21"/>
        </w:rPr>
        <w:t xml:space="preserve"> signaling </w:t>
      </w:r>
      <w:r w:rsidR="00784CF0" w:rsidRPr="00FB1F27">
        <w:rPr>
          <w:rFonts w:ascii="Times New Roman" w:hAnsi="Times New Roman" w:cs="Times New Roman" w:hint="eastAsia"/>
          <w:sz w:val="21"/>
          <w:szCs w:val="21"/>
        </w:rPr>
        <w:t>pathways between</w:t>
      </w:r>
      <w:r w:rsidR="00784CF0" w:rsidRPr="00FB1F27">
        <w:rPr>
          <w:rFonts w:ascii="Times New Roman" w:hAnsi="Times New Roman" w:cs="Times New Roman"/>
          <w:sz w:val="21"/>
          <w:szCs w:val="21"/>
        </w:rPr>
        <w:t xml:space="preserve"> </w:t>
      </w:r>
      <w:r w:rsidR="00784CF0" w:rsidRPr="00FB1F27">
        <w:rPr>
          <w:rFonts w:ascii="Times New Roman" w:hAnsi="Times New Roman" w:cs="Times New Roman" w:hint="eastAsia"/>
          <w:sz w:val="21"/>
          <w:szCs w:val="21"/>
        </w:rPr>
        <w:t>eCCA mEPC subclusters and Macro_ISG15. (</w:t>
      </w:r>
      <w:r w:rsidR="00784CF0" w:rsidRPr="00FB1F27">
        <w:rPr>
          <w:rFonts w:ascii="Times New Roman" w:hAnsi="Times New Roman" w:cs="Times New Roman" w:hint="eastAsia"/>
          <w:b/>
          <w:bCs/>
          <w:sz w:val="21"/>
          <w:szCs w:val="21"/>
        </w:rPr>
        <w:t>C</w:t>
      </w:r>
      <w:r w:rsidR="00784CF0" w:rsidRPr="00FB1F27">
        <w:rPr>
          <w:rFonts w:ascii="Times New Roman" w:hAnsi="Times New Roman" w:cs="Times New Roman" w:hint="eastAsia"/>
          <w:sz w:val="21"/>
          <w:szCs w:val="21"/>
        </w:rPr>
        <w:t xml:space="preserve">) Kaplan-Meier curves of overall survival in iCCA patients stratified by </w:t>
      </w:r>
      <w:r w:rsidR="00784CF0" w:rsidRPr="00FB1F27">
        <w:rPr>
          <w:rFonts w:ascii="Times New Roman" w:hAnsi="Times New Roman" w:cs="Times New Roman"/>
          <w:sz w:val="21"/>
          <w:szCs w:val="21"/>
        </w:rPr>
        <w:t xml:space="preserve">Macro_ISG15 </w:t>
      </w:r>
      <w:r w:rsidR="00784CF0" w:rsidRPr="00FB1F27">
        <w:rPr>
          <w:rFonts w:ascii="Times New Roman" w:hAnsi="Times New Roman" w:cs="Times New Roman" w:hint="eastAsia"/>
          <w:sz w:val="21"/>
          <w:szCs w:val="21"/>
        </w:rPr>
        <w:t xml:space="preserve">signature expression </w:t>
      </w:r>
      <w:r w:rsidR="00784CF0" w:rsidRPr="00FB1F27">
        <w:rPr>
          <w:rFonts w:ascii="Times New Roman" w:hAnsi="Times New Roman" w:cs="Times New Roman"/>
          <w:sz w:val="21"/>
          <w:szCs w:val="21"/>
        </w:rPr>
        <w:t xml:space="preserve">in </w:t>
      </w:r>
      <w:r w:rsidR="00784CF0" w:rsidRPr="00FB1F27">
        <w:rPr>
          <w:rFonts w:ascii="Times New Roman" w:hAnsi="Times New Roman" w:cs="Times New Roman" w:hint="eastAsia"/>
          <w:sz w:val="21"/>
          <w:szCs w:val="21"/>
        </w:rPr>
        <w:t xml:space="preserve">the </w:t>
      </w:r>
      <w:r w:rsidR="00784CF0" w:rsidRPr="00FB1F27">
        <w:rPr>
          <w:rFonts w:ascii="Times New Roman" w:hAnsi="Times New Roman" w:cs="Times New Roman"/>
          <w:sz w:val="21"/>
          <w:szCs w:val="21"/>
        </w:rPr>
        <w:t>ICGC</w:t>
      </w:r>
      <w:r w:rsidR="00784CF0" w:rsidRPr="00FB1F27">
        <w:rPr>
          <w:rFonts w:ascii="Times New Roman" w:hAnsi="Times New Roman" w:cs="Times New Roman" w:hint="eastAsia"/>
          <w:sz w:val="21"/>
          <w:szCs w:val="21"/>
        </w:rPr>
        <w:t>-CCA cohort</w:t>
      </w:r>
      <w:r w:rsidR="00784CF0" w:rsidRPr="00FB1F27">
        <w:rPr>
          <w:rFonts w:ascii="Times New Roman" w:hAnsi="Times New Roman" w:cs="Times New Roman"/>
          <w:sz w:val="21"/>
          <w:szCs w:val="21"/>
        </w:rPr>
        <w:t>.</w:t>
      </w:r>
      <w:r w:rsidR="00784CF0" w:rsidRPr="00FB1F27">
        <w:rPr>
          <w:rFonts w:ascii="Times New Roman" w:hAnsi="Times New Roman" w:cs="Times New Roman" w:hint="eastAsia"/>
          <w:sz w:val="21"/>
          <w:szCs w:val="21"/>
        </w:rPr>
        <w:t xml:space="preserve"> </w:t>
      </w:r>
      <w:r w:rsidRPr="00FB1F27">
        <w:rPr>
          <w:rFonts w:ascii="Times New Roman" w:hAnsi="Times New Roman" w:cs="Times New Roman"/>
          <w:sz w:val="21"/>
          <w:szCs w:val="21"/>
        </w:rPr>
        <w:t>(</w:t>
      </w:r>
      <w:r w:rsidR="000D54FF" w:rsidRPr="00FB1F27">
        <w:rPr>
          <w:rFonts w:ascii="Times New Roman" w:hAnsi="Times New Roman" w:cs="Times New Roman" w:hint="eastAsia"/>
          <w:b/>
          <w:bCs/>
          <w:sz w:val="21"/>
          <w:szCs w:val="21"/>
        </w:rPr>
        <w:t>D</w:t>
      </w:r>
      <w:r w:rsidRPr="00FB1F27">
        <w:rPr>
          <w:rFonts w:ascii="Times New Roman" w:hAnsi="Times New Roman" w:cs="Times New Roman"/>
          <w:sz w:val="21"/>
          <w:szCs w:val="21"/>
        </w:rPr>
        <w:t>) Violin plot showing markers of the T, NK and NKT cells.</w:t>
      </w:r>
      <w:r w:rsidR="00784CF0" w:rsidRPr="00FB1F27">
        <w:rPr>
          <w:rFonts w:ascii="Times New Roman" w:hAnsi="Times New Roman" w:cs="Times New Roman" w:hint="eastAsia"/>
          <w:sz w:val="21"/>
          <w:szCs w:val="21"/>
        </w:rPr>
        <w:t xml:space="preserve"> (</w:t>
      </w:r>
      <w:r w:rsidR="00784CF0" w:rsidRPr="00FB1F27">
        <w:rPr>
          <w:rFonts w:ascii="Times New Roman" w:hAnsi="Times New Roman" w:cs="Times New Roman" w:hint="eastAsia"/>
          <w:b/>
          <w:bCs/>
          <w:sz w:val="21"/>
          <w:szCs w:val="21"/>
        </w:rPr>
        <w:t>E</w:t>
      </w:r>
      <w:r w:rsidR="00784CF0" w:rsidRPr="00FB1F27">
        <w:rPr>
          <w:rFonts w:ascii="Times New Roman" w:hAnsi="Times New Roman" w:cs="Times New Roman" w:hint="eastAsia"/>
          <w:sz w:val="21"/>
          <w:szCs w:val="21"/>
        </w:rPr>
        <w:t>) Kaplan-Meier curves of overall survival in iCCA patients stratified by CD8T</w:t>
      </w:r>
      <w:r w:rsidR="00784CF0" w:rsidRPr="00FB1F27">
        <w:rPr>
          <w:rFonts w:ascii="Times New Roman" w:hAnsi="Times New Roman" w:cs="Times New Roman"/>
          <w:sz w:val="21"/>
          <w:szCs w:val="21"/>
        </w:rPr>
        <w:t xml:space="preserve">_ISG15 </w:t>
      </w:r>
      <w:r w:rsidR="00784CF0" w:rsidRPr="00FB1F27">
        <w:rPr>
          <w:rFonts w:ascii="Times New Roman" w:hAnsi="Times New Roman" w:cs="Times New Roman" w:hint="eastAsia"/>
          <w:sz w:val="21"/>
          <w:szCs w:val="21"/>
        </w:rPr>
        <w:t xml:space="preserve">signature expression </w:t>
      </w:r>
      <w:r w:rsidR="00784CF0" w:rsidRPr="00FB1F27">
        <w:rPr>
          <w:rFonts w:ascii="Times New Roman" w:hAnsi="Times New Roman" w:cs="Times New Roman"/>
          <w:sz w:val="21"/>
          <w:szCs w:val="21"/>
        </w:rPr>
        <w:t xml:space="preserve">in </w:t>
      </w:r>
      <w:r w:rsidR="00784CF0" w:rsidRPr="00FB1F27">
        <w:rPr>
          <w:rFonts w:ascii="Times New Roman" w:hAnsi="Times New Roman" w:cs="Times New Roman" w:hint="eastAsia"/>
          <w:sz w:val="21"/>
          <w:szCs w:val="21"/>
        </w:rPr>
        <w:t xml:space="preserve">the </w:t>
      </w:r>
      <w:r w:rsidR="00784CF0" w:rsidRPr="00FB1F27">
        <w:rPr>
          <w:rFonts w:ascii="Times New Roman" w:hAnsi="Times New Roman" w:cs="Times New Roman"/>
          <w:sz w:val="21"/>
          <w:szCs w:val="21"/>
        </w:rPr>
        <w:t>ICGC</w:t>
      </w:r>
      <w:r w:rsidR="00784CF0" w:rsidRPr="00FB1F27">
        <w:rPr>
          <w:rFonts w:ascii="Times New Roman" w:hAnsi="Times New Roman" w:cs="Times New Roman" w:hint="eastAsia"/>
          <w:sz w:val="21"/>
          <w:szCs w:val="21"/>
        </w:rPr>
        <w:t>-CCA cohort</w:t>
      </w:r>
      <w:r w:rsidR="00784CF0" w:rsidRPr="00FB1F27">
        <w:rPr>
          <w:rFonts w:ascii="Times New Roman" w:hAnsi="Times New Roman" w:cs="Times New Roman"/>
          <w:sz w:val="21"/>
          <w:szCs w:val="21"/>
        </w:rPr>
        <w:t>.</w:t>
      </w:r>
    </w:p>
    <w:p w:rsidR="00662A43" w:rsidRDefault="00662A43">
      <w:pPr>
        <w:spacing w:after="0" w:line="240" w:lineRule="auto"/>
        <w:rPr>
          <w:rFonts w:ascii="Times New Roman" w:hAnsi="Times New Roman" w:cs="Times New Roman"/>
        </w:rPr>
      </w:pPr>
      <w:r>
        <w:rPr>
          <w:rFonts w:ascii="Times New Roman" w:hAnsi="Times New Roman" w:cs="Times New Roman"/>
        </w:rPr>
        <w:br w:type="page"/>
      </w:r>
    </w:p>
    <w:p w:rsidR="00CE5577" w:rsidRDefault="00CF1055" w:rsidP="00CE5577">
      <w:pPr>
        <w:spacing w:beforeLines="50" w:before="156" w:afterLines="50" w:after="156"/>
        <w:jc w:val="both"/>
        <w:rPr>
          <w:rFonts w:ascii="Times New Roman" w:hAnsi="Times New Roman" w:cs="Times New Roman"/>
          <w:b/>
          <w:bCs/>
        </w:rPr>
      </w:pPr>
      <w:r>
        <w:rPr>
          <w:noProof/>
        </w:rPr>
        <w:lastRenderedPageBreak/>
        <w:drawing>
          <wp:inline distT="0" distB="0" distL="0" distR="0">
            <wp:extent cx="5278120" cy="5939942"/>
            <wp:effectExtent l="0" t="0" r="0" b="3810"/>
            <wp:docPr id="183689560"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b="14915"/>
                    <a:stretch/>
                  </pic:blipFill>
                  <pic:spPr bwMode="auto">
                    <a:xfrm>
                      <a:off x="0" y="0"/>
                      <a:ext cx="5278120" cy="5939942"/>
                    </a:xfrm>
                    <a:prstGeom prst="rect">
                      <a:avLst/>
                    </a:prstGeom>
                    <a:noFill/>
                    <a:ln>
                      <a:noFill/>
                    </a:ln>
                    <a:extLst>
                      <a:ext uri="{53640926-AAD7-44D8-BBD7-CCE9431645EC}">
                        <a14:shadowObscured xmlns:a14="http://schemas.microsoft.com/office/drawing/2010/main"/>
                      </a:ext>
                    </a:extLst>
                  </pic:spPr>
                </pic:pic>
              </a:graphicData>
            </a:graphic>
          </wp:inline>
        </w:drawing>
      </w:r>
      <w:r w:rsidR="00DB4516" w:rsidRPr="00662A43">
        <w:rPr>
          <w:rFonts w:ascii="Times New Roman" w:hAnsi="Times New Roman" w:cs="Times New Roman" w:hint="eastAsia"/>
          <w:b/>
          <w:bCs/>
        </w:rPr>
        <w:t xml:space="preserve"> </w:t>
      </w:r>
      <w:r w:rsidR="00662A43" w:rsidRPr="00662A43">
        <w:rPr>
          <w:rFonts w:ascii="Times New Roman" w:hAnsi="Times New Roman" w:cs="Times New Roman" w:hint="eastAsia"/>
          <w:b/>
          <w:bCs/>
        </w:rPr>
        <w:t xml:space="preserve">Supplementary </w:t>
      </w:r>
      <w:r w:rsidR="00662A43" w:rsidRPr="00BB68D1">
        <w:rPr>
          <w:rFonts w:ascii="Times New Roman" w:hAnsi="Times New Roman" w:cs="Times New Roman"/>
          <w:b/>
          <w:bCs/>
        </w:rPr>
        <w:t xml:space="preserve">Fig. </w:t>
      </w:r>
      <w:r w:rsidR="00DB4516">
        <w:rPr>
          <w:rFonts w:ascii="Times New Roman" w:hAnsi="Times New Roman" w:cs="Times New Roman" w:hint="eastAsia"/>
          <w:b/>
          <w:bCs/>
          <w:lang w:eastAsia="zh-CN"/>
        </w:rPr>
        <w:t>S</w:t>
      </w:r>
      <w:r w:rsidR="00E957DD">
        <w:rPr>
          <w:rFonts w:ascii="Times New Roman" w:hAnsi="Times New Roman" w:cs="Times New Roman" w:hint="eastAsia"/>
          <w:b/>
          <w:bCs/>
          <w:lang w:eastAsia="zh-CN"/>
        </w:rPr>
        <w:t>11</w:t>
      </w:r>
      <w:r w:rsidR="00662A43" w:rsidRPr="00BB68D1">
        <w:rPr>
          <w:rFonts w:ascii="Times New Roman" w:hAnsi="Times New Roman" w:cs="Times New Roman"/>
          <w:b/>
          <w:bCs/>
        </w:rPr>
        <w:t>. Validation of mesenchymal and immune niches for basal-like progenitors</w:t>
      </w:r>
      <w:r w:rsidR="00E957DD">
        <w:rPr>
          <w:rFonts w:ascii="Times New Roman" w:hAnsi="Times New Roman" w:cs="Times New Roman" w:hint="eastAsia"/>
          <w:b/>
          <w:bCs/>
          <w:lang w:eastAsia="zh-CN"/>
        </w:rPr>
        <w:t xml:space="preserve"> by three eCCA single-cell/single-nuclei RNA-seq cohort</w:t>
      </w:r>
      <w:r w:rsidR="00662A43" w:rsidRPr="00BB68D1">
        <w:rPr>
          <w:rFonts w:ascii="Times New Roman" w:hAnsi="Times New Roman" w:cs="Times New Roman"/>
          <w:b/>
          <w:bCs/>
        </w:rPr>
        <w:t>.</w:t>
      </w:r>
      <w:r w:rsidR="00662A43">
        <w:rPr>
          <w:rFonts w:ascii="Times New Roman" w:hAnsi="Times New Roman" w:cs="Times New Roman" w:hint="eastAsia"/>
          <w:b/>
          <w:bCs/>
        </w:rPr>
        <w:t xml:space="preserve"> </w:t>
      </w:r>
    </w:p>
    <w:p w:rsidR="00564D1D" w:rsidRDefault="00E957DD" w:rsidP="00CE5577">
      <w:pPr>
        <w:spacing w:beforeLines="50" w:before="156" w:afterLines="50" w:after="156"/>
        <w:jc w:val="both"/>
        <w:rPr>
          <w:rFonts w:ascii="Times New Roman" w:hAnsi="Times New Roman" w:cs="Times New Roman"/>
          <w:lang w:eastAsia="zh-CN"/>
        </w:rPr>
      </w:pPr>
      <w:r>
        <w:rPr>
          <w:rFonts w:ascii="Times New Roman" w:hAnsi="Times New Roman" w:cs="Times New Roman" w:hint="eastAsia"/>
          <w:lang w:eastAsia="zh-CN"/>
        </w:rPr>
        <w:t>(</w:t>
      </w:r>
      <w:r w:rsidRPr="00CE5577">
        <w:rPr>
          <w:rFonts w:ascii="Times New Roman" w:hAnsi="Times New Roman" w:cs="Times New Roman" w:hint="eastAsia"/>
          <w:b/>
          <w:bCs/>
          <w:lang w:eastAsia="zh-CN"/>
        </w:rPr>
        <w:t>A</w:t>
      </w:r>
      <w:r w:rsidR="00662A43" w:rsidRPr="00BB68D1">
        <w:rPr>
          <w:rFonts w:ascii="Times New Roman" w:hAnsi="Times New Roman" w:cs="Times New Roman"/>
        </w:rPr>
        <w:t xml:space="preserve">) UMAP </w:t>
      </w:r>
      <w:r w:rsidR="00662A43">
        <w:rPr>
          <w:rFonts w:ascii="Times New Roman" w:hAnsi="Times New Roman" w:cs="Times New Roman" w:hint="eastAsia"/>
        </w:rPr>
        <w:t>plot</w:t>
      </w:r>
      <w:r w:rsidR="00BC69CB">
        <w:rPr>
          <w:rFonts w:ascii="Times New Roman" w:hAnsi="Times New Roman" w:cs="Times New Roman" w:hint="eastAsia"/>
          <w:lang w:eastAsia="zh-CN"/>
        </w:rPr>
        <w:t xml:space="preserve"> </w:t>
      </w:r>
      <w:r w:rsidR="00662A43">
        <w:rPr>
          <w:rFonts w:ascii="Times New Roman" w:hAnsi="Times New Roman" w:cs="Times New Roman" w:hint="eastAsia"/>
        </w:rPr>
        <w:t>showing</w:t>
      </w:r>
      <w:r w:rsidR="00BC69CB">
        <w:rPr>
          <w:rFonts w:ascii="Times New Roman" w:hAnsi="Times New Roman" w:cs="Times New Roman" w:hint="eastAsia"/>
          <w:lang w:eastAsia="zh-CN"/>
        </w:rPr>
        <w:t xml:space="preserve"> subclusters of pericytes</w:t>
      </w:r>
      <w:r w:rsidR="00662A43" w:rsidRPr="00BB68D1">
        <w:rPr>
          <w:rFonts w:ascii="Times New Roman" w:hAnsi="Times New Roman" w:cs="Times New Roman"/>
        </w:rPr>
        <w:t xml:space="preserve">. </w:t>
      </w:r>
      <w:r w:rsidR="00BC69CB">
        <w:rPr>
          <w:rFonts w:ascii="Times New Roman" w:hAnsi="Times New Roman" w:cs="Times New Roman" w:hint="eastAsia"/>
          <w:lang w:eastAsia="zh-CN"/>
        </w:rPr>
        <w:t>(</w:t>
      </w:r>
      <w:r w:rsidR="00BC69CB" w:rsidRPr="00CE5577">
        <w:rPr>
          <w:rFonts w:ascii="Times New Roman" w:hAnsi="Times New Roman" w:cs="Times New Roman" w:hint="eastAsia"/>
          <w:b/>
          <w:bCs/>
          <w:lang w:eastAsia="zh-CN"/>
        </w:rPr>
        <w:t>B</w:t>
      </w:r>
      <w:r w:rsidR="00BC69CB">
        <w:rPr>
          <w:rFonts w:ascii="Times New Roman" w:hAnsi="Times New Roman" w:cs="Times New Roman" w:hint="eastAsia"/>
          <w:lang w:eastAsia="zh-CN"/>
        </w:rPr>
        <w:t xml:space="preserve">) Bubble plot showing the </w:t>
      </w:r>
      <w:r w:rsidR="00BC69CB" w:rsidRPr="00BC69CB">
        <w:rPr>
          <w:rFonts w:ascii="Times New Roman" w:hAnsi="Times New Roman" w:cs="Times New Roman" w:hint="eastAsia"/>
          <w:i/>
          <w:iCs/>
          <w:lang w:eastAsia="zh-CN"/>
        </w:rPr>
        <w:t>ISG15</w:t>
      </w:r>
      <w:r w:rsidR="00BC69CB">
        <w:rPr>
          <w:rFonts w:ascii="Times New Roman" w:hAnsi="Times New Roman" w:cs="Times New Roman" w:hint="eastAsia"/>
          <w:lang w:eastAsia="zh-CN"/>
        </w:rPr>
        <w:t xml:space="preserve"> and IFN-responsive genes expression in pericytes. (</w:t>
      </w:r>
      <w:r w:rsidR="00BC69CB" w:rsidRPr="00CE5577">
        <w:rPr>
          <w:rFonts w:ascii="Times New Roman" w:hAnsi="Times New Roman" w:cs="Times New Roman" w:hint="eastAsia"/>
          <w:b/>
          <w:bCs/>
          <w:lang w:eastAsia="zh-CN"/>
        </w:rPr>
        <w:t>C</w:t>
      </w:r>
      <w:r w:rsidR="00BC69CB">
        <w:rPr>
          <w:rFonts w:ascii="Times New Roman" w:hAnsi="Times New Roman" w:cs="Times New Roman" w:hint="eastAsia"/>
          <w:lang w:eastAsia="zh-CN"/>
        </w:rPr>
        <w:t xml:space="preserve">) UMAP plot showing the co-expression of </w:t>
      </w:r>
      <w:r w:rsidR="00BC69CB" w:rsidRPr="00BC69CB">
        <w:rPr>
          <w:rFonts w:ascii="Times New Roman" w:hAnsi="Times New Roman" w:cs="Times New Roman" w:hint="eastAsia"/>
          <w:i/>
          <w:iCs/>
          <w:lang w:eastAsia="zh-CN"/>
        </w:rPr>
        <w:t>ISG15</w:t>
      </w:r>
      <w:r w:rsidR="00BC69CB">
        <w:rPr>
          <w:rFonts w:ascii="Times New Roman" w:hAnsi="Times New Roman" w:cs="Times New Roman" w:hint="eastAsia"/>
          <w:lang w:eastAsia="zh-CN"/>
        </w:rPr>
        <w:t xml:space="preserve"> and </w:t>
      </w:r>
      <w:r w:rsidR="00BC69CB" w:rsidRPr="00BC69CB">
        <w:rPr>
          <w:rFonts w:ascii="Times New Roman" w:hAnsi="Times New Roman" w:cs="Times New Roman" w:hint="eastAsia"/>
          <w:i/>
          <w:iCs/>
          <w:lang w:eastAsia="zh-CN"/>
        </w:rPr>
        <w:t>RGS5</w:t>
      </w:r>
      <w:r w:rsidR="00BC69CB">
        <w:rPr>
          <w:rFonts w:ascii="Times New Roman" w:hAnsi="Times New Roman" w:cs="Times New Roman" w:hint="eastAsia"/>
          <w:lang w:eastAsia="zh-CN"/>
        </w:rPr>
        <w:t>. (</w:t>
      </w:r>
      <w:r w:rsidR="00BC69CB" w:rsidRPr="00CE5577">
        <w:rPr>
          <w:rFonts w:ascii="Times New Roman" w:hAnsi="Times New Roman" w:cs="Times New Roman" w:hint="eastAsia"/>
          <w:b/>
          <w:bCs/>
          <w:lang w:eastAsia="zh-CN"/>
        </w:rPr>
        <w:t>D</w:t>
      </w:r>
      <w:r w:rsidR="00BC69CB" w:rsidRPr="00BB68D1">
        <w:rPr>
          <w:rFonts w:ascii="Times New Roman" w:hAnsi="Times New Roman" w:cs="Times New Roman"/>
        </w:rPr>
        <w:t xml:space="preserve">) UMAP </w:t>
      </w:r>
      <w:r w:rsidR="00BC69CB">
        <w:rPr>
          <w:rFonts w:ascii="Times New Roman" w:hAnsi="Times New Roman" w:cs="Times New Roman" w:hint="eastAsia"/>
        </w:rPr>
        <w:t>plot</w:t>
      </w:r>
      <w:r w:rsidR="00BC69CB">
        <w:rPr>
          <w:rFonts w:ascii="Times New Roman" w:hAnsi="Times New Roman" w:cs="Times New Roman" w:hint="eastAsia"/>
          <w:lang w:eastAsia="zh-CN"/>
        </w:rPr>
        <w:t xml:space="preserve"> </w:t>
      </w:r>
      <w:r w:rsidR="00BC69CB">
        <w:rPr>
          <w:rFonts w:ascii="Times New Roman" w:hAnsi="Times New Roman" w:cs="Times New Roman" w:hint="eastAsia"/>
        </w:rPr>
        <w:t>showing</w:t>
      </w:r>
      <w:r w:rsidR="00BC69CB">
        <w:rPr>
          <w:rFonts w:ascii="Times New Roman" w:hAnsi="Times New Roman" w:cs="Times New Roman" w:hint="eastAsia"/>
          <w:lang w:eastAsia="zh-CN"/>
        </w:rPr>
        <w:t xml:space="preserve"> subclusters of myeloid cells</w:t>
      </w:r>
      <w:r w:rsidR="00BC69CB" w:rsidRPr="00BB68D1">
        <w:rPr>
          <w:rFonts w:ascii="Times New Roman" w:hAnsi="Times New Roman" w:cs="Times New Roman"/>
        </w:rPr>
        <w:t xml:space="preserve">. </w:t>
      </w:r>
      <w:r w:rsidR="00BC69CB">
        <w:rPr>
          <w:rFonts w:ascii="Times New Roman" w:hAnsi="Times New Roman" w:cs="Times New Roman" w:hint="eastAsia"/>
          <w:lang w:eastAsia="zh-CN"/>
        </w:rPr>
        <w:t>(</w:t>
      </w:r>
      <w:r w:rsidR="00BC69CB" w:rsidRPr="00CE5577">
        <w:rPr>
          <w:rFonts w:ascii="Times New Roman" w:hAnsi="Times New Roman" w:cs="Times New Roman" w:hint="eastAsia"/>
          <w:b/>
          <w:bCs/>
          <w:lang w:eastAsia="zh-CN"/>
        </w:rPr>
        <w:t>E</w:t>
      </w:r>
      <w:r w:rsidR="00BC69CB">
        <w:rPr>
          <w:rFonts w:ascii="Times New Roman" w:hAnsi="Times New Roman" w:cs="Times New Roman" w:hint="eastAsia"/>
          <w:lang w:eastAsia="zh-CN"/>
        </w:rPr>
        <w:t xml:space="preserve">) Bubble plot showing the </w:t>
      </w:r>
      <w:r w:rsidR="00BC69CB" w:rsidRPr="00BC69CB">
        <w:rPr>
          <w:rFonts w:ascii="Times New Roman" w:hAnsi="Times New Roman" w:cs="Times New Roman" w:hint="eastAsia"/>
          <w:i/>
          <w:iCs/>
          <w:lang w:eastAsia="zh-CN"/>
        </w:rPr>
        <w:t>ISG15</w:t>
      </w:r>
      <w:r w:rsidR="00BC69CB">
        <w:rPr>
          <w:rFonts w:ascii="Times New Roman" w:hAnsi="Times New Roman" w:cs="Times New Roman" w:hint="eastAsia"/>
          <w:lang w:eastAsia="zh-CN"/>
        </w:rPr>
        <w:t xml:space="preserve"> and IFN-responsive genes expression in myeloid cells. (</w:t>
      </w:r>
      <w:r w:rsidR="00BC69CB" w:rsidRPr="00CE5577">
        <w:rPr>
          <w:rFonts w:ascii="Times New Roman" w:hAnsi="Times New Roman" w:cs="Times New Roman" w:hint="eastAsia"/>
          <w:b/>
          <w:bCs/>
          <w:lang w:eastAsia="zh-CN"/>
        </w:rPr>
        <w:t>F</w:t>
      </w:r>
      <w:r w:rsidR="00BC69CB">
        <w:rPr>
          <w:rFonts w:ascii="Times New Roman" w:hAnsi="Times New Roman" w:cs="Times New Roman" w:hint="eastAsia"/>
          <w:lang w:eastAsia="zh-CN"/>
        </w:rPr>
        <w:t xml:space="preserve">) UMAP plot showing the co-expression of </w:t>
      </w:r>
      <w:r w:rsidR="00BC69CB" w:rsidRPr="00BC69CB">
        <w:rPr>
          <w:rFonts w:ascii="Times New Roman" w:hAnsi="Times New Roman" w:cs="Times New Roman" w:hint="eastAsia"/>
          <w:i/>
          <w:iCs/>
          <w:lang w:eastAsia="zh-CN"/>
        </w:rPr>
        <w:t>ISG15</w:t>
      </w:r>
      <w:r w:rsidR="00BC69CB">
        <w:rPr>
          <w:rFonts w:ascii="Times New Roman" w:hAnsi="Times New Roman" w:cs="Times New Roman" w:hint="eastAsia"/>
          <w:lang w:eastAsia="zh-CN"/>
        </w:rPr>
        <w:t xml:space="preserve"> and </w:t>
      </w:r>
      <w:r w:rsidR="00BC69CB">
        <w:rPr>
          <w:rFonts w:ascii="Times New Roman" w:hAnsi="Times New Roman" w:cs="Times New Roman" w:hint="eastAsia"/>
          <w:i/>
          <w:iCs/>
          <w:lang w:eastAsia="zh-CN"/>
        </w:rPr>
        <w:t>CD68</w:t>
      </w:r>
      <w:r w:rsidR="00BC69CB">
        <w:rPr>
          <w:rFonts w:ascii="Times New Roman" w:hAnsi="Times New Roman" w:cs="Times New Roman" w:hint="eastAsia"/>
          <w:lang w:eastAsia="zh-CN"/>
        </w:rPr>
        <w:t>.</w:t>
      </w:r>
      <w:r w:rsidR="00BC69CB">
        <w:rPr>
          <w:rFonts w:ascii="Times New Roman" w:hAnsi="Times New Roman" w:cs="Times New Roman" w:hint="eastAsia"/>
          <w:b/>
          <w:bCs/>
        </w:rPr>
        <w:t xml:space="preserve"> </w:t>
      </w:r>
      <w:r w:rsidR="00BC69CB">
        <w:rPr>
          <w:rFonts w:ascii="Times New Roman" w:hAnsi="Times New Roman" w:cs="Times New Roman" w:hint="eastAsia"/>
          <w:lang w:eastAsia="zh-CN"/>
        </w:rPr>
        <w:t>(</w:t>
      </w:r>
      <w:r w:rsidR="00BC69CB" w:rsidRPr="00CE5577">
        <w:rPr>
          <w:rFonts w:ascii="Times New Roman" w:hAnsi="Times New Roman" w:cs="Times New Roman" w:hint="eastAsia"/>
          <w:b/>
          <w:bCs/>
          <w:lang w:eastAsia="zh-CN"/>
        </w:rPr>
        <w:t>G</w:t>
      </w:r>
      <w:r w:rsidR="00BC69CB" w:rsidRPr="00BB68D1">
        <w:rPr>
          <w:rFonts w:ascii="Times New Roman" w:hAnsi="Times New Roman" w:cs="Times New Roman"/>
        </w:rPr>
        <w:t xml:space="preserve">) UMAP </w:t>
      </w:r>
      <w:r w:rsidR="00BC69CB">
        <w:rPr>
          <w:rFonts w:ascii="Times New Roman" w:hAnsi="Times New Roman" w:cs="Times New Roman" w:hint="eastAsia"/>
        </w:rPr>
        <w:t>plot</w:t>
      </w:r>
      <w:r w:rsidR="00BC69CB">
        <w:rPr>
          <w:rFonts w:ascii="Times New Roman" w:hAnsi="Times New Roman" w:cs="Times New Roman" w:hint="eastAsia"/>
          <w:lang w:eastAsia="zh-CN"/>
        </w:rPr>
        <w:t xml:space="preserve"> </w:t>
      </w:r>
      <w:r w:rsidR="00BC69CB">
        <w:rPr>
          <w:rFonts w:ascii="Times New Roman" w:hAnsi="Times New Roman" w:cs="Times New Roman" w:hint="eastAsia"/>
        </w:rPr>
        <w:t>showing</w:t>
      </w:r>
      <w:r w:rsidR="00BC69CB">
        <w:rPr>
          <w:rFonts w:ascii="Times New Roman" w:hAnsi="Times New Roman" w:cs="Times New Roman" w:hint="eastAsia"/>
          <w:lang w:eastAsia="zh-CN"/>
        </w:rPr>
        <w:t xml:space="preserve"> subclusters of T/NK</w:t>
      </w:r>
      <w:r w:rsidR="00BC69CB" w:rsidRPr="00BB68D1">
        <w:rPr>
          <w:rFonts w:ascii="Times New Roman" w:hAnsi="Times New Roman" w:cs="Times New Roman"/>
        </w:rPr>
        <w:t xml:space="preserve">. </w:t>
      </w:r>
      <w:r w:rsidR="00BC69CB">
        <w:rPr>
          <w:rFonts w:ascii="Times New Roman" w:hAnsi="Times New Roman" w:cs="Times New Roman" w:hint="eastAsia"/>
          <w:lang w:eastAsia="zh-CN"/>
        </w:rPr>
        <w:t>(</w:t>
      </w:r>
      <w:r w:rsidR="00BC69CB" w:rsidRPr="00CE5577">
        <w:rPr>
          <w:rFonts w:ascii="Times New Roman" w:hAnsi="Times New Roman" w:cs="Times New Roman" w:hint="eastAsia"/>
          <w:b/>
          <w:bCs/>
          <w:lang w:eastAsia="zh-CN"/>
        </w:rPr>
        <w:t>H</w:t>
      </w:r>
      <w:r w:rsidR="00BC69CB">
        <w:rPr>
          <w:rFonts w:ascii="Times New Roman" w:hAnsi="Times New Roman" w:cs="Times New Roman" w:hint="eastAsia"/>
          <w:lang w:eastAsia="zh-CN"/>
        </w:rPr>
        <w:t xml:space="preserve">) Bubble plot showing the </w:t>
      </w:r>
      <w:r w:rsidR="00BC69CB" w:rsidRPr="00BC69CB">
        <w:rPr>
          <w:rFonts w:ascii="Times New Roman" w:hAnsi="Times New Roman" w:cs="Times New Roman" w:hint="eastAsia"/>
          <w:i/>
          <w:iCs/>
          <w:lang w:eastAsia="zh-CN"/>
        </w:rPr>
        <w:t>ISG15</w:t>
      </w:r>
      <w:r w:rsidR="00BC69CB">
        <w:rPr>
          <w:rFonts w:ascii="Times New Roman" w:hAnsi="Times New Roman" w:cs="Times New Roman" w:hint="eastAsia"/>
          <w:lang w:eastAsia="zh-CN"/>
        </w:rPr>
        <w:t xml:space="preserve"> and IFN-responsive genes expression in T/NK. (</w:t>
      </w:r>
      <w:r w:rsidR="00BC69CB" w:rsidRPr="00CE5577">
        <w:rPr>
          <w:rFonts w:ascii="Times New Roman" w:hAnsi="Times New Roman" w:cs="Times New Roman" w:hint="eastAsia"/>
          <w:b/>
          <w:bCs/>
          <w:lang w:eastAsia="zh-CN"/>
        </w:rPr>
        <w:t>I</w:t>
      </w:r>
      <w:r w:rsidR="00BC69CB">
        <w:rPr>
          <w:rFonts w:ascii="Times New Roman" w:hAnsi="Times New Roman" w:cs="Times New Roman" w:hint="eastAsia"/>
          <w:lang w:eastAsia="zh-CN"/>
        </w:rPr>
        <w:t xml:space="preserve">) UMAP plot showing the co-expression of </w:t>
      </w:r>
      <w:r w:rsidR="00BC69CB" w:rsidRPr="00BC69CB">
        <w:rPr>
          <w:rFonts w:ascii="Times New Roman" w:hAnsi="Times New Roman" w:cs="Times New Roman" w:hint="eastAsia"/>
          <w:i/>
          <w:iCs/>
          <w:lang w:eastAsia="zh-CN"/>
        </w:rPr>
        <w:t>ISG15</w:t>
      </w:r>
      <w:r w:rsidR="00BC69CB">
        <w:rPr>
          <w:rFonts w:ascii="Times New Roman" w:hAnsi="Times New Roman" w:cs="Times New Roman" w:hint="eastAsia"/>
          <w:lang w:eastAsia="zh-CN"/>
        </w:rPr>
        <w:t xml:space="preserve"> and </w:t>
      </w:r>
      <w:r w:rsidR="00BC69CB">
        <w:rPr>
          <w:rFonts w:ascii="Times New Roman" w:hAnsi="Times New Roman" w:cs="Times New Roman" w:hint="eastAsia"/>
          <w:i/>
          <w:iCs/>
          <w:lang w:eastAsia="zh-CN"/>
        </w:rPr>
        <w:t>CD8A</w:t>
      </w:r>
      <w:r w:rsidR="00BC69CB">
        <w:rPr>
          <w:rFonts w:ascii="Times New Roman" w:hAnsi="Times New Roman" w:cs="Times New Roman" w:hint="eastAsia"/>
          <w:lang w:eastAsia="zh-CN"/>
        </w:rPr>
        <w:t>.</w:t>
      </w:r>
    </w:p>
    <w:p w:rsidR="005A709E" w:rsidRDefault="005A709E">
      <w:pPr>
        <w:spacing w:after="0" w:line="240" w:lineRule="auto"/>
        <w:rPr>
          <w:rFonts w:ascii="Times New Roman" w:hAnsi="Times New Roman" w:cs="Times New Roman"/>
          <w:lang w:eastAsia="zh-CN"/>
        </w:rPr>
      </w:pPr>
      <w:r>
        <w:rPr>
          <w:rFonts w:ascii="Times New Roman" w:hAnsi="Times New Roman" w:cs="Times New Roman"/>
          <w:lang w:eastAsia="zh-CN"/>
        </w:rPr>
        <w:br w:type="page"/>
      </w:r>
    </w:p>
    <w:p w:rsidR="008F0996" w:rsidRDefault="008F0996" w:rsidP="008F0996">
      <w:pPr>
        <w:spacing w:beforeLines="50" w:before="156" w:afterLines="50" w:after="156"/>
        <w:jc w:val="both"/>
        <w:rPr>
          <w:rFonts w:ascii="Times New Roman" w:hAnsi="Times New Roman" w:cs="Times New Roman"/>
          <w:lang w:eastAsia="zh-CN"/>
        </w:rPr>
      </w:pPr>
      <w:r>
        <w:rPr>
          <w:noProof/>
        </w:rPr>
        <w:lastRenderedPageBreak/>
        <w:drawing>
          <wp:inline distT="0" distB="0" distL="0" distR="0">
            <wp:extent cx="5278120" cy="6933537"/>
            <wp:effectExtent l="0" t="0" r="0" b="1270"/>
            <wp:docPr id="140976778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b="10647"/>
                    <a:stretch/>
                  </pic:blipFill>
                  <pic:spPr bwMode="auto">
                    <a:xfrm>
                      <a:off x="0" y="0"/>
                      <a:ext cx="5278120" cy="6933537"/>
                    </a:xfrm>
                    <a:prstGeom prst="rect">
                      <a:avLst/>
                    </a:prstGeom>
                    <a:noFill/>
                    <a:ln>
                      <a:noFill/>
                    </a:ln>
                    <a:extLst>
                      <a:ext uri="{53640926-AAD7-44D8-BBD7-CCE9431645EC}">
                        <a14:shadowObscured xmlns:a14="http://schemas.microsoft.com/office/drawing/2010/main"/>
                      </a:ext>
                    </a:extLst>
                  </pic:spPr>
                </pic:pic>
              </a:graphicData>
            </a:graphic>
          </wp:inline>
        </w:drawing>
      </w:r>
    </w:p>
    <w:p w:rsidR="008F0996" w:rsidRPr="00F134B0" w:rsidRDefault="008F0996" w:rsidP="008F0996">
      <w:pPr>
        <w:spacing w:beforeLines="50" w:before="156" w:afterLines="50" w:after="156"/>
        <w:jc w:val="both"/>
        <w:rPr>
          <w:rFonts w:ascii="Times New Roman" w:hAnsi="Times New Roman" w:cs="Times New Roman"/>
          <w:sz w:val="24"/>
          <w:szCs w:val="24"/>
          <w:lang w:eastAsia="zh-CN"/>
        </w:rPr>
      </w:pPr>
      <w:r w:rsidRPr="00662A43">
        <w:rPr>
          <w:rFonts w:ascii="Times New Roman" w:hAnsi="Times New Roman" w:cs="Times New Roman" w:hint="eastAsia"/>
          <w:b/>
          <w:bCs/>
        </w:rPr>
        <w:t xml:space="preserve">Supplementary </w:t>
      </w:r>
      <w:r w:rsidRPr="00BB68D1">
        <w:rPr>
          <w:rFonts w:ascii="Times New Roman" w:hAnsi="Times New Roman" w:cs="Times New Roman"/>
          <w:b/>
          <w:bCs/>
        </w:rPr>
        <w:t xml:space="preserve">Fig. </w:t>
      </w:r>
      <w:r>
        <w:rPr>
          <w:rFonts w:ascii="Times New Roman" w:hAnsi="Times New Roman" w:cs="Times New Roman" w:hint="eastAsia"/>
          <w:b/>
          <w:bCs/>
          <w:lang w:eastAsia="zh-CN"/>
        </w:rPr>
        <w:t>S1</w:t>
      </w:r>
      <w:r>
        <w:rPr>
          <w:rFonts w:ascii="Times New Roman" w:hAnsi="Times New Roman" w:cs="Times New Roman" w:hint="eastAsia"/>
          <w:b/>
          <w:bCs/>
          <w:lang w:eastAsia="zh-CN"/>
        </w:rPr>
        <w:t>2</w:t>
      </w:r>
      <w:r w:rsidRPr="00BB68D1">
        <w:rPr>
          <w:rFonts w:ascii="Times New Roman" w:hAnsi="Times New Roman" w:cs="Times New Roman"/>
          <w:b/>
          <w:bCs/>
        </w:rPr>
        <w:t>.</w:t>
      </w:r>
      <w:r>
        <w:rPr>
          <w:rFonts w:ascii="Times New Roman" w:hAnsi="Times New Roman" w:cs="Times New Roman" w:hint="eastAsia"/>
          <w:b/>
          <w:bCs/>
          <w:lang w:eastAsia="zh-CN"/>
        </w:rPr>
        <w:t xml:space="preserve"> </w:t>
      </w:r>
      <w:r w:rsidRPr="00F134B0">
        <w:rPr>
          <w:rFonts w:ascii="Times New Roman" w:hAnsi="Times New Roman" w:cs="Times New Roman" w:hint="eastAsia"/>
          <w:b/>
          <w:bCs/>
        </w:rPr>
        <w:t>Spatial analysis using RNA in situ sequencing.</w:t>
      </w:r>
      <w:r w:rsidRPr="000C2F44">
        <w:rPr>
          <w:rFonts w:ascii="Times New Roman" w:hAnsi="Times New Roman" w:cs="Times New Roman" w:hint="eastAsia"/>
          <w:b/>
          <w:bCs/>
          <w:sz w:val="18"/>
          <w:szCs w:val="18"/>
        </w:rPr>
        <w:t xml:space="preserve"> </w:t>
      </w:r>
      <w:r w:rsidRPr="00F134B0">
        <w:rPr>
          <w:rFonts w:ascii="Times New Roman" w:hAnsi="Times New Roman" w:cs="Times New Roman" w:hint="eastAsia"/>
          <w:sz w:val="24"/>
          <w:szCs w:val="24"/>
          <w:lang w:eastAsia="zh-CN"/>
        </w:rPr>
        <w:t>(</w:t>
      </w:r>
      <w:r w:rsidRPr="00F134B0">
        <w:rPr>
          <w:rFonts w:ascii="Times New Roman" w:hAnsi="Times New Roman" w:cs="Times New Roman" w:hint="eastAsia"/>
          <w:b/>
          <w:bCs/>
          <w:sz w:val="24"/>
          <w:szCs w:val="24"/>
          <w:lang w:eastAsia="zh-CN"/>
        </w:rPr>
        <w:t>A</w:t>
      </w:r>
      <w:r w:rsidRPr="00F134B0">
        <w:rPr>
          <w:rFonts w:ascii="Times New Roman" w:hAnsi="Times New Roman" w:cs="Times New Roman" w:hint="eastAsia"/>
          <w:sz w:val="24"/>
          <w:szCs w:val="24"/>
          <w:lang w:eastAsia="zh-CN"/>
        </w:rPr>
        <w:t xml:space="preserve">) Spatial density maps depicting the distribution of </w:t>
      </w:r>
      <w:r w:rsidRPr="00F134B0">
        <w:rPr>
          <w:rFonts w:ascii="Times New Roman" w:hAnsi="Times New Roman" w:cs="Times New Roman"/>
          <w:i/>
          <w:iCs/>
          <w:sz w:val="24"/>
          <w:szCs w:val="24"/>
          <w:lang w:eastAsia="zh-CN"/>
        </w:rPr>
        <w:t>ISG15</w:t>
      </w:r>
      <w:r w:rsidRPr="00F134B0">
        <w:rPr>
          <w:rFonts w:ascii="Times New Roman" w:hAnsi="Times New Roman" w:cs="Times New Roman" w:hint="eastAsia"/>
          <w:sz w:val="24"/>
          <w:szCs w:val="24"/>
          <w:lang w:eastAsia="zh-CN"/>
        </w:rPr>
        <w:t xml:space="preserve"> and </w:t>
      </w:r>
      <w:r w:rsidRPr="00F134B0">
        <w:rPr>
          <w:rFonts w:ascii="Times New Roman" w:hAnsi="Times New Roman" w:cs="Times New Roman"/>
          <w:i/>
          <w:iCs/>
          <w:sz w:val="24"/>
          <w:szCs w:val="24"/>
          <w:lang w:eastAsia="zh-CN"/>
        </w:rPr>
        <w:t>LY6D</w:t>
      </w:r>
      <w:r w:rsidRPr="00F134B0">
        <w:rPr>
          <w:rFonts w:ascii="Times New Roman" w:hAnsi="Times New Roman" w:cs="Times New Roman" w:hint="eastAsia"/>
          <w:sz w:val="24"/>
          <w:szCs w:val="24"/>
          <w:lang w:eastAsia="zh-CN"/>
        </w:rPr>
        <w:t xml:space="preserve"> gene expression, alongside the localization of three </w:t>
      </w:r>
      <w:r w:rsidRPr="00F134B0">
        <w:rPr>
          <w:rFonts w:ascii="Times New Roman" w:hAnsi="Times New Roman" w:cs="Times New Roman"/>
          <w:i/>
          <w:iCs/>
          <w:sz w:val="24"/>
          <w:szCs w:val="24"/>
          <w:lang w:eastAsia="zh-CN"/>
        </w:rPr>
        <w:t>ISG15</w:t>
      </w:r>
      <w:r w:rsidRPr="00F134B0">
        <w:rPr>
          <w:rFonts w:ascii="Times New Roman" w:hAnsi="Times New Roman" w:cs="Times New Roman"/>
          <w:sz w:val="24"/>
          <w:szCs w:val="24"/>
          <w:lang w:eastAsia="zh-CN"/>
        </w:rPr>
        <w:t>⁺</w:t>
      </w:r>
      <w:r w:rsidRPr="00F134B0">
        <w:rPr>
          <w:rFonts w:ascii="Times New Roman" w:hAnsi="Times New Roman" w:cs="Times New Roman" w:hint="eastAsia"/>
          <w:sz w:val="24"/>
          <w:szCs w:val="24"/>
          <w:lang w:eastAsia="zh-CN"/>
        </w:rPr>
        <w:t xml:space="preserve"> TME subpopulations and </w:t>
      </w:r>
      <w:r w:rsidRPr="00F134B0">
        <w:rPr>
          <w:rFonts w:ascii="Times New Roman" w:hAnsi="Times New Roman" w:cs="Times New Roman"/>
          <w:i/>
          <w:iCs/>
          <w:sz w:val="24"/>
          <w:szCs w:val="24"/>
          <w:lang w:eastAsia="zh-CN"/>
        </w:rPr>
        <w:t>LY6D</w:t>
      </w:r>
      <w:r w:rsidRPr="00F134B0">
        <w:rPr>
          <w:rFonts w:ascii="Times New Roman" w:hAnsi="Times New Roman" w:cs="Times New Roman"/>
          <w:sz w:val="24"/>
          <w:szCs w:val="24"/>
          <w:lang w:eastAsia="zh-CN"/>
        </w:rPr>
        <w:t>⁺ epithelial cells</w:t>
      </w:r>
      <w:r w:rsidRPr="00F134B0">
        <w:rPr>
          <w:rFonts w:ascii="Times New Roman" w:hAnsi="Times New Roman" w:cs="Times New Roman" w:hint="eastAsia"/>
          <w:sz w:val="24"/>
          <w:szCs w:val="24"/>
          <w:lang w:eastAsia="zh-CN"/>
        </w:rPr>
        <w:t xml:space="preserve"> in eCCA samples. </w:t>
      </w:r>
      <w:r w:rsidRPr="00F134B0">
        <w:rPr>
          <w:rFonts w:ascii="Times New Roman" w:hAnsi="Times New Roman" w:cs="Times New Roman"/>
          <w:sz w:val="24"/>
          <w:szCs w:val="24"/>
          <w:lang w:eastAsia="zh-CN"/>
        </w:rPr>
        <w:t>(</w:t>
      </w:r>
      <w:r w:rsidRPr="00F134B0">
        <w:rPr>
          <w:rFonts w:ascii="Times New Roman" w:hAnsi="Times New Roman" w:cs="Times New Roman"/>
          <w:b/>
          <w:bCs/>
          <w:sz w:val="24"/>
          <w:szCs w:val="24"/>
          <w:lang w:eastAsia="zh-CN"/>
        </w:rPr>
        <w:t>B</w:t>
      </w:r>
      <w:r w:rsidRPr="00F134B0">
        <w:rPr>
          <w:rFonts w:ascii="Times New Roman" w:hAnsi="Times New Roman" w:cs="Times New Roman"/>
          <w:sz w:val="24"/>
          <w:szCs w:val="24"/>
          <w:lang w:eastAsia="zh-CN"/>
        </w:rPr>
        <w:t>) Quantitative analys</w:t>
      </w:r>
      <w:r w:rsidRPr="00F134B0">
        <w:rPr>
          <w:rFonts w:ascii="Times New Roman" w:hAnsi="Times New Roman" w:cs="Times New Roman" w:hint="eastAsia"/>
          <w:sz w:val="24"/>
          <w:szCs w:val="24"/>
          <w:lang w:eastAsia="zh-CN"/>
        </w:rPr>
        <w:t>e</w:t>
      </w:r>
      <w:r w:rsidRPr="00F134B0">
        <w:rPr>
          <w:rFonts w:ascii="Times New Roman" w:hAnsi="Times New Roman" w:cs="Times New Roman"/>
          <w:sz w:val="24"/>
          <w:szCs w:val="24"/>
          <w:lang w:eastAsia="zh-CN"/>
        </w:rPr>
        <w:t xml:space="preserve">s of spatial proximity between </w:t>
      </w:r>
      <w:r w:rsidRPr="00F134B0">
        <w:rPr>
          <w:rFonts w:ascii="Times New Roman" w:hAnsi="Times New Roman" w:cs="Times New Roman"/>
          <w:i/>
          <w:iCs/>
          <w:sz w:val="24"/>
          <w:szCs w:val="24"/>
          <w:lang w:eastAsia="zh-CN"/>
        </w:rPr>
        <w:t>ISG15</w:t>
      </w:r>
      <w:r w:rsidRPr="00F134B0">
        <w:rPr>
          <w:rFonts w:ascii="Times New Roman" w:hAnsi="Times New Roman" w:cs="Times New Roman"/>
          <w:sz w:val="24"/>
          <w:szCs w:val="24"/>
          <w:lang w:eastAsia="zh-CN"/>
        </w:rPr>
        <w:t xml:space="preserve">⁺ TME subpopulations (Per_ISG15, Macro_ISG15, and CD8T_ISG15) and </w:t>
      </w:r>
      <w:r w:rsidRPr="00F134B0">
        <w:rPr>
          <w:rFonts w:ascii="Times New Roman" w:hAnsi="Times New Roman" w:cs="Times New Roman"/>
          <w:i/>
          <w:iCs/>
          <w:sz w:val="24"/>
          <w:szCs w:val="24"/>
          <w:lang w:eastAsia="zh-CN"/>
        </w:rPr>
        <w:t>LY6D</w:t>
      </w:r>
      <w:r w:rsidRPr="00F134B0">
        <w:rPr>
          <w:rFonts w:ascii="Times New Roman" w:hAnsi="Times New Roman" w:cs="Times New Roman"/>
          <w:sz w:val="24"/>
          <w:szCs w:val="24"/>
          <w:lang w:eastAsia="zh-CN"/>
        </w:rPr>
        <w:t>⁺ epithelial cells.</w:t>
      </w:r>
    </w:p>
    <w:p w:rsidR="005A709E" w:rsidRDefault="008F0996" w:rsidP="00856D72">
      <w:pPr>
        <w:jc w:val="both"/>
        <w:rPr>
          <w:rFonts w:ascii="Times New Roman" w:hAnsi="Times New Roman" w:cs="Times New Roman"/>
          <w:lang w:eastAsia="zh-CN"/>
        </w:rPr>
      </w:pPr>
      <w:r>
        <w:rPr>
          <w:noProof/>
        </w:rPr>
        <w:lastRenderedPageBreak/>
        <w:drawing>
          <wp:inline distT="0" distB="0" distL="0" distR="0">
            <wp:extent cx="5278120" cy="4653915"/>
            <wp:effectExtent l="0" t="0" r="0" b="0"/>
            <wp:docPr id="127671604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278120" cy="4653915"/>
                    </a:xfrm>
                    <a:prstGeom prst="rect">
                      <a:avLst/>
                    </a:prstGeom>
                    <a:noFill/>
                    <a:ln>
                      <a:noFill/>
                    </a:ln>
                  </pic:spPr>
                </pic:pic>
              </a:graphicData>
            </a:graphic>
          </wp:inline>
        </w:drawing>
      </w:r>
    </w:p>
    <w:p w:rsidR="003D6022" w:rsidRDefault="005A709E" w:rsidP="003D6022">
      <w:pPr>
        <w:spacing w:beforeLines="50" w:before="156" w:afterLines="50" w:after="156"/>
        <w:jc w:val="both"/>
        <w:rPr>
          <w:rFonts w:ascii="Times New Roman" w:hAnsi="Times New Roman" w:cs="Times New Roman"/>
          <w:b/>
          <w:bCs/>
        </w:rPr>
      </w:pPr>
      <w:r w:rsidRPr="00662A43">
        <w:rPr>
          <w:rFonts w:ascii="Times New Roman" w:hAnsi="Times New Roman" w:cs="Times New Roman" w:hint="eastAsia"/>
          <w:b/>
          <w:bCs/>
        </w:rPr>
        <w:t xml:space="preserve">Supplementary </w:t>
      </w:r>
      <w:r w:rsidRPr="00BB68D1">
        <w:rPr>
          <w:rFonts w:ascii="Times New Roman" w:hAnsi="Times New Roman" w:cs="Times New Roman"/>
          <w:b/>
          <w:bCs/>
        </w:rPr>
        <w:t xml:space="preserve">Fig. </w:t>
      </w:r>
      <w:r w:rsidR="007662E6">
        <w:rPr>
          <w:rFonts w:ascii="Times New Roman" w:hAnsi="Times New Roman" w:cs="Times New Roman" w:hint="eastAsia"/>
          <w:b/>
          <w:bCs/>
          <w:lang w:eastAsia="zh-CN"/>
        </w:rPr>
        <w:t>S</w:t>
      </w:r>
      <w:r>
        <w:rPr>
          <w:rFonts w:ascii="Times New Roman" w:hAnsi="Times New Roman" w:cs="Times New Roman" w:hint="eastAsia"/>
          <w:b/>
          <w:bCs/>
          <w:lang w:eastAsia="zh-CN"/>
        </w:rPr>
        <w:t>1</w:t>
      </w:r>
      <w:r w:rsidR="008F0996">
        <w:rPr>
          <w:rFonts w:ascii="Times New Roman" w:hAnsi="Times New Roman" w:cs="Times New Roman" w:hint="eastAsia"/>
          <w:b/>
          <w:bCs/>
          <w:lang w:eastAsia="zh-CN"/>
        </w:rPr>
        <w:t>3</w:t>
      </w:r>
      <w:r w:rsidRPr="00BB68D1">
        <w:rPr>
          <w:rFonts w:ascii="Times New Roman" w:hAnsi="Times New Roman" w:cs="Times New Roman"/>
          <w:b/>
          <w:bCs/>
        </w:rPr>
        <w:t xml:space="preserve">. </w:t>
      </w:r>
      <w:r>
        <w:rPr>
          <w:rFonts w:ascii="Times New Roman" w:hAnsi="Times New Roman" w:cs="Times New Roman" w:hint="eastAsia"/>
          <w:b/>
          <w:bCs/>
          <w:lang w:eastAsia="zh-CN"/>
        </w:rPr>
        <w:t>ISG15 promoted drug resistance in eCCA cell lines and organoids</w:t>
      </w:r>
      <w:r w:rsidRPr="00BB68D1">
        <w:rPr>
          <w:rFonts w:ascii="Times New Roman" w:hAnsi="Times New Roman" w:cs="Times New Roman"/>
          <w:b/>
          <w:bCs/>
        </w:rPr>
        <w:t>.</w:t>
      </w:r>
      <w:r>
        <w:rPr>
          <w:rFonts w:ascii="Times New Roman" w:hAnsi="Times New Roman" w:cs="Times New Roman" w:hint="eastAsia"/>
          <w:b/>
          <w:bCs/>
        </w:rPr>
        <w:t xml:space="preserve"> </w:t>
      </w:r>
    </w:p>
    <w:p w:rsidR="00FC7852" w:rsidRDefault="005A709E" w:rsidP="003D6022">
      <w:pPr>
        <w:spacing w:beforeLines="50" w:before="156" w:afterLines="50" w:after="156"/>
        <w:jc w:val="both"/>
        <w:rPr>
          <w:rFonts w:ascii="Times New Roman" w:hAnsi="Times New Roman" w:cs="Times New Roman"/>
          <w:sz w:val="24"/>
          <w:szCs w:val="24"/>
          <w:lang w:eastAsia="zh-CN"/>
        </w:rPr>
      </w:pPr>
      <w:r>
        <w:rPr>
          <w:rFonts w:ascii="Times New Roman" w:hAnsi="Times New Roman" w:cs="Times New Roman" w:hint="eastAsia"/>
          <w:lang w:eastAsia="zh-CN"/>
        </w:rPr>
        <w:t>(</w:t>
      </w:r>
      <w:r w:rsidRPr="003D6022">
        <w:rPr>
          <w:rFonts w:ascii="Times New Roman" w:hAnsi="Times New Roman" w:cs="Times New Roman" w:hint="eastAsia"/>
          <w:b/>
          <w:bCs/>
          <w:lang w:eastAsia="zh-CN"/>
        </w:rPr>
        <w:t>A</w:t>
      </w:r>
      <w:r w:rsidRPr="00BB68D1">
        <w:rPr>
          <w:rFonts w:ascii="Times New Roman" w:hAnsi="Times New Roman" w:cs="Times New Roman"/>
        </w:rPr>
        <w:t xml:space="preserve">) </w:t>
      </w:r>
      <w:r w:rsidR="00CE4659" w:rsidRPr="00460CDB">
        <w:rPr>
          <w:rFonts w:ascii="Times New Roman" w:hAnsi="Times New Roman" w:cs="Times New Roman" w:hint="eastAsia"/>
          <w:sz w:val="24"/>
          <w:szCs w:val="24"/>
        </w:rPr>
        <w:t xml:space="preserve">Dose-response curves </w:t>
      </w:r>
      <w:r w:rsidR="00CE4659" w:rsidRPr="00460CDB">
        <w:rPr>
          <w:rFonts w:ascii="Times New Roman" w:hAnsi="Times New Roman" w:cs="Times New Roman"/>
          <w:sz w:val="24"/>
          <w:szCs w:val="24"/>
        </w:rPr>
        <w:t>showing</w:t>
      </w:r>
      <w:r w:rsidR="00CE4659" w:rsidRPr="00460CDB">
        <w:rPr>
          <w:rFonts w:ascii="Times New Roman" w:hAnsi="Times New Roman" w:cs="Times New Roman" w:hint="eastAsia"/>
          <w:sz w:val="24"/>
          <w:szCs w:val="24"/>
        </w:rPr>
        <w:t xml:space="preserve"> differential responses to c</w:t>
      </w:r>
      <w:r w:rsidR="00CE4659" w:rsidRPr="00460CDB">
        <w:rPr>
          <w:rFonts w:ascii="Times New Roman" w:hAnsi="Times New Roman" w:cs="Times New Roman"/>
          <w:sz w:val="24"/>
          <w:szCs w:val="24"/>
        </w:rPr>
        <w:t>isplatin</w:t>
      </w:r>
      <w:r w:rsidR="00CE4659" w:rsidRPr="00460CDB">
        <w:rPr>
          <w:rFonts w:ascii="Times New Roman" w:hAnsi="Times New Roman" w:cs="Times New Roman" w:hint="eastAsia"/>
          <w:sz w:val="24"/>
          <w:szCs w:val="24"/>
        </w:rPr>
        <w:t xml:space="preserve">, </w:t>
      </w:r>
      <w:r w:rsidR="00CE4659" w:rsidRPr="00460CDB">
        <w:rPr>
          <w:rFonts w:ascii="Times New Roman" w:hAnsi="Times New Roman" w:cs="Times New Roman"/>
          <w:sz w:val="24"/>
          <w:szCs w:val="24"/>
        </w:rPr>
        <w:t>gemcitabine</w:t>
      </w:r>
      <w:r w:rsidR="00CE4659" w:rsidRPr="00460CDB">
        <w:rPr>
          <w:rFonts w:ascii="Times New Roman" w:hAnsi="Times New Roman" w:cs="Times New Roman" w:hint="eastAsia"/>
          <w:sz w:val="24"/>
          <w:szCs w:val="24"/>
        </w:rPr>
        <w:t>, and 5-FU between</w:t>
      </w:r>
      <w:r w:rsidR="00CE4659">
        <w:rPr>
          <w:rFonts w:ascii="Times New Roman" w:hAnsi="Times New Roman" w:cs="Times New Roman" w:hint="eastAsia"/>
          <w:sz w:val="24"/>
          <w:szCs w:val="24"/>
          <w:lang w:eastAsia="zh-CN"/>
        </w:rPr>
        <w:t xml:space="preserve"> vehicle</w:t>
      </w:r>
      <w:r w:rsidR="00CE4659" w:rsidRPr="00460CDB">
        <w:rPr>
          <w:rFonts w:ascii="Times New Roman" w:hAnsi="Times New Roman" w:cs="Times New Roman" w:hint="eastAsia"/>
          <w:sz w:val="24"/>
          <w:szCs w:val="24"/>
          <w:vertAlign w:val="superscript"/>
        </w:rPr>
        <w:t xml:space="preserve"> </w:t>
      </w:r>
      <w:r w:rsidR="00CE4659" w:rsidRPr="00460CDB">
        <w:rPr>
          <w:rFonts w:ascii="Times New Roman" w:hAnsi="Times New Roman" w:cs="Times New Roman"/>
          <w:sz w:val="24"/>
          <w:szCs w:val="24"/>
        </w:rPr>
        <w:t xml:space="preserve">and </w:t>
      </w:r>
      <w:r w:rsidR="00CE4659">
        <w:rPr>
          <w:rFonts w:ascii="Times New Roman" w:hAnsi="Times New Roman" w:cs="Times New Roman" w:hint="eastAsia"/>
          <w:sz w:val="24"/>
          <w:szCs w:val="24"/>
          <w:lang w:eastAsia="zh-CN"/>
        </w:rPr>
        <w:t>ISG15 treatment in eCCA cell line QBC-939 and eCCA organoid. (</w:t>
      </w:r>
      <w:r w:rsidR="00CE4659" w:rsidRPr="003D6022">
        <w:rPr>
          <w:rFonts w:ascii="Times New Roman" w:hAnsi="Times New Roman" w:cs="Times New Roman" w:hint="eastAsia"/>
          <w:b/>
          <w:bCs/>
          <w:sz w:val="24"/>
          <w:szCs w:val="24"/>
          <w:lang w:eastAsia="zh-CN"/>
        </w:rPr>
        <w:t>B</w:t>
      </w:r>
      <w:r w:rsidR="00CE4659">
        <w:rPr>
          <w:rFonts w:ascii="Times New Roman" w:hAnsi="Times New Roman" w:cs="Times New Roman" w:hint="eastAsia"/>
          <w:sz w:val="24"/>
          <w:szCs w:val="24"/>
          <w:lang w:eastAsia="zh-CN"/>
        </w:rPr>
        <w:t>) Bar chart showing the drug resistance of IFN-responsive eCCA organoid (L338) after ISG15 treatment.</w:t>
      </w:r>
    </w:p>
    <w:p w:rsidR="00FC7852" w:rsidRDefault="00FC7852">
      <w:pPr>
        <w:spacing w:after="0" w:line="240" w:lineRule="auto"/>
        <w:rPr>
          <w:rFonts w:ascii="Times New Roman" w:hAnsi="Times New Roman" w:cs="Times New Roman"/>
          <w:sz w:val="24"/>
          <w:szCs w:val="24"/>
          <w:lang w:eastAsia="zh-CN"/>
        </w:rPr>
      </w:pPr>
      <w:r>
        <w:rPr>
          <w:rFonts w:ascii="Times New Roman" w:hAnsi="Times New Roman" w:cs="Times New Roman"/>
          <w:sz w:val="24"/>
          <w:szCs w:val="24"/>
          <w:lang w:eastAsia="zh-CN"/>
        </w:rPr>
        <w:br w:type="page"/>
      </w:r>
    </w:p>
    <w:sectPr w:rsidR="00FC7852" w:rsidSect="000B0ACF">
      <w:pgSz w:w="11906" w:h="16838"/>
      <w:pgMar w:top="1440" w:right="1797" w:bottom="1440" w:left="1797" w:header="851" w:footer="992" w:gutter="0"/>
      <w:cols w:space="425"/>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16ACA" w:rsidRDefault="00E16ACA" w:rsidP="00662A43">
      <w:pPr>
        <w:spacing w:after="0" w:line="240" w:lineRule="auto"/>
        <w:rPr>
          <w:rFonts w:hint="eastAsia"/>
        </w:rPr>
      </w:pPr>
      <w:r>
        <w:separator/>
      </w:r>
    </w:p>
  </w:endnote>
  <w:endnote w:type="continuationSeparator" w:id="0">
    <w:p w:rsidR="00E16ACA" w:rsidRDefault="00E16ACA" w:rsidP="00662A43">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楷体">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16ACA" w:rsidRDefault="00E16ACA" w:rsidP="00662A43">
      <w:pPr>
        <w:spacing w:after="0" w:line="240" w:lineRule="auto"/>
        <w:rPr>
          <w:rFonts w:hint="eastAsia"/>
        </w:rPr>
      </w:pPr>
      <w:r>
        <w:separator/>
      </w:r>
    </w:p>
  </w:footnote>
  <w:footnote w:type="continuationSeparator" w:id="0">
    <w:p w:rsidR="00E16ACA" w:rsidRDefault="00E16ACA" w:rsidP="00662A43">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D45"/>
    <w:rsid w:val="00007962"/>
    <w:rsid w:val="00011066"/>
    <w:rsid w:val="000130BE"/>
    <w:rsid w:val="0003662B"/>
    <w:rsid w:val="000519FF"/>
    <w:rsid w:val="00057F10"/>
    <w:rsid w:val="00070A3B"/>
    <w:rsid w:val="000745F6"/>
    <w:rsid w:val="00075875"/>
    <w:rsid w:val="00082F0C"/>
    <w:rsid w:val="000906FE"/>
    <w:rsid w:val="000955E4"/>
    <w:rsid w:val="000B0AC2"/>
    <w:rsid w:val="000B0ACF"/>
    <w:rsid w:val="000B555B"/>
    <w:rsid w:val="000C2205"/>
    <w:rsid w:val="000D3922"/>
    <w:rsid w:val="000D476B"/>
    <w:rsid w:val="000D54FF"/>
    <w:rsid w:val="000E29F1"/>
    <w:rsid w:val="000F13AD"/>
    <w:rsid w:val="00130F14"/>
    <w:rsid w:val="00133363"/>
    <w:rsid w:val="00133917"/>
    <w:rsid w:val="00141216"/>
    <w:rsid w:val="001454F8"/>
    <w:rsid w:val="00156E14"/>
    <w:rsid w:val="00160437"/>
    <w:rsid w:val="001619C8"/>
    <w:rsid w:val="00190588"/>
    <w:rsid w:val="001A4DB2"/>
    <w:rsid w:val="001B1A5D"/>
    <w:rsid w:val="001B639D"/>
    <w:rsid w:val="001C36E6"/>
    <w:rsid w:val="001D6A02"/>
    <w:rsid w:val="001F0765"/>
    <w:rsid w:val="001F0C9C"/>
    <w:rsid w:val="001F0CF2"/>
    <w:rsid w:val="001F2773"/>
    <w:rsid w:val="00207B58"/>
    <w:rsid w:val="00210559"/>
    <w:rsid w:val="002206A6"/>
    <w:rsid w:val="00230F17"/>
    <w:rsid w:val="00242C03"/>
    <w:rsid w:val="00273106"/>
    <w:rsid w:val="00277942"/>
    <w:rsid w:val="00285ABE"/>
    <w:rsid w:val="00292A41"/>
    <w:rsid w:val="0029767D"/>
    <w:rsid w:val="002A202B"/>
    <w:rsid w:val="002B3115"/>
    <w:rsid w:val="002C79EB"/>
    <w:rsid w:val="002D11B2"/>
    <w:rsid w:val="002E659C"/>
    <w:rsid w:val="00303E31"/>
    <w:rsid w:val="00310CFC"/>
    <w:rsid w:val="00355851"/>
    <w:rsid w:val="00360D03"/>
    <w:rsid w:val="00375E70"/>
    <w:rsid w:val="00376E73"/>
    <w:rsid w:val="0037756A"/>
    <w:rsid w:val="003B6139"/>
    <w:rsid w:val="003C6F8E"/>
    <w:rsid w:val="003D6022"/>
    <w:rsid w:val="003E235F"/>
    <w:rsid w:val="003F7106"/>
    <w:rsid w:val="00407597"/>
    <w:rsid w:val="00410724"/>
    <w:rsid w:val="00417EDA"/>
    <w:rsid w:val="00433FC8"/>
    <w:rsid w:val="00435F20"/>
    <w:rsid w:val="0048251E"/>
    <w:rsid w:val="004A3819"/>
    <w:rsid w:val="004D2D45"/>
    <w:rsid w:val="004D51AB"/>
    <w:rsid w:val="004F25D4"/>
    <w:rsid w:val="004F4000"/>
    <w:rsid w:val="00513CF9"/>
    <w:rsid w:val="00520783"/>
    <w:rsid w:val="00521A89"/>
    <w:rsid w:val="005248A0"/>
    <w:rsid w:val="005469F1"/>
    <w:rsid w:val="00551CA8"/>
    <w:rsid w:val="00564A78"/>
    <w:rsid w:val="00564D1D"/>
    <w:rsid w:val="00581278"/>
    <w:rsid w:val="005A709E"/>
    <w:rsid w:val="005B4AE1"/>
    <w:rsid w:val="005B4B8A"/>
    <w:rsid w:val="005E3D34"/>
    <w:rsid w:val="005F6163"/>
    <w:rsid w:val="00600939"/>
    <w:rsid w:val="00611CD6"/>
    <w:rsid w:val="00644492"/>
    <w:rsid w:val="00655B00"/>
    <w:rsid w:val="00662192"/>
    <w:rsid w:val="00662A43"/>
    <w:rsid w:val="0067051E"/>
    <w:rsid w:val="0067432E"/>
    <w:rsid w:val="00675A28"/>
    <w:rsid w:val="00677F7C"/>
    <w:rsid w:val="00684288"/>
    <w:rsid w:val="00694EF9"/>
    <w:rsid w:val="00696038"/>
    <w:rsid w:val="006B18D2"/>
    <w:rsid w:val="006B4B2A"/>
    <w:rsid w:val="006B4C6A"/>
    <w:rsid w:val="006D591B"/>
    <w:rsid w:val="006D662E"/>
    <w:rsid w:val="007058EF"/>
    <w:rsid w:val="0074235F"/>
    <w:rsid w:val="0075378F"/>
    <w:rsid w:val="00761867"/>
    <w:rsid w:val="00762289"/>
    <w:rsid w:val="007662E6"/>
    <w:rsid w:val="00770A4C"/>
    <w:rsid w:val="00784CF0"/>
    <w:rsid w:val="00797019"/>
    <w:rsid w:val="00797994"/>
    <w:rsid w:val="007A0B05"/>
    <w:rsid w:val="007B0156"/>
    <w:rsid w:val="007D18E3"/>
    <w:rsid w:val="007F25EF"/>
    <w:rsid w:val="007F5E8A"/>
    <w:rsid w:val="008031DF"/>
    <w:rsid w:val="00823462"/>
    <w:rsid w:val="00843ACD"/>
    <w:rsid w:val="00856D72"/>
    <w:rsid w:val="00874F8E"/>
    <w:rsid w:val="00881D12"/>
    <w:rsid w:val="00886A06"/>
    <w:rsid w:val="00886C0A"/>
    <w:rsid w:val="00895715"/>
    <w:rsid w:val="008E1EC6"/>
    <w:rsid w:val="008E4662"/>
    <w:rsid w:val="008F0996"/>
    <w:rsid w:val="008F4613"/>
    <w:rsid w:val="008F6263"/>
    <w:rsid w:val="00921DEF"/>
    <w:rsid w:val="00926E22"/>
    <w:rsid w:val="009271B8"/>
    <w:rsid w:val="009276A9"/>
    <w:rsid w:val="00930984"/>
    <w:rsid w:val="00962A23"/>
    <w:rsid w:val="00965D09"/>
    <w:rsid w:val="009714B6"/>
    <w:rsid w:val="0097278B"/>
    <w:rsid w:val="009833BA"/>
    <w:rsid w:val="00986C37"/>
    <w:rsid w:val="00990788"/>
    <w:rsid w:val="009A5563"/>
    <w:rsid w:val="009A6E6C"/>
    <w:rsid w:val="009C3178"/>
    <w:rsid w:val="009E3AD6"/>
    <w:rsid w:val="009E595C"/>
    <w:rsid w:val="00A15783"/>
    <w:rsid w:val="00A3415C"/>
    <w:rsid w:val="00A437DD"/>
    <w:rsid w:val="00A50107"/>
    <w:rsid w:val="00A55A1B"/>
    <w:rsid w:val="00A63741"/>
    <w:rsid w:val="00A74473"/>
    <w:rsid w:val="00A85491"/>
    <w:rsid w:val="00AA09BE"/>
    <w:rsid w:val="00AC0ECD"/>
    <w:rsid w:val="00AD1F4E"/>
    <w:rsid w:val="00AF09A3"/>
    <w:rsid w:val="00B03DE4"/>
    <w:rsid w:val="00B2162B"/>
    <w:rsid w:val="00B306A3"/>
    <w:rsid w:val="00B80661"/>
    <w:rsid w:val="00B90459"/>
    <w:rsid w:val="00B96CCC"/>
    <w:rsid w:val="00BA5F6C"/>
    <w:rsid w:val="00BB71E2"/>
    <w:rsid w:val="00BC69CB"/>
    <w:rsid w:val="00BE7DBC"/>
    <w:rsid w:val="00C0275A"/>
    <w:rsid w:val="00C1660D"/>
    <w:rsid w:val="00C37290"/>
    <w:rsid w:val="00C92443"/>
    <w:rsid w:val="00CE4659"/>
    <w:rsid w:val="00CE5577"/>
    <w:rsid w:val="00CE57F8"/>
    <w:rsid w:val="00CE5892"/>
    <w:rsid w:val="00CF1055"/>
    <w:rsid w:val="00CF6D81"/>
    <w:rsid w:val="00D02408"/>
    <w:rsid w:val="00D04F2A"/>
    <w:rsid w:val="00D14CFE"/>
    <w:rsid w:val="00D207C5"/>
    <w:rsid w:val="00D21DBA"/>
    <w:rsid w:val="00D435B4"/>
    <w:rsid w:val="00D46F1E"/>
    <w:rsid w:val="00D53443"/>
    <w:rsid w:val="00D63F73"/>
    <w:rsid w:val="00D71012"/>
    <w:rsid w:val="00D871E5"/>
    <w:rsid w:val="00DB4516"/>
    <w:rsid w:val="00DF0899"/>
    <w:rsid w:val="00DF1E6C"/>
    <w:rsid w:val="00DF441E"/>
    <w:rsid w:val="00E04570"/>
    <w:rsid w:val="00E079F0"/>
    <w:rsid w:val="00E1078D"/>
    <w:rsid w:val="00E16ACA"/>
    <w:rsid w:val="00E21B8A"/>
    <w:rsid w:val="00E23463"/>
    <w:rsid w:val="00E330F5"/>
    <w:rsid w:val="00E474D9"/>
    <w:rsid w:val="00E56854"/>
    <w:rsid w:val="00E760B6"/>
    <w:rsid w:val="00E957DD"/>
    <w:rsid w:val="00E96996"/>
    <w:rsid w:val="00EC1AAF"/>
    <w:rsid w:val="00F01F40"/>
    <w:rsid w:val="00F061AF"/>
    <w:rsid w:val="00F107AD"/>
    <w:rsid w:val="00F134B0"/>
    <w:rsid w:val="00F34359"/>
    <w:rsid w:val="00F44701"/>
    <w:rsid w:val="00F468CD"/>
    <w:rsid w:val="00F57EBF"/>
    <w:rsid w:val="00F8369D"/>
    <w:rsid w:val="00F92C39"/>
    <w:rsid w:val="00FA0ACF"/>
    <w:rsid w:val="00FB1F27"/>
    <w:rsid w:val="00FC6F86"/>
    <w:rsid w:val="00FC7852"/>
    <w:rsid w:val="00FD0B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AF0ADE"/>
  <w15:chartTrackingRefBased/>
  <w15:docId w15:val="{36BE5147-3C18-4BDC-8D73-CCE72D6C4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D2D45"/>
    <w:pPr>
      <w:spacing w:after="200" w:line="276" w:lineRule="auto"/>
    </w:pPr>
    <w:rPr>
      <w:kern w:val="0"/>
      <w:sz w:val="22"/>
      <w:lang w:val="de-DE" w:eastAsia="en-US"/>
      <w14:ligatures w14:val="none"/>
    </w:rPr>
  </w:style>
  <w:style w:type="paragraph" w:styleId="1">
    <w:name w:val="heading 1"/>
    <w:basedOn w:val="a"/>
    <w:next w:val="a"/>
    <w:link w:val="10"/>
    <w:uiPriority w:val="9"/>
    <w:qFormat/>
    <w:rsid w:val="004D2D45"/>
    <w:pPr>
      <w:keepNext/>
      <w:keepLines/>
      <w:snapToGrid w:val="0"/>
      <w:spacing w:after="0" w:line="240" w:lineRule="auto"/>
      <w:outlineLvl w:val="0"/>
    </w:pPr>
    <w:rPr>
      <w:rFonts w:ascii="Times New Roman" w:eastAsia="楷体" w:hAnsi="Times New Roman"/>
      <w:b/>
      <w:bCs/>
      <w:color w:val="0070C0"/>
      <w:kern w:val="44"/>
      <w:sz w:val="28"/>
      <w:szCs w:val="44"/>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4D2D45"/>
    <w:rPr>
      <w:rFonts w:ascii="Times New Roman" w:eastAsia="楷体" w:hAnsi="Times New Roman"/>
      <w:b/>
      <w:bCs/>
      <w:color w:val="0070C0"/>
      <w:kern w:val="44"/>
      <w:sz w:val="28"/>
      <w:szCs w:val="44"/>
      <w14:ligatures w14:val="none"/>
    </w:rPr>
  </w:style>
  <w:style w:type="character" w:styleId="a3">
    <w:name w:val="Hyperlink"/>
    <w:basedOn w:val="a0"/>
    <w:uiPriority w:val="99"/>
    <w:unhideWhenUsed/>
    <w:rsid w:val="004D2D45"/>
    <w:rPr>
      <w:color w:val="0563C1" w:themeColor="hyperlink"/>
      <w:u w:val="single"/>
    </w:rPr>
  </w:style>
  <w:style w:type="paragraph" w:customStyle="1" w:styleId="Default">
    <w:name w:val="Default"/>
    <w:qFormat/>
    <w:rsid w:val="004D2D45"/>
    <w:pPr>
      <w:widowControl w:val="0"/>
      <w:autoSpaceDE w:val="0"/>
      <w:autoSpaceDN w:val="0"/>
      <w:adjustRightInd w:val="0"/>
    </w:pPr>
    <w:rPr>
      <w:rFonts w:ascii="Times New Roman" w:eastAsia="宋体" w:hAnsi="Times New Roman" w:cs="Times New Roman"/>
      <w:color w:val="000000"/>
      <w:kern w:val="0"/>
      <w:sz w:val="24"/>
      <w:szCs w:val="24"/>
      <w14:ligatures w14:val="none"/>
    </w:rPr>
  </w:style>
  <w:style w:type="paragraph" w:styleId="a4">
    <w:name w:val="Bibliography"/>
    <w:basedOn w:val="a"/>
    <w:next w:val="a"/>
    <w:uiPriority w:val="37"/>
    <w:unhideWhenUsed/>
    <w:rsid w:val="004D2D45"/>
  </w:style>
  <w:style w:type="paragraph" w:styleId="a5">
    <w:name w:val="header"/>
    <w:basedOn w:val="a"/>
    <w:link w:val="a6"/>
    <w:uiPriority w:val="99"/>
    <w:unhideWhenUsed/>
    <w:rsid w:val="00662A43"/>
    <w:pPr>
      <w:tabs>
        <w:tab w:val="center" w:pos="4153"/>
        <w:tab w:val="right" w:pos="8306"/>
      </w:tabs>
      <w:snapToGrid w:val="0"/>
      <w:spacing w:line="240" w:lineRule="auto"/>
      <w:jc w:val="center"/>
    </w:pPr>
    <w:rPr>
      <w:sz w:val="18"/>
      <w:szCs w:val="18"/>
    </w:rPr>
  </w:style>
  <w:style w:type="character" w:customStyle="1" w:styleId="a6">
    <w:name w:val="页眉 字符"/>
    <w:basedOn w:val="a0"/>
    <w:link w:val="a5"/>
    <w:uiPriority w:val="99"/>
    <w:rsid w:val="00662A43"/>
    <w:rPr>
      <w:kern w:val="0"/>
      <w:sz w:val="18"/>
      <w:szCs w:val="18"/>
      <w:lang w:val="de-DE" w:eastAsia="en-US"/>
      <w14:ligatures w14:val="none"/>
    </w:rPr>
  </w:style>
  <w:style w:type="paragraph" w:styleId="a7">
    <w:name w:val="footer"/>
    <w:basedOn w:val="a"/>
    <w:link w:val="a8"/>
    <w:uiPriority w:val="99"/>
    <w:unhideWhenUsed/>
    <w:rsid w:val="00662A43"/>
    <w:pPr>
      <w:tabs>
        <w:tab w:val="center" w:pos="4153"/>
        <w:tab w:val="right" w:pos="8306"/>
      </w:tabs>
      <w:snapToGrid w:val="0"/>
      <w:spacing w:line="240" w:lineRule="auto"/>
    </w:pPr>
    <w:rPr>
      <w:sz w:val="18"/>
      <w:szCs w:val="18"/>
    </w:rPr>
  </w:style>
  <w:style w:type="character" w:customStyle="1" w:styleId="a8">
    <w:name w:val="页脚 字符"/>
    <w:basedOn w:val="a0"/>
    <w:link w:val="a7"/>
    <w:uiPriority w:val="99"/>
    <w:rsid w:val="00662A43"/>
    <w:rPr>
      <w:kern w:val="0"/>
      <w:sz w:val="18"/>
      <w:szCs w:val="18"/>
      <w:lang w:val="de-DE" w:eastAsia="en-US"/>
      <w14:ligatures w14:val="none"/>
    </w:rPr>
  </w:style>
  <w:style w:type="table" w:styleId="a9">
    <w:name w:val="Table Grid"/>
    <w:basedOn w:val="a1"/>
    <w:uiPriority w:val="39"/>
    <w:rsid w:val="001619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FollowedHyperlink"/>
    <w:basedOn w:val="a0"/>
    <w:uiPriority w:val="99"/>
    <w:semiHidden/>
    <w:unhideWhenUsed/>
    <w:rsid w:val="00D63F73"/>
    <w:rPr>
      <w:color w:val="954F72"/>
      <w:u w:val="single"/>
    </w:rPr>
  </w:style>
  <w:style w:type="paragraph" w:customStyle="1" w:styleId="msonormal0">
    <w:name w:val="msonormal"/>
    <w:basedOn w:val="a"/>
    <w:rsid w:val="00D63F73"/>
    <w:pPr>
      <w:spacing w:before="100" w:beforeAutospacing="1" w:after="100" w:afterAutospacing="1" w:line="240" w:lineRule="auto"/>
    </w:pPr>
    <w:rPr>
      <w:rFonts w:ascii="宋体" w:eastAsia="宋体" w:hAnsi="宋体" w:cs="宋体"/>
      <w:sz w:val="24"/>
      <w:szCs w:val="24"/>
      <w:lang w:val="en-US" w:eastAsia="zh-CN"/>
    </w:rPr>
  </w:style>
  <w:style w:type="paragraph" w:customStyle="1" w:styleId="font5">
    <w:name w:val="font5"/>
    <w:basedOn w:val="a"/>
    <w:rsid w:val="00D63F73"/>
    <w:pPr>
      <w:spacing w:before="100" w:beforeAutospacing="1" w:after="100" w:afterAutospacing="1" w:line="240" w:lineRule="auto"/>
    </w:pPr>
    <w:rPr>
      <w:rFonts w:ascii="等线" w:eastAsia="等线" w:hAnsi="等线" w:cs="宋体"/>
      <w:sz w:val="18"/>
      <w:szCs w:val="18"/>
      <w:lang w:val="en-US" w:eastAsia="zh-CN"/>
    </w:rPr>
  </w:style>
  <w:style w:type="paragraph" w:customStyle="1" w:styleId="xl65">
    <w:name w:val="xl65"/>
    <w:basedOn w:val="a"/>
    <w:rsid w:val="00D63F73"/>
    <w:pPr>
      <w:spacing w:before="100" w:beforeAutospacing="1" w:after="100" w:afterAutospacing="1" w:line="240" w:lineRule="auto"/>
    </w:pPr>
    <w:rPr>
      <w:rFonts w:ascii="宋体" w:eastAsia="宋体" w:hAnsi="宋体" w:cs="宋体"/>
      <w:b/>
      <w:bCs/>
      <w:sz w:val="24"/>
      <w:szCs w:val="24"/>
      <w:lang w:val="en-US" w:eastAsia="zh-CN"/>
    </w:rPr>
  </w:style>
  <w:style w:type="paragraph" w:customStyle="1" w:styleId="xl66">
    <w:name w:val="xl66"/>
    <w:basedOn w:val="a"/>
    <w:rsid w:val="00D63F73"/>
    <w:pPr>
      <w:spacing w:before="100" w:beforeAutospacing="1" w:after="100" w:afterAutospacing="1" w:line="240" w:lineRule="auto"/>
      <w:textAlignment w:val="center"/>
    </w:pPr>
    <w:rPr>
      <w:rFonts w:ascii="宋体" w:eastAsia="宋体" w:hAnsi="宋体" w:cs="宋体"/>
      <w:sz w:val="24"/>
      <w:szCs w:val="24"/>
      <w:lang w:val="en-US" w:eastAsia="zh-CN"/>
    </w:rPr>
  </w:style>
  <w:style w:type="paragraph" w:customStyle="1" w:styleId="xl67">
    <w:name w:val="xl67"/>
    <w:basedOn w:val="a"/>
    <w:rsid w:val="00D63F73"/>
    <w:pPr>
      <w:spacing w:before="100" w:beforeAutospacing="1" w:after="100" w:afterAutospacing="1" w:line="240" w:lineRule="auto"/>
      <w:textAlignment w:val="center"/>
    </w:pPr>
    <w:rPr>
      <w:rFonts w:ascii="宋体" w:eastAsia="宋体" w:hAnsi="宋体" w:cs="宋体"/>
      <w:b/>
      <w:bCs/>
      <w:sz w:val="24"/>
      <w:szCs w:val="24"/>
      <w:lang w:val="en-US" w:eastAsia="zh-CN"/>
    </w:rPr>
  </w:style>
  <w:style w:type="paragraph" w:customStyle="1" w:styleId="font6">
    <w:name w:val="font6"/>
    <w:basedOn w:val="a"/>
    <w:rsid w:val="00564D1D"/>
    <w:pPr>
      <w:spacing w:before="100" w:beforeAutospacing="1" w:after="100" w:afterAutospacing="1" w:line="240" w:lineRule="auto"/>
    </w:pPr>
    <w:rPr>
      <w:rFonts w:ascii="等线" w:eastAsia="等线" w:hAnsi="等线" w:cs="宋体"/>
      <w:sz w:val="18"/>
      <w:szCs w:val="18"/>
      <w:lang w:val="en-US" w:eastAsia="zh-CN"/>
    </w:rPr>
  </w:style>
  <w:style w:type="paragraph" w:styleId="ab">
    <w:name w:val="Revision"/>
    <w:hidden/>
    <w:uiPriority w:val="99"/>
    <w:semiHidden/>
    <w:rsid w:val="00986C37"/>
    <w:rPr>
      <w:kern w:val="0"/>
      <w:sz w:val="22"/>
      <w:lang w:val="de-DE"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13099">
      <w:bodyDiv w:val="1"/>
      <w:marLeft w:val="0"/>
      <w:marRight w:val="0"/>
      <w:marTop w:val="0"/>
      <w:marBottom w:val="0"/>
      <w:divBdr>
        <w:top w:val="none" w:sz="0" w:space="0" w:color="auto"/>
        <w:left w:val="none" w:sz="0" w:space="0" w:color="auto"/>
        <w:bottom w:val="none" w:sz="0" w:space="0" w:color="auto"/>
        <w:right w:val="none" w:sz="0" w:space="0" w:color="auto"/>
      </w:divBdr>
    </w:div>
    <w:div w:id="612901668">
      <w:bodyDiv w:val="1"/>
      <w:marLeft w:val="0"/>
      <w:marRight w:val="0"/>
      <w:marTop w:val="0"/>
      <w:marBottom w:val="0"/>
      <w:divBdr>
        <w:top w:val="none" w:sz="0" w:space="0" w:color="auto"/>
        <w:left w:val="none" w:sz="0" w:space="0" w:color="auto"/>
        <w:bottom w:val="none" w:sz="0" w:space="0" w:color="auto"/>
        <w:right w:val="none" w:sz="0" w:space="0" w:color="auto"/>
      </w:divBdr>
    </w:div>
    <w:div w:id="1067193494">
      <w:bodyDiv w:val="1"/>
      <w:marLeft w:val="0"/>
      <w:marRight w:val="0"/>
      <w:marTop w:val="0"/>
      <w:marBottom w:val="0"/>
      <w:divBdr>
        <w:top w:val="none" w:sz="0" w:space="0" w:color="auto"/>
        <w:left w:val="none" w:sz="0" w:space="0" w:color="auto"/>
        <w:bottom w:val="none" w:sz="0" w:space="0" w:color="auto"/>
        <w:right w:val="none" w:sz="0" w:space="0" w:color="auto"/>
      </w:divBdr>
    </w:div>
    <w:div w:id="1276248487">
      <w:bodyDiv w:val="1"/>
      <w:marLeft w:val="0"/>
      <w:marRight w:val="0"/>
      <w:marTop w:val="0"/>
      <w:marBottom w:val="0"/>
      <w:divBdr>
        <w:top w:val="none" w:sz="0" w:space="0" w:color="auto"/>
        <w:left w:val="none" w:sz="0" w:space="0" w:color="auto"/>
        <w:bottom w:val="none" w:sz="0" w:space="0" w:color="auto"/>
        <w:right w:val="none" w:sz="0" w:space="0" w:color="auto"/>
      </w:divBdr>
    </w:div>
    <w:div w:id="1562984904">
      <w:bodyDiv w:val="1"/>
      <w:marLeft w:val="0"/>
      <w:marRight w:val="0"/>
      <w:marTop w:val="0"/>
      <w:marBottom w:val="0"/>
      <w:divBdr>
        <w:top w:val="none" w:sz="0" w:space="0" w:color="auto"/>
        <w:left w:val="none" w:sz="0" w:space="0" w:color="auto"/>
        <w:bottom w:val="none" w:sz="0" w:space="0" w:color="auto"/>
        <w:right w:val="none" w:sz="0" w:space="0" w:color="auto"/>
      </w:divBdr>
    </w:div>
    <w:div w:id="1695571788">
      <w:bodyDiv w:val="1"/>
      <w:marLeft w:val="0"/>
      <w:marRight w:val="0"/>
      <w:marTop w:val="0"/>
      <w:marBottom w:val="0"/>
      <w:divBdr>
        <w:top w:val="none" w:sz="0" w:space="0" w:color="auto"/>
        <w:left w:val="none" w:sz="0" w:space="0" w:color="auto"/>
        <w:bottom w:val="none" w:sz="0" w:space="0" w:color="auto"/>
        <w:right w:val="none" w:sz="0" w:space="0" w:color="auto"/>
      </w:divBdr>
    </w:div>
    <w:div w:id="1870609602">
      <w:bodyDiv w:val="1"/>
      <w:marLeft w:val="0"/>
      <w:marRight w:val="0"/>
      <w:marTop w:val="0"/>
      <w:marBottom w:val="0"/>
      <w:divBdr>
        <w:top w:val="none" w:sz="0" w:space="0" w:color="auto"/>
        <w:left w:val="none" w:sz="0" w:space="0" w:color="auto"/>
        <w:bottom w:val="none" w:sz="0" w:space="0" w:color="auto"/>
        <w:right w:val="none" w:sz="0" w:space="0" w:color="auto"/>
      </w:divBdr>
    </w:div>
    <w:div w:id="193983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ywangk@vip.sina.com" TargetMode="External"/><Relationship Id="rId13" Type="http://schemas.openxmlformats.org/officeDocument/2006/relationships/image" Target="media/image5.tiff"/><Relationship Id="rId18" Type="http://schemas.openxmlformats.org/officeDocument/2006/relationships/image" Target="media/image10.tiff"/><Relationship Id="rId3" Type="http://schemas.openxmlformats.org/officeDocument/2006/relationships/settings" Target="settings.xml"/><Relationship Id="rId21" Type="http://schemas.openxmlformats.org/officeDocument/2006/relationships/image" Target="media/image13.tiff"/><Relationship Id="rId7" Type="http://schemas.openxmlformats.org/officeDocument/2006/relationships/hyperlink" Target="mailto:fujing-724@163.com" TargetMode="External"/><Relationship Id="rId12" Type="http://schemas.openxmlformats.org/officeDocument/2006/relationships/image" Target="media/image4.tiff"/><Relationship Id="rId17" Type="http://schemas.openxmlformats.org/officeDocument/2006/relationships/image" Target="media/image9.tiff"/><Relationship Id="rId2" Type="http://schemas.openxmlformats.org/officeDocument/2006/relationships/styles" Target="styles.xml"/><Relationship Id="rId16" Type="http://schemas.openxmlformats.org/officeDocument/2006/relationships/image" Target="media/image8.tiff"/><Relationship Id="rId20" Type="http://schemas.openxmlformats.org/officeDocument/2006/relationships/image" Target="media/image12.tiff"/><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tiff"/><Relationship Id="rId5" Type="http://schemas.openxmlformats.org/officeDocument/2006/relationships/footnotes" Target="footnotes.xml"/><Relationship Id="rId15" Type="http://schemas.openxmlformats.org/officeDocument/2006/relationships/image" Target="media/image7.tiff"/><Relationship Id="rId23" Type="http://schemas.openxmlformats.org/officeDocument/2006/relationships/theme" Target="theme/theme1.xml"/><Relationship Id="rId10" Type="http://schemas.openxmlformats.org/officeDocument/2006/relationships/image" Target="media/image2.tiff"/><Relationship Id="rId19" Type="http://schemas.openxmlformats.org/officeDocument/2006/relationships/image" Target="media/image11.tiff"/><Relationship Id="rId4" Type="http://schemas.openxmlformats.org/officeDocument/2006/relationships/webSettings" Target="webSettings.xml"/><Relationship Id="rId9" Type="http://schemas.openxmlformats.org/officeDocument/2006/relationships/image" Target="media/image1.tiff"/><Relationship Id="rId14" Type="http://schemas.openxmlformats.org/officeDocument/2006/relationships/image" Target="media/image6.tiff"/><Relationship Id="rId22"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115DD1-DB4C-4D7C-8479-3CC205A8A2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381</TotalTime>
  <Pages>32</Pages>
  <Words>18118</Words>
  <Characters>108351</Characters>
  <Application>Microsoft Office Word</Application>
  <DocSecurity>0</DocSecurity>
  <Lines>1719</Lines>
  <Paragraphs>479</Paragraphs>
  <ScaleCrop>false</ScaleCrop>
  <Company/>
  <LinksUpToDate>false</LinksUpToDate>
  <CharactersWithSpaces>125990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刘春良</dc:creator>
  <cp:keywords/>
  <dc:description/>
  <cp:lastModifiedBy>刘春良</cp:lastModifiedBy>
  <cp:revision>323</cp:revision>
  <dcterms:created xsi:type="dcterms:W3CDTF">2024-09-27T09:36:00Z</dcterms:created>
  <dcterms:modified xsi:type="dcterms:W3CDTF">2025-05-02T07:43:00Z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zotero-version="7.0.15"&gt;&lt;session id="UpS44nfw"/&gt;&lt;style id="http://www.zotero.org/styles/american-medical-association" hasBibliography="1" bibliographyStyleHasBeenSet="1"/&gt;&lt;prefs&gt;&lt;pref name="fieldType" value="Field"/&gt;&lt;/prefs&gt;&lt;/data&gt;</vt:lpwstr>
  </property>
</Properties>
</file>