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5B73A" w14:textId="2F30601F" w:rsidR="00317FDC" w:rsidRDefault="00F65164">
      <w:pPr>
        <w:rPr>
          <w:rFonts w:ascii="Arial" w:hAnsi="Arial" w:cs="Arial"/>
          <w:b/>
          <w:bCs/>
          <w:sz w:val="28"/>
          <w:szCs w:val="28"/>
        </w:rPr>
      </w:pPr>
      <w:r w:rsidRPr="006B2158">
        <w:rPr>
          <w:rFonts w:ascii="Arial" w:hAnsi="Arial" w:cs="Arial"/>
          <w:b/>
          <w:bCs/>
          <w:sz w:val="28"/>
          <w:szCs w:val="28"/>
        </w:rPr>
        <w:t>Supplemental Material</w:t>
      </w:r>
    </w:p>
    <w:p w14:paraId="4E2738CF" w14:textId="77777777" w:rsidR="00835434" w:rsidRDefault="00835434" w:rsidP="001E2B39">
      <w:pPr>
        <w:rPr>
          <w:rFonts w:ascii="Arial" w:hAnsi="Arial" w:cs="Arial"/>
          <w:b/>
          <w:bCs/>
          <w:sz w:val="28"/>
          <w:szCs w:val="28"/>
        </w:rPr>
      </w:pPr>
    </w:p>
    <w:p w14:paraId="14B205E5" w14:textId="2B03DC4D" w:rsidR="001E2B39" w:rsidRPr="00525E76" w:rsidRDefault="001E2B39" w:rsidP="001E2B3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Supplemental Table 1. </w:t>
      </w:r>
      <w:r w:rsidRPr="00525E76">
        <w:rPr>
          <w:rFonts w:ascii="Arial" w:hAnsi="Arial" w:cs="Arial"/>
          <w:b/>
          <w:bCs/>
          <w:sz w:val="28"/>
          <w:szCs w:val="28"/>
        </w:rPr>
        <w:t>Treatment-Related Adverse Events with Incidence ≥ 10%</w:t>
      </w:r>
    </w:p>
    <w:tbl>
      <w:tblPr>
        <w:tblpPr w:leftFromText="180" w:rightFromText="180" w:vertAnchor="page" w:horzAnchor="margin" w:tblpY="3391"/>
        <w:tblW w:w="80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0"/>
        <w:gridCol w:w="1660"/>
      </w:tblGrid>
      <w:tr w:rsidR="00835434" w:rsidRPr="0017304E" w14:paraId="7CEBA801" w14:textId="77777777" w:rsidTr="00835434">
        <w:trPr>
          <w:cantSplit/>
          <w:trHeight w:val="444"/>
          <w:tblHeader/>
        </w:trPr>
        <w:tc>
          <w:tcPr>
            <w:tcW w:w="6380" w:type="dxa"/>
            <w:tcBorders>
              <w:top w:val="single" w:sz="10" w:space="0" w:color="000000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  <w:vAlign w:val="bottom"/>
          </w:tcPr>
          <w:p w14:paraId="59701267" w14:textId="77777777" w:rsidR="00835434" w:rsidRPr="0017304E" w:rsidRDefault="00835434" w:rsidP="00835434">
            <w:pPr>
              <w:keepNext/>
              <w:adjustRightInd w:val="0"/>
              <w:spacing w:before="35" w:after="35"/>
              <w:rPr>
                <w:rFonts w:ascii="Arial" w:hAnsi="Arial" w:cs="Arial"/>
                <w:b/>
                <w:bCs/>
                <w:color w:val="000000"/>
              </w:rPr>
            </w:pPr>
          </w:p>
          <w:p w14:paraId="3B7ED727" w14:textId="77777777" w:rsidR="00835434" w:rsidRPr="0017304E" w:rsidRDefault="00835434" w:rsidP="00835434">
            <w:pPr>
              <w:keepNext/>
              <w:adjustRightInd w:val="0"/>
              <w:spacing w:before="35" w:after="35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60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  <w:vAlign w:val="bottom"/>
          </w:tcPr>
          <w:p w14:paraId="0C10D5ED" w14:textId="77777777" w:rsidR="00835434" w:rsidRPr="0017304E" w:rsidRDefault="00835434" w:rsidP="00835434">
            <w:pPr>
              <w:keepNext/>
              <w:adjustRightInd w:val="0"/>
              <w:spacing w:before="35" w:after="3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304E">
              <w:rPr>
                <w:rFonts w:ascii="Arial" w:hAnsi="Arial" w:cs="Arial"/>
                <w:b/>
                <w:bCs/>
                <w:color w:val="000000"/>
              </w:rPr>
              <w:t xml:space="preserve"> Overall</w:t>
            </w:r>
            <w:r w:rsidRPr="0017304E">
              <w:rPr>
                <w:rFonts w:ascii="Arial" w:hAnsi="Arial" w:cs="Arial"/>
                <w:b/>
                <w:bCs/>
                <w:color w:val="000000"/>
              </w:rPr>
              <w:br/>
              <w:t xml:space="preserve">(N=31)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35434" w:rsidRPr="0017304E" w14:paraId="228B9851" w14:textId="77777777" w:rsidTr="00835434">
        <w:trPr>
          <w:cantSplit/>
          <w:trHeight w:val="252"/>
          <w:tblHeader/>
        </w:trPr>
        <w:tc>
          <w:tcPr>
            <w:tcW w:w="6380" w:type="dxa"/>
            <w:tcBorders>
              <w:top w:val="single" w:sz="10" w:space="0" w:color="FFFFFF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  <w:vAlign w:val="bottom"/>
          </w:tcPr>
          <w:p w14:paraId="7799366E" w14:textId="77777777" w:rsidR="00835434" w:rsidRPr="0017304E" w:rsidRDefault="00835434" w:rsidP="00835434">
            <w:pPr>
              <w:keepNext/>
              <w:adjustRightInd w:val="0"/>
              <w:spacing w:before="35" w:after="35"/>
              <w:rPr>
                <w:rFonts w:ascii="Arial" w:hAnsi="Arial" w:cs="Arial"/>
                <w:b/>
                <w:bCs/>
                <w:color w:val="000000"/>
              </w:rPr>
            </w:pPr>
            <w:r w:rsidRPr="0017304E">
              <w:rPr>
                <w:rFonts w:ascii="Arial" w:hAnsi="Arial" w:cs="Arial"/>
                <w:b/>
                <w:bCs/>
                <w:color w:val="000000"/>
              </w:rPr>
              <w:t>Preferred Term</w:t>
            </w:r>
          </w:p>
        </w:tc>
        <w:tc>
          <w:tcPr>
            <w:tcW w:w="1660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  <w:vAlign w:val="bottom"/>
          </w:tcPr>
          <w:p w14:paraId="4BCA14C5" w14:textId="77777777" w:rsidR="00835434" w:rsidRPr="0017304E" w:rsidRDefault="00835434" w:rsidP="00835434">
            <w:pPr>
              <w:keepNext/>
              <w:adjustRightInd w:val="0"/>
              <w:spacing w:before="35" w:after="3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304E">
              <w:rPr>
                <w:rFonts w:ascii="Arial" w:hAnsi="Arial" w:cs="Arial"/>
                <w:b/>
                <w:bCs/>
                <w:color w:val="000000"/>
              </w:rPr>
              <w:t>n (%)</w:t>
            </w:r>
          </w:p>
        </w:tc>
      </w:tr>
      <w:tr w:rsidR="00835434" w:rsidRPr="0017304E" w14:paraId="412A4E9F" w14:textId="77777777" w:rsidTr="00835434">
        <w:trPr>
          <w:cantSplit/>
          <w:trHeight w:val="25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605F3197" w14:textId="77777777" w:rsidR="00835434" w:rsidRPr="0017304E" w:rsidRDefault="00835434" w:rsidP="00835434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17304E">
              <w:rPr>
                <w:rFonts w:ascii="Arial" w:hAnsi="Arial" w:cs="Arial"/>
                <w:color w:val="000000"/>
              </w:rPr>
              <w:t>Any Related TEAEs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3EFE69B6" w14:textId="77777777" w:rsidR="00835434" w:rsidRPr="0017304E" w:rsidRDefault="00835434" w:rsidP="00835434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17304E">
              <w:rPr>
                <w:rFonts w:ascii="Arial" w:hAnsi="Arial" w:cs="Arial"/>
                <w:color w:val="000000"/>
              </w:rPr>
              <w:t>26 (83.9%)</w:t>
            </w:r>
          </w:p>
        </w:tc>
      </w:tr>
      <w:tr w:rsidR="00835434" w:rsidRPr="0017304E" w14:paraId="1D43668B" w14:textId="77777777" w:rsidTr="00835434">
        <w:trPr>
          <w:cantSplit/>
          <w:trHeight w:val="25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0F170BFF" w14:textId="77777777" w:rsidR="00835434" w:rsidRPr="0017304E" w:rsidRDefault="00835434" w:rsidP="00835434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17304E">
              <w:rPr>
                <w:rFonts w:ascii="Arial" w:hAnsi="Arial" w:cs="Arial"/>
                <w:color w:val="000000"/>
              </w:rPr>
              <w:t>Nausea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0233EE23" w14:textId="77777777" w:rsidR="00835434" w:rsidRPr="0017304E" w:rsidRDefault="00835434" w:rsidP="00835434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17304E">
              <w:rPr>
                <w:rFonts w:ascii="Arial" w:hAnsi="Arial" w:cs="Arial"/>
                <w:color w:val="000000"/>
              </w:rPr>
              <w:t>16 (51.6%)</w:t>
            </w:r>
          </w:p>
        </w:tc>
      </w:tr>
      <w:tr w:rsidR="00835434" w:rsidRPr="0017304E" w14:paraId="792B2064" w14:textId="77777777" w:rsidTr="00835434">
        <w:trPr>
          <w:cantSplit/>
          <w:trHeight w:val="25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3DC1B452" w14:textId="77777777" w:rsidR="00835434" w:rsidRPr="0017304E" w:rsidRDefault="00835434" w:rsidP="00835434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17304E">
              <w:rPr>
                <w:rFonts w:ascii="Arial" w:hAnsi="Arial" w:cs="Arial"/>
                <w:color w:val="000000"/>
              </w:rPr>
              <w:t>Vomiting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4B2F85C1" w14:textId="77777777" w:rsidR="00835434" w:rsidRPr="0017304E" w:rsidRDefault="00835434" w:rsidP="00835434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17304E">
              <w:rPr>
                <w:rFonts w:ascii="Arial" w:hAnsi="Arial" w:cs="Arial"/>
                <w:color w:val="000000"/>
              </w:rPr>
              <w:t>12 (38.7%)</w:t>
            </w:r>
          </w:p>
        </w:tc>
      </w:tr>
      <w:tr w:rsidR="00835434" w:rsidRPr="0017304E" w14:paraId="589EC7EA" w14:textId="77777777" w:rsidTr="00835434">
        <w:trPr>
          <w:cantSplit/>
          <w:trHeight w:val="25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06869005" w14:textId="77777777" w:rsidR="00835434" w:rsidRPr="0017304E" w:rsidRDefault="00835434" w:rsidP="00835434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17304E">
              <w:rPr>
                <w:rFonts w:ascii="Arial" w:hAnsi="Arial" w:cs="Arial"/>
                <w:color w:val="000000"/>
              </w:rPr>
              <w:t>Hypokalemia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734FD4AC" w14:textId="77777777" w:rsidR="00835434" w:rsidRPr="0017304E" w:rsidRDefault="00835434" w:rsidP="00835434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17304E">
              <w:rPr>
                <w:rFonts w:ascii="Arial" w:hAnsi="Arial" w:cs="Arial"/>
                <w:color w:val="000000"/>
              </w:rPr>
              <w:t>5 (16.1%)</w:t>
            </w:r>
          </w:p>
        </w:tc>
      </w:tr>
      <w:tr w:rsidR="00835434" w:rsidRPr="0017304E" w14:paraId="5135ED51" w14:textId="77777777" w:rsidTr="00835434">
        <w:trPr>
          <w:cantSplit/>
          <w:trHeight w:val="264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5E68388B" w14:textId="77777777" w:rsidR="00835434" w:rsidRPr="0017304E" w:rsidRDefault="00835434" w:rsidP="00835434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17304E">
              <w:rPr>
                <w:rFonts w:ascii="Arial" w:hAnsi="Arial" w:cs="Arial"/>
                <w:color w:val="000000"/>
              </w:rPr>
              <w:t>Diarrhea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5F4E12D9" w14:textId="77777777" w:rsidR="00835434" w:rsidRPr="0017304E" w:rsidRDefault="00835434" w:rsidP="00835434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17304E">
              <w:rPr>
                <w:rFonts w:ascii="Arial" w:hAnsi="Arial" w:cs="Arial"/>
                <w:color w:val="000000"/>
              </w:rPr>
              <w:t>4 (12.9%)</w:t>
            </w:r>
          </w:p>
        </w:tc>
      </w:tr>
      <w:tr w:rsidR="00835434" w:rsidRPr="0017304E" w14:paraId="2C409388" w14:textId="77777777" w:rsidTr="00835434">
        <w:trPr>
          <w:cantSplit/>
          <w:trHeight w:val="25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1CDE1824" w14:textId="77777777" w:rsidR="00835434" w:rsidRPr="0017304E" w:rsidRDefault="00835434" w:rsidP="00835434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17304E">
              <w:rPr>
                <w:rFonts w:ascii="Arial" w:hAnsi="Arial" w:cs="Arial"/>
                <w:color w:val="000000"/>
              </w:rPr>
              <w:t>Fatigue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0F50DD25" w14:textId="77777777" w:rsidR="00835434" w:rsidRPr="0017304E" w:rsidRDefault="00835434" w:rsidP="00835434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17304E">
              <w:rPr>
                <w:rFonts w:ascii="Arial" w:hAnsi="Arial" w:cs="Arial"/>
                <w:color w:val="000000"/>
              </w:rPr>
              <w:t>4 (12.9%)</w:t>
            </w:r>
          </w:p>
        </w:tc>
      </w:tr>
      <w:tr w:rsidR="00835434" w:rsidRPr="0017304E" w14:paraId="27850A9F" w14:textId="77777777" w:rsidTr="00835434">
        <w:trPr>
          <w:cantSplit/>
          <w:trHeight w:val="252"/>
        </w:trPr>
        <w:tc>
          <w:tcPr>
            <w:tcW w:w="638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44689FFF" w14:textId="77777777" w:rsidR="00835434" w:rsidRPr="0017304E" w:rsidRDefault="00835434" w:rsidP="00835434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17304E">
              <w:rPr>
                <w:rFonts w:ascii="Arial" w:hAnsi="Arial" w:cs="Arial"/>
                <w:color w:val="000000"/>
              </w:rPr>
              <w:t>Oral pain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7CCEE06F" w14:textId="77777777" w:rsidR="00835434" w:rsidRPr="0017304E" w:rsidRDefault="00835434" w:rsidP="00835434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17304E">
              <w:rPr>
                <w:rFonts w:ascii="Arial" w:hAnsi="Arial" w:cs="Arial"/>
                <w:color w:val="000000"/>
              </w:rPr>
              <w:t>4 (12.9%)</w:t>
            </w:r>
          </w:p>
        </w:tc>
      </w:tr>
      <w:tr w:rsidR="00835434" w:rsidRPr="0017304E" w14:paraId="417D0007" w14:textId="77777777" w:rsidTr="00835434">
        <w:trPr>
          <w:cantSplit/>
          <w:trHeight w:val="252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35F538D3" w14:textId="77777777" w:rsidR="00835434" w:rsidRPr="0017304E" w:rsidRDefault="00835434" w:rsidP="00835434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17304E">
              <w:rPr>
                <w:rFonts w:ascii="Arial" w:hAnsi="Arial" w:cs="Arial"/>
                <w:color w:val="000000"/>
              </w:rPr>
              <w:t>Alanine aminotransferase increased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1B91BFEF" w14:textId="77777777" w:rsidR="00835434" w:rsidRPr="0017304E" w:rsidRDefault="00835434" w:rsidP="00835434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17304E">
              <w:rPr>
                <w:rFonts w:ascii="Arial" w:hAnsi="Arial" w:cs="Arial"/>
                <w:color w:val="000000"/>
              </w:rPr>
              <w:t>4 (12.9%)</w:t>
            </w:r>
          </w:p>
        </w:tc>
      </w:tr>
    </w:tbl>
    <w:p w14:paraId="0DF6FC27" w14:textId="77777777" w:rsidR="001E2B39" w:rsidRDefault="001E2B39">
      <w:pPr>
        <w:rPr>
          <w:rFonts w:ascii="Arial" w:hAnsi="Arial" w:cs="Arial"/>
          <w:b/>
          <w:bCs/>
          <w:sz w:val="28"/>
          <w:szCs w:val="28"/>
        </w:rPr>
      </w:pPr>
    </w:p>
    <w:p w14:paraId="051A6679" w14:textId="77777777" w:rsidR="001E2B39" w:rsidRDefault="001E2B39">
      <w:pPr>
        <w:rPr>
          <w:rFonts w:ascii="Arial" w:hAnsi="Arial" w:cs="Arial"/>
          <w:b/>
          <w:bCs/>
          <w:sz w:val="28"/>
          <w:szCs w:val="28"/>
        </w:rPr>
      </w:pPr>
    </w:p>
    <w:p w14:paraId="215BB1FB" w14:textId="77777777" w:rsidR="001E2B39" w:rsidRDefault="001E2B39">
      <w:pPr>
        <w:rPr>
          <w:rFonts w:ascii="Arial" w:hAnsi="Arial" w:cs="Arial"/>
          <w:b/>
          <w:bCs/>
          <w:sz w:val="28"/>
          <w:szCs w:val="28"/>
        </w:rPr>
      </w:pPr>
    </w:p>
    <w:p w14:paraId="5C4DD3FA" w14:textId="77777777" w:rsidR="001E2B39" w:rsidRPr="006B2158" w:rsidRDefault="001E2B39">
      <w:pPr>
        <w:rPr>
          <w:rFonts w:ascii="Arial" w:hAnsi="Arial" w:cs="Arial"/>
          <w:b/>
          <w:bCs/>
          <w:sz w:val="28"/>
          <w:szCs w:val="28"/>
        </w:rPr>
      </w:pPr>
    </w:p>
    <w:p w14:paraId="1C5DFB02" w14:textId="77777777" w:rsidR="00FB28D7" w:rsidRPr="0017304E" w:rsidRDefault="00FB28D7" w:rsidP="00FB28D7">
      <w:pPr>
        <w:ind w:left="720"/>
        <w:rPr>
          <w:rFonts w:ascii="Arial" w:hAnsi="Arial" w:cs="Arial"/>
        </w:rPr>
      </w:pPr>
    </w:p>
    <w:p w14:paraId="5C733C63" w14:textId="77777777" w:rsidR="00FB28D7" w:rsidRPr="0017304E" w:rsidRDefault="00FB28D7" w:rsidP="00FB28D7">
      <w:pPr>
        <w:ind w:left="720"/>
        <w:rPr>
          <w:rFonts w:ascii="Arial" w:hAnsi="Arial" w:cs="Arial"/>
        </w:rPr>
      </w:pPr>
    </w:p>
    <w:p w14:paraId="4BE098CD" w14:textId="77777777" w:rsidR="00FB28D7" w:rsidRPr="0017304E" w:rsidRDefault="00FB28D7" w:rsidP="00FB28D7">
      <w:pPr>
        <w:ind w:left="720"/>
        <w:rPr>
          <w:rFonts w:ascii="Arial" w:hAnsi="Arial" w:cs="Arial"/>
        </w:rPr>
      </w:pPr>
    </w:p>
    <w:p w14:paraId="0252CD76" w14:textId="77777777" w:rsidR="00FB28D7" w:rsidRPr="0017304E" w:rsidRDefault="00FB28D7" w:rsidP="00FB28D7">
      <w:pPr>
        <w:ind w:left="720"/>
        <w:rPr>
          <w:rFonts w:ascii="Arial" w:hAnsi="Arial" w:cs="Arial"/>
        </w:rPr>
      </w:pPr>
    </w:p>
    <w:p w14:paraId="3DA0EB4E" w14:textId="77777777" w:rsidR="00FB28D7" w:rsidRPr="0017304E" w:rsidRDefault="00FB28D7" w:rsidP="00FB28D7">
      <w:pPr>
        <w:ind w:left="720"/>
        <w:rPr>
          <w:rFonts w:ascii="Arial" w:hAnsi="Arial" w:cs="Arial"/>
        </w:rPr>
      </w:pPr>
    </w:p>
    <w:p w14:paraId="1A4EEEAF" w14:textId="77777777" w:rsidR="00FB28D7" w:rsidRPr="0017304E" w:rsidRDefault="00FB28D7" w:rsidP="00FB28D7">
      <w:pPr>
        <w:ind w:left="720"/>
        <w:rPr>
          <w:rFonts w:ascii="Arial" w:hAnsi="Arial" w:cs="Arial"/>
        </w:rPr>
      </w:pPr>
    </w:p>
    <w:p w14:paraId="2A1EDB22" w14:textId="634D4443" w:rsidR="009C324A" w:rsidRPr="00EF47EC" w:rsidRDefault="009C324A" w:rsidP="009C324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Supplemental Table 2. </w:t>
      </w:r>
      <w:r w:rsidRPr="00EF47EC">
        <w:rPr>
          <w:rFonts w:ascii="Arial" w:hAnsi="Arial" w:cs="Arial"/>
          <w:b/>
          <w:bCs/>
          <w:sz w:val="32"/>
          <w:szCs w:val="32"/>
        </w:rPr>
        <w:t>Treatment-Related Adverse Events of grades 3 or 4</w:t>
      </w:r>
    </w:p>
    <w:p w14:paraId="7CC98070" w14:textId="77777777" w:rsidR="009C324A" w:rsidRPr="00EF47EC" w:rsidRDefault="009C324A" w:rsidP="009C324A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7"/>
        <w:gridCol w:w="1511"/>
      </w:tblGrid>
      <w:tr w:rsidR="009C324A" w:rsidRPr="00EF47EC" w14:paraId="5972E787" w14:textId="77777777" w:rsidTr="005C3363">
        <w:trPr>
          <w:cantSplit/>
          <w:trHeight w:val="456"/>
          <w:tblHeader/>
          <w:jc w:val="center"/>
        </w:trPr>
        <w:tc>
          <w:tcPr>
            <w:tcW w:w="5807" w:type="dxa"/>
            <w:tcBorders>
              <w:top w:val="single" w:sz="10" w:space="0" w:color="000000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  <w:vAlign w:val="bottom"/>
          </w:tcPr>
          <w:p w14:paraId="595147C4" w14:textId="77777777" w:rsidR="009C324A" w:rsidRPr="00EF47EC" w:rsidRDefault="009C324A" w:rsidP="005C3363">
            <w:pPr>
              <w:keepNext/>
              <w:adjustRightInd w:val="0"/>
              <w:spacing w:before="35" w:after="35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11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  <w:vAlign w:val="bottom"/>
          </w:tcPr>
          <w:p w14:paraId="1E3B0671" w14:textId="77777777" w:rsidR="009C324A" w:rsidRPr="00EF47EC" w:rsidRDefault="009C324A" w:rsidP="005C3363">
            <w:pPr>
              <w:keepNext/>
              <w:adjustRightInd w:val="0"/>
              <w:spacing w:before="35" w:after="3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F47EC">
              <w:rPr>
                <w:rFonts w:ascii="Arial" w:hAnsi="Arial" w:cs="Arial"/>
                <w:b/>
                <w:bCs/>
                <w:color w:val="000000"/>
              </w:rPr>
              <w:t xml:space="preserve"> Overall</w:t>
            </w:r>
            <w:r w:rsidRPr="00EF47EC">
              <w:rPr>
                <w:rFonts w:ascii="Arial" w:hAnsi="Arial" w:cs="Arial"/>
                <w:b/>
                <w:bCs/>
                <w:color w:val="000000"/>
              </w:rPr>
              <w:br/>
              <w:t xml:space="preserve">(N=31)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C324A" w:rsidRPr="00EF47EC" w14:paraId="701DF47C" w14:textId="77777777" w:rsidTr="005C3363">
        <w:trPr>
          <w:cantSplit/>
          <w:trHeight w:val="259"/>
          <w:tblHeader/>
          <w:jc w:val="center"/>
        </w:trPr>
        <w:tc>
          <w:tcPr>
            <w:tcW w:w="5807" w:type="dxa"/>
            <w:tcBorders>
              <w:top w:val="single" w:sz="10" w:space="0" w:color="FFFFFF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  <w:vAlign w:val="bottom"/>
          </w:tcPr>
          <w:p w14:paraId="28291503" w14:textId="77777777" w:rsidR="009C324A" w:rsidRPr="00EF47EC" w:rsidRDefault="009C324A" w:rsidP="005C3363">
            <w:pPr>
              <w:keepNext/>
              <w:adjustRightInd w:val="0"/>
              <w:spacing w:before="35" w:after="35"/>
              <w:rPr>
                <w:rFonts w:ascii="Arial" w:hAnsi="Arial" w:cs="Arial"/>
                <w:b/>
                <w:bCs/>
                <w:color w:val="000000"/>
              </w:rPr>
            </w:pPr>
            <w:r w:rsidRPr="00EF47EC">
              <w:rPr>
                <w:rFonts w:ascii="Arial" w:hAnsi="Arial" w:cs="Arial"/>
                <w:b/>
                <w:bCs/>
                <w:color w:val="000000"/>
              </w:rPr>
              <w:t>Preferred Term</w:t>
            </w:r>
          </w:p>
        </w:tc>
        <w:tc>
          <w:tcPr>
            <w:tcW w:w="1511" w:type="dxa"/>
            <w:tcBorders>
              <w:top w:val="single" w:sz="10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  <w:vAlign w:val="bottom"/>
          </w:tcPr>
          <w:p w14:paraId="4B17EE4E" w14:textId="77777777" w:rsidR="009C324A" w:rsidRPr="00EF47EC" w:rsidRDefault="009C324A" w:rsidP="005C3363">
            <w:pPr>
              <w:keepNext/>
              <w:adjustRightInd w:val="0"/>
              <w:spacing w:before="35" w:after="3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F47EC">
              <w:rPr>
                <w:rFonts w:ascii="Arial" w:hAnsi="Arial" w:cs="Arial"/>
                <w:b/>
                <w:bCs/>
                <w:color w:val="000000"/>
              </w:rPr>
              <w:t>n (%)</w:t>
            </w:r>
          </w:p>
        </w:tc>
      </w:tr>
      <w:tr w:rsidR="009C324A" w:rsidRPr="00EF47EC" w14:paraId="35824497" w14:textId="77777777" w:rsidTr="005C3363">
        <w:trPr>
          <w:cantSplit/>
          <w:trHeight w:val="259"/>
          <w:jc w:val="center"/>
        </w:trPr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48392432" w14:textId="77777777" w:rsidR="009C324A" w:rsidRPr="00EF47EC" w:rsidRDefault="009C324A" w:rsidP="005C3363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Any Grade 3 or Higher Related TEAEs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532E6269" w14:textId="77777777" w:rsidR="009C324A" w:rsidRPr="00EF47EC" w:rsidRDefault="009C324A" w:rsidP="005C3363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6 (19.4%)</w:t>
            </w:r>
          </w:p>
        </w:tc>
      </w:tr>
      <w:tr w:rsidR="009C324A" w:rsidRPr="00EF47EC" w14:paraId="7EE33347" w14:textId="77777777" w:rsidTr="005C3363">
        <w:trPr>
          <w:cantSplit/>
          <w:trHeight w:val="259"/>
          <w:jc w:val="center"/>
        </w:trPr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618E24A7" w14:textId="77777777" w:rsidR="009C324A" w:rsidRPr="00EF47EC" w:rsidRDefault="009C324A" w:rsidP="005C3363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Anemia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252105AB" w14:textId="77777777" w:rsidR="009C324A" w:rsidRPr="00EF47EC" w:rsidRDefault="009C324A" w:rsidP="005C3363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2 (6.7%)</w:t>
            </w:r>
          </w:p>
        </w:tc>
      </w:tr>
      <w:tr w:rsidR="009C324A" w:rsidRPr="00EF47EC" w14:paraId="21C2A226" w14:textId="77777777" w:rsidTr="005C3363">
        <w:trPr>
          <w:cantSplit/>
          <w:trHeight w:val="259"/>
          <w:jc w:val="center"/>
        </w:trPr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6D3339E7" w14:textId="77777777" w:rsidR="009C324A" w:rsidRPr="00EF47EC" w:rsidRDefault="009C324A" w:rsidP="005C3363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Blood bilirubin increased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614150B9" w14:textId="77777777" w:rsidR="009C324A" w:rsidRPr="00EF47EC" w:rsidRDefault="009C324A" w:rsidP="005C3363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2 (6.7%)</w:t>
            </w:r>
          </w:p>
        </w:tc>
      </w:tr>
      <w:tr w:rsidR="009C324A" w:rsidRPr="00EF47EC" w14:paraId="59AC0866" w14:textId="77777777" w:rsidTr="005C3363">
        <w:trPr>
          <w:cantSplit/>
          <w:trHeight w:val="259"/>
          <w:jc w:val="center"/>
        </w:trPr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42D35695" w14:textId="77777777" w:rsidR="009C324A" w:rsidRPr="00EF47EC" w:rsidRDefault="009C324A" w:rsidP="005C3363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Aspartate aminotransferase increased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40AD769C" w14:textId="77777777" w:rsidR="009C324A" w:rsidRPr="00EF47EC" w:rsidRDefault="009C324A" w:rsidP="005C3363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1 (3.2%)</w:t>
            </w:r>
          </w:p>
        </w:tc>
      </w:tr>
      <w:tr w:rsidR="009C324A" w:rsidRPr="00EF47EC" w14:paraId="1C91B291" w14:textId="77777777" w:rsidTr="005C3363">
        <w:trPr>
          <w:cantSplit/>
          <w:trHeight w:val="259"/>
          <w:jc w:val="center"/>
        </w:trPr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37CB2711" w14:textId="77777777" w:rsidR="009C324A" w:rsidRPr="00EF47EC" w:rsidRDefault="009C324A" w:rsidP="005C3363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Alanine aminotransferase increased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07A6943E" w14:textId="77777777" w:rsidR="009C324A" w:rsidRPr="00EF47EC" w:rsidRDefault="009C324A" w:rsidP="005C3363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1 (3.2%)</w:t>
            </w:r>
          </w:p>
        </w:tc>
      </w:tr>
      <w:tr w:rsidR="009C324A" w:rsidRPr="00EF47EC" w14:paraId="032D7BD6" w14:textId="77777777" w:rsidTr="005C3363">
        <w:trPr>
          <w:cantSplit/>
          <w:trHeight w:val="271"/>
          <w:jc w:val="center"/>
        </w:trPr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1C7C2651" w14:textId="77777777" w:rsidR="009C324A" w:rsidRPr="00EF47EC" w:rsidRDefault="009C324A" w:rsidP="005C3363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Thrombocytopenia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61D6A965" w14:textId="77777777" w:rsidR="009C324A" w:rsidRPr="00EF47EC" w:rsidRDefault="009C324A" w:rsidP="005C3363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1 (3.2%)</w:t>
            </w:r>
          </w:p>
        </w:tc>
      </w:tr>
      <w:tr w:rsidR="009C324A" w:rsidRPr="00EF47EC" w14:paraId="22FC716E" w14:textId="77777777" w:rsidTr="005C3363">
        <w:trPr>
          <w:cantSplit/>
          <w:trHeight w:val="259"/>
          <w:jc w:val="center"/>
        </w:trPr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02F462B0" w14:textId="77777777" w:rsidR="009C324A" w:rsidRPr="00EF47EC" w:rsidRDefault="009C324A" w:rsidP="005C3363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Acute hepatic failure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747AB847" w14:textId="77777777" w:rsidR="009C324A" w:rsidRPr="00EF47EC" w:rsidRDefault="009C324A" w:rsidP="005C3363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1 (3.2%)</w:t>
            </w:r>
          </w:p>
        </w:tc>
      </w:tr>
      <w:tr w:rsidR="009C324A" w:rsidRPr="00EF47EC" w14:paraId="7BCA8DE7" w14:textId="77777777" w:rsidTr="005C3363">
        <w:trPr>
          <w:cantSplit/>
          <w:trHeight w:val="259"/>
          <w:jc w:val="center"/>
        </w:trPr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49983BB0" w14:textId="77777777" w:rsidR="009C324A" w:rsidRPr="00EF47EC" w:rsidRDefault="009C324A" w:rsidP="005C3363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Gamma-glutamyl transferase increased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7036A7A6" w14:textId="77777777" w:rsidR="009C324A" w:rsidRPr="00EF47EC" w:rsidRDefault="009C324A" w:rsidP="005C3363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1 (3.2%)</w:t>
            </w:r>
          </w:p>
        </w:tc>
      </w:tr>
      <w:tr w:rsidR="009C324A" w:rsidRPr="00EF47EC" w14:paraId="6A18D563" w14:textId="77777777" w:rsidTr="005C3363">
        <w:trPr>
          <w:cantSplit/>
          <w:trHeight w:val="259"/>
          <w:jc w:val="center"/>
        </w:trPr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24B2C7D6" w14:textId="77777777" w:rsidR="009C324A" w:rsidRPr="00EF47EC" w:rsidRDefault="009C324A" w:rsidP="005C3363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Hypoxia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79A92C63" w14:textId="77777777" w:rsidR="009C324A" w:rsidRPr="00EF47EC" w:rsidRDefault="009C324A" w:rsidP="005C3363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1 (3.2%)</w:t>
            </w:r>
          </w:p>
        </w:tc>
      </w:tr>
      <w:tr w:rsidR="009C324A" w:rsidRPr="00EF47EC" w14:paraId="74AA3AF0" w14:textId="77777777" w:rsidTr="005C3363">
        <w:trPr>
          <w:cantSplit/>
          <w:trHeight w:val="259"/>
          <w:jc w:val="center"/>
        </w:trPr>
        <w:tc>
          <w:tcPr>
            <w:tcW w:w="580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55BF27E1" w14:textId="77777777" w:rsidR="009C324A" w:rsidRPr="00EF47EC" w:rsidRDefault="009C324A" w:rsidP="005C3363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Platelet count decreased</w:t>
            </w:r>
          </w:p>
        </w:tc>
        <w:tc>
          <w:tcPr>
            <w:tcW w:w="151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2169D8AD" w14:textId="77777777" w:rsidR="009C324A" w:rsidRPr="00EF47EC" w:rsidRDefault="009C324A" w:rsidP="005C3363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1 (3.2%)</w:t>
            </w:r>
          </w:p>
        </w:tc>
      </w:tr>
      <w:tr w:rsidR="009C324A" w:rsidRPr="00EF47EC" w14:paraId="64A24AE6" w14:textId="77777777" w:rsidTr="005C3363">
        <w:trPr>
          <w:cantSplit/>
          <w:trHeight w:val="259"/>
          <w:jc w:val="center"/>
        </w:trPr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41A3FE13" w14:textId="77777777" w:rsidR="009C324A" w:rsidRPr="00EF47EC" w:rsidRDefault="009C324A" w:rsidP="005C3363">
            <w:pPr>
              <w:adjustRightInd w:val="0"/>
              <w:spacing w:before="35" w:after="35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Stomatitis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5" w:type="dxa"/>
              <w:right w:w="35" w:type="dxa"/>
            </w:tcMar>
          </w:tcPr>
          <w:p w14:paraId="4B570687" w14:textId="77777777" w:rsidR="009C324A" w:rsidRPr="00EF47EC" w:rsidRDefault="009C324A" w:rsidP="005C3363">
            <w:pPr>
              <w:adjustRightInd w:val="0"/>
              <w:spacing w:before="35" w:after="35"/>
              <w:jc w:val="center"/>
              <w:rPr>
                <w:rFonts w:ascii="Arial" w:hAnsi="Arial" w:cs="Arial"/>
                <w:color w:val="000000"/>
              </w:rPr>
            </w:pPr>
            <w:r w:rsidRPr="00EF47EC">
              <w:rPr>
                <w:rFonts w:ascii="Arial" w:hAnsi="Arial" w:cs="Arial"/>
                <w:color w:val="000000"/>
              </w:rPr>
              <w:t>1 (3.2%)</w:t>
            </w:r>
          </w:p>
        </w:tc>
      </w:tr>
    </w:tbl>
    <w:p w14:paraId="4BE8D73B" w14:textId="04995C31" w:rsidR="006B2158" w:rsidRPr="006B2158" w:rsidRDefault="006B2158" w:rsidP="00F65164">
      <w:pPr>
        <w:rPr>
          <w:rFonts w:ascii="Arial" w:hAnsi="Arial" w:cs="Arial"/>
          <w:b/>
          <w:bCs/>
          <w:sz w:val="28"/>
          <w:szCs w:val="28"/>
        </w:rPr>
      </w:pPr>
      <w:r w:rsidRPr="006B2158">
        <w:rPr>
          <w:rFonts w:ascii="Arial" w:hAnsi="Arial" w:cs="Arial"/>
          <w:b/>
          <w:bCs/>
          <w:sz w:val="28"/>
          <w:szCs w:val="28"/>
        </w:rPr>
        <w:lastRenderedPageBreak/>
        <w:t>Supplemental Table 3. Summary of BTX-A51 Pharmacokinetics</w:t>
      </w:r>
    </w:p>
    <w:tbl>
      <w:tblPr>
        <w:tblStyle w:val="GridTable1Light"/>
        <w:tblW w:w="9630" w:type="dxa"/>
        <w:tblLook w:val="0420" w:firstRow="1" w:lastRow="0" w:firstColumn="0" w:lastColumn="0" w:noHBand="0" w:noVBand="1"/>
      </w:tblPr>
      <w:tblGrid>
        <w:gridCol w:w="1250"/>
        <w:gridCol w:w="900"/>
        <w:gridCol w:w="1350"/>
        <w:gridCol w:w="1620"/>
        <w:gridCol w:w="1260"/>
        <w:gridCol w:w="1450"/>
        <w:gridCol w:w="1800"/>
      </w:tblGrid>
      <w:tr w:rsidR="009E6DB1" w:rsidRPr="00EF179A" w14:paraId="677C5A1A" w14:textId="77777777" w:rsidTr="006B21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6"/>
        </w:trPr>
        <w:tc>
          <w:tcPr>
            <w:tcW w:w="2150" w:type="dxa"/>
            <w:gridSpan w:val="2"/>
            <w:hideMark/>
          </w:tcPr>
          <w:p w14:paraId="5F4D9B4D" w14:textId="77777777" w:rsidR="00EF179A" w:rsidRPr="00EF179A" w:rsidRDefault="00EF179A" w:rsidP="00EF1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  <w:hideMark/>
          </w:tcPr>
          <w:p w14:paraId="3F4BBECD" w14:textId="56E11C6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F179A">
              <w:rPr>
                <w:rFonts w:ascii="Avenir Roman" w:eastAsia="Times New Roman" w:hAnsi="Avenir Roman" w:cs="Arial"/>
                <w:kern w:val="24"/>
                <w:sz w:val="24"/>
                <w:szCs w:val="24"/>
              </w:rPr>
              <w:t>Cmax</w:t>
            </w:r>
            <w:proofErr w:type="spellEnd"/>
            <w:r w:rsidRPr="00EF179A">
              <w:rPr>
                <w:rFonts w:ascii="Avenir Roman" w:eastAsia="Times New Roman" w:hAnsi="Avenir Roman" w:cs="Arial"/>
                <w:kern w:val="24"/>
                <w:sz w:val="24"/>
                <w:szCs w:val="24"/>
              </w:rPr>
              <w:t xml:space="preserve"> (ng/mL)</w:t>
            </w:r>
            <w:r w:rsidR="004F19F5">
              <w:rPr>
                <w:rFonts w:ascii="Avenir Roman" w:eastAsia="Times New Roman" w:hAnsi="Avenir Roman" w:cs="Arial"/>
                <w:kern w:val="24"/>
                <w:sz w:val="24"/>
                <w:szCs w:val="24"/>
              </w:rPr>
              <w:t xml:space="preserve"> *</w:t>
            </w:r>
          </w:p>
        </w:tc>
        <w:tc>
          <w:tcPr>
            <w:tcW w:w="2710" w:type="dxa"/>
            <w:gridSpan w:val="2"/>
            <w:hideMark/>
          </w:tcPr>
          <w:p w14:paraId="57E3928B" w14:textId="1FCA2329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kern w:val="24"/>
                <w:sz w:val="24"/>
                <w:szCs w:val="24"/>
              </w:rPr>
              <w:t>AUC (ng*</w:t>
            </w:r>
            <w:proofErr w:type="spellStart"/>
            <w:r w:rsidRPr="00EF179A">
              <w:rPr>
                <w:rFonts w:ascii="Avenir Roman" w:eastAsia="Times New Roman" w:hAnsi="Avenir Roman" w:cs="Arial"/>
                <w:kern w:val="24"/>
                <w:sz w:val="24"/>
                <w:szCs w:val="24"/>
              </w:rPr>
              <w:t>hr</w:t>
            </w:r>
            <w:proofErr w:type="spellEnd"/>
            <w:r w:rsidRPr="00EF179A">
              <w:rPr>
                <w:rFonts w:ascii="Avenir Roman" w:eastAsia="Times New Roman" w:hAnsi="Avenir Roman" w:cs="Arial"/>
                <w:kern w:val="24"/>
                <w:sz w:val="24"/>
                <w:szCs w:val="24"/>
              </w:rPr>
              <w:t>/</w:t>
            </w:r>
            <w:proofErr w:type="gramStart"/>
            <w:r w:rsidRPr="00EF179A">
              <w:rPr>
                <w:rFonts w:ascii="Avenir Roman" w:eastAsia="Times New Roman" w:hAnsi="Avenir Roman" w:cs="Arial"/>
                <w:kern w:val="24"/>
                <w:sz w:val="24"/>
                <w:szCs w:val="24"/>
              </w:rPr>
              <w:t>mL)</w:t>
            </w:r>
            <w:r w:rsidR="009E6DB1">
              <w:rPr>
                <w:rFonts w:ascii="Avenir Roman" w:eastAsia="Times New Roman" w:hAnsi="Avenir Roman" w:cs="Arial"/>
                <w:kern w:val="24"/>
                <w:sz w:val="24"/>
                <w:szCs w:val="24"/>
              </w:rPr>
              <w:t>*</w:t>
            </w:r>
            <w:proofErr w:type="gramEnd"/>
          </w:p>
        </w:tc>
        <w:tc>
          <w:tcPr>
            <w:tcW w:w="1800" w:type="dxa"/>
            <w:hideMark/>
          </w:tcPr>
          <w:p w14:paraId="5079B0B1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kern w:val="24"/>
                <w:sz w:val="24"/>
                <w:szCs w:val="24"/>
              </w:rPr>
              <w:t>Half-life (</w:t>
            </w:r>
            <w:proofErr w:type="spellStart"/>
            <w:r w:rsidRPr="00EF179A">
              <w:rPr>
                <w:rFonts w:ascii="Avenir Roman" w:eastAsia="Times New Roman" w:hAnsi="Avenir Roman" w:cs="Arial"/>
                <w:kern w:val="24"/>
                <w:sz w:val="24"/>
                <w:szCs w:val="24"/>
              </w:rPr>
              <w:t>hrs</w:t>
            </w:r>
            <w:proofErr w:type="spellEnd"/>
            <w:r w:rsidRPr="00EF179A">
              <w:rPr>
                <w:rFonts w:ascii="Avenir Roman" w:eastAsia="Times New Roman" w:hAnsi="Avenir Roman" w:cs="Arial"/>
                <w:kern w:val="24"/>
                <w:sz w:val="24"/>
                <w:szCs w:val="24"/>
              </w:rPr>
              <w:t>)</w:t>
            </w:r>
          </w:p>
        </w:tc>
      </w:tr>
      <w:tr w:rsidR="00707EF9" w:rsidRPr="00EF179A" w14:paraId="479EEE2D" w14:textId="77777777" w:rsidTr="006B2158">
        <w:trPr>
          <w:trHeight w:val="726"/>
        </w:trPr>
        <w:tc>
          <w:tcPr>
            <w:tcW w:w="1250" w:type="dxa"/>
            <w:hideMark/>
          </w:tcPr>
          <w:p w14:paraId="2899958D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i/>
                <w:iCs/>
                <w:color w:val="000000" w:themeColor="dark1"/>
                <w:kern w:val="24"/>
                <w:sz w:val="24"/>
                <w:szCs w:val="24"/>
              </w:rPr>
              <w:t>Dose (mg)</w:t>
            </w:r>
          </w:p>
        </w:tc>
        <w:tc>
          <w:tcPr>
            <w:tcW w:w="900" w:type="dxa"/>
            <w:hideMark/>
          </w:tcPr>
          <w:p w14:paraId="270B1099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i/>
                <w:iCs/>
                <w:color w:val="000000" w:themeColor="dark1"/>
                <w:kern w:val="24"/>
                <w:sz w:val="24"/>
                <w:szCs w:val="24"/>
              </w:rPr>
              <w:t>N</w:t>
            </w:r>
          </w:p>
        </w:tc>
        <w:tc>
          <w:tcPr>
            <w:tcW w:w="1350" w:type="dxa"/>
            <w:hideMark/>
          </w:tcPr>
          <w:p w14:paraId="6E889745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i/>
                <w:iCs/>
                <w:color w:val="000000" w:themeColor="dark1"/>
                <w:kern w:val="24"/>
                <w:sz w:val="24"/>
                <w:szCs w:val="24"/>
              </w:rPr>
              <w:t>Day 1</w:t>
            </w:r>
          </w:p>
        </w:tc>
        <w:tc>
          <w:tcPr>
            <w:tcW w:w="1620" w:type="dxa"/>
            <w:hideMark/>
          </w:tcPr>
          <w:p w14:paraId="09201C2B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i/>
                <w:iCs/>
                <w:color w:val="000000" w:themeColor="dark1"/>
                <w:kern w:val="24"/>
                <w:sz w:val="24"/>
                <w:szCs w:val="24"/>
              </w:rPr>
              <w:t>Day 5</w:t>
            </w:r>
          </w:p>
        </w:tc>
        <w:tc>
          <w:tcPr>
            <w:tcW w:w="1260" w:type="dxa"/>
            <w:hideMark/>
          </w:tcPr>
          <w:p w14:paraId="2FE558E4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i/>
                <w:iCs/>
                <w:color w:val="000000" w:themeColor="dark1"/>
                <w:kern w:val="24"/>
                <w:sz w:val="24"/>
                <w:szCs w:val="24"/>
              </w:rPr>
              <w:t>Day 1</w:t>
            </w:r>
          </w:p>
        </w:tc>
        <w:tc>
          <w:tcPr>
            <w:tcW w:w="1450" w:type="dxa"/>
            <w:hideMark/>
          </w:tcPr>
          <w:p w14:paraId="0C8FF04F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i/>
                <w:iCs/>
                <w:color w:val="000000" w:themeColor="dark1"/>
                <w:kern w:val="24"/>
                <w:sz w:val="24"/>
                <w:szCs w:val="24"/>
              </w:rPr>
              <w:t>Day 5</w:t>
            </w:r>
          </w:p>
        </w:tc>
        <w:tc>
          <w:tcPr>
            <w:tcW w:w="1800" w:type="dxa"/>
            <w:hideMark/>
          </w:tcPr>
          <w:p w14:paraId="0902B323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i/>
                <w:iCs/>
                <w:color w:val="000000" w:themeColor="dark1"/>
                <w:kern w:val="24"/>
                <w:sz w:val="24"/>
                <w:szCs w:val="24"/>
              </w:rPr>
              <w:t>Day 5</w:t>
            </w:r>
          </w:p>
        </w:tc>
      </w:tr>
      <w:tr w:rsidR="00707EF9" w:rsidRPr="00EF179A" w14:paraId="3598B754" w14:textId="77777777" w:rsidTr="006B2158">
        <w:trPr>
          <w:trHeight w:val="726"/>
        </w:trPr>
        <w:tc>
          <w:tcPr>
            <w:tcW w:w="1250" w:type="dxa"/>
            <w:hideMark/>
          </w:tcPr>
          <w:p w14:paraId="3724117C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1</w:t>
            </w:r>
          </w:p>
        </w:tc>
        <w:tc>
          <w:tcPr>
            <w:tcW w:w="900" w:type="dxa"/>
            <w:hideMark/>
          </w:tcPr>
          <w:p w14:paraId="7DBF936A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1</w:t>
            </w:r>
          </w:p>
        </w:tc>
        <w:tc>
          <w:tcPr>
            <w:tcW w:w="1350" w:type="dxa"/>
            <w:hideMark/>
          </w:tcPr>
          <w:p w14:paraId="398753C0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1.14</w:t>
            </w:r>
          </w:p>
        </w:tc>
        <w:tc>
          <w:tcPr>
            <w:tcW w:w="1620" w:type="dxa"/>
            <w:hideMark/>
          </w:tcPr>
          <w:p w14:paraId="17A4CB89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1.86</w:t>
            </w:r>
          </w:p>
        </w:tc>
        <w:tc>
          <w:tcPr>
            <w:tcW w:w="1260" w:type="dxa"/>
            <w:hideMark/>
          </w:tcPr>
          <w:p w14:paraId="282117FE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36.1</w:t>
            </w:r>
          </w:p>
        </w:tc>
        <w:tc>
          <w:tcPr>
            <w:tcW w:w="1450" w:type="dxa"/>
            <w:hideMark/>
          </w:tcPr>
          <w:p w14:paraId="18A24138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43.0</w:t>
            </w:r>
          </w:p>
        </w:tc>
        <w:tc>
          <w:tcPr>
            <w:tcW w:w="1800" w:type="dxa"/>
            <w:hideMark/>
          </w:tcPr>
          <w:p w14:paraId="23ACC1EF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17.7</w:t>
            </w:r>
          </w:p>
        </w:tc>
      </w:tr>
      <w:tr w:rsidR="00707EF9" w:rsidRPr="00EF179A" w14:paraId="3E28D081" w14:textId="77777777" w:rsidTr="006B2158">
        <w:trPr>
          <w:trHeight w:val="726"/>
        </w:trPr>
        <w:tc>
          <w:tcPr>
            <w:tcW w:w="1250" w:type="dxa"/>
            <w:hideMark/>
          </w:tcPr>
          <w:p w14:paraId="3EBDF2A0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3</w:t>
            </w:r>
          </w:p>
        </w:tc>
        <w:tc>
          <w:tcPr>
            <w:tcW w:w="900" w:type="dxa"/>
            <w:hideMark/>
          </w:tcPr>
          <w:p w14:paraId="1811A730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1</w:t>
            </w:r>
          </w:p>
        </w:tc>
        <w:tc>
          <w:tcPr>
            <w:tcW w:w="1350" w:type="dxa"/>
            <w:hideMark/>
          </w:tcPr>
          <w:p w14:paraId="7847A5B7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4.72</w:t>
            </w:r>
          </w:p>
        </w:tc>
        <w:tc>
          <w:tcPr>
            <w:tcW w:w="1620" w:type="dxa"/>
            <w:hideMark/>
          </w:tcPr>
          <w:p w14:paraId="6FAD500B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20.5</w:t>
            </w:r>
          </w:p>
        </w:tc>
        <w:tc>
          <w:tcPr>
            <w:tcW w:w="1260" w:type="dxa"/>
            <w:hideMark/>
          </w:tcPr>
          <w:p w14:paraId="66E4ABDB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125</w:t>
            </w:r>
          </w:p>
        </w:tc>
        <w:tc>
          <w:tcPr>
            <w:tcW w:w="1450" w:type="dxa"/>
            <w:hideMark/>
          </w:tcPr>
          <w:p w14:paraId="6DA1E61E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600</w:t>
            </w:r>
          </w:p>
        </w:tc>
        <w:tc>
          <w:tcPr>
            <w:tcW w:w="1800" w:type="dxa"/>
            <w:hideMark/>
          </w:tcPr>
          <w:p w14:paraId="77060CDF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24.8</w:t>
            </w:r>
          </w:p>
        </w:tc>
      </w:tr>
      <w:tr w:rsidR="00707EF9" w:rsidRPr="00EF179A" w14:paraId="70F471DE" w14:textId="77777777" w:rsidTr="006B2158">
        <w:trPr>
          <w:trHeight w:val="726"/>
        </w:trPr>
        <w:tc>
          <w:tcPr>
            <w:tcW w:w="1250" w:type="dxa"/>
            <w:hideMark/>
          </w:tcPr>
          <w:p w14:paraId="3ED3CAB1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5</w:t>
            </w:r>
          </w:p>
        </w:tc>
        <w:tc>
          <w:tcPr>
            <w:tcW w:w="900" w:type="dxa"/>
            <w:hideMark/>
          </w:tcPr>
          <w:p w14:paraId="5E13BC5E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3</w:t>
            </w:r>
          </w:p>
        </w:tc>
        <w:tc>
          <w:tcPr>
            <w:tcW w:w="1350" w:type="dxa"/>
            <w:hideMark/>
          </w:tcPr>
          <w:p w14:paraId="362E5AB5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10.7 (45)</w:t>
            </w:r>
          </w:p>
        </w:tc>
        <w:tc>
          <w:tcPr>
            <w:tcW w:w="1620" w:type="dxa"/>
            <w:hideMark/>
          </w:tcPr>
          <w:p w14:paraId="2B5AB58F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25.7 (22)</w:t>
            </w:r>
          </w:p>
        </w:tc>
        <w:tc>
          <w:tcPr>
            <w:tcW w:w="1260" w:type="dxa"/>
            <w:hideMark/>
          </w:tcPr>
          <w:p w14:paraId="51F406B1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233 (58)</w:t>
            </w:r>
          </w:p>
        </w:tc>
        <w:tc>
          <w:tcPr>
            <w:tcW w:w="1450" w:type="dxa"/>
            <w:hideMark/>
          </w:tcPr>
          <w:p w14:paraId="19B182AE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702 (69)</w:t>
            </w:r>
          </w:p>
        </w:tc>
        <w:tc>
          <w:tcPr>
            <w:tcW w:w="1800" w:type="dxa"/>
            <w:hideMark/>
          </w:tcPr>
          <w:p w14:paraId="49EF0089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18.3</w:t>
            </w:r>
          </w:p>
        </w:tc>
      </w:tr>
      <w:tr w:rsidR="00707EF9" w:rsidRPr="00EF179A" w14:paraId="678D94B9" w14:textId="77777777" w:rsidTr="006B2158">
        <w:trPr>
          <w:trHeight w:val="726"/>
        </w:trPr>
        <w:tc>
          <w:tcPr>
            <w:tcW w:w="1250" w:type="dxa"/>
            <w:hideMark/>
          </w:tcPr>
          <w:p w14:paraId="6CC13347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8</w:t>
            </w:r>
          </w:p>
        </w:tc>
        <w:tc>
          <w:tcPr>
            <w:tcW w:w="900" w:type="dxa"/>
            <w:hideMark/>
          </w:tcPr>
          <w:p w14:paraId="4AD91EB5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3</w:t>
            </w:r>
          </w:p>
        </w:tc>
        <w:tc>
          <w:tcPr>
            <w:tcW w:w="1350" w:type="dxa"/>
            <w:hideMark/>
          </w:tcPr>
          <w:p w14:paraId="067BDF99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18 (6.4)</w:t>
            </w:r>
          </w:p>
        </w:tc>
        <w:tc>
          <w:tcPr>
            <w:tcW w:w="1620" w:type="dxa"/>
            <w:hideMark/>
          </w:tcPr>
          <w:p w14:paraId="593D9BE4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37.1 (51)</w:t>
            </w:r>
          </w:p>
        </w:tc>
        <w:tc>
          <w:tcPr>
            <w:tcW w:w="1260" w:type="dxa"/>
            <w:hideMark/>
          </w:tcPr>
          <w:p w14:paraId="2B925338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573 (15)</w:t>
            </w:r>
          </w:p>
        </w:tc>
        <w:tc>
          <w:tcPr>
            <w:tcW w:w="1450" w:type="dxa"/>
            <w:hideMark/>
          </w:tcPr>
          <w:p w14:paraId="278F5992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937 (4.1)</w:t>
            </w:r>
          </w:p>
        </w:tc>
        <w:tc>
          <w:tcPr>
            <w:tcW w:w="1800" w:type="dxa"/>
            <w:hideMark/>
          </w:tcPr>
          <w:p w14:paraId="416C01CB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45</w:t>
            </w:r>
          </w:p>
        </w:tc>
      </w:tr>
      <w:tr w:rsidR="00707EF9" w:rsidRPr="00EF179A" w14:paraId="2450842A" w14:textId="77777777" w:rsidTr="006B2158">
        <w:trPr>
          <w:trHeight w:val="726"/>
        </w:trPr>
        <w:tc>
          <w:tcPr>
            <w:tcW w:w="1250" w:type="dxa"/>
            <w:hideMark/>
          </w:tcPr>
          <w:p w14:paraId="3D8F5E17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11</w:t>
            </w:r>
          </w:p>
        </w:tc>
        <w:tc>
          <w:tcPr>
            <w:tcW w:w="900" w:type="dxa"/>
            <w:hideMark/>
          </w:tcPr>
          <w:p w14:paraId="40196CE0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3</w:t>
            </w:r>
          </w:p>
        </w:tc>
        <w:tc>
          <w:tcPr>
            <w:tcW w:w="1350" w:type="dxa"/>
            <w:hideMark/>
          </w:tcPr>
          <w:p w14:paraId="2A72A305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27.8 (26)</w:t>
            </w:r>
          </w:p>
        </w:tc>
        <w:tc>
          <w:tcPr>
            <w:tcW w:w="1620" w:type="dxa"/>
            <w:hideMark/>
          </w:tcPr>
          <w:p w14:paraId="0AE4C1E6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52.3 (79)</w:t>
            </w:r>
          </w:p>
        </w:tc>
        <w:tc>
          <w:tcPr>
            <w:tcW w:w="1260" w:type="dxa"/>
            <w:hideMark/>
          </w:tcPr>
          <w:p w14:paraId="04EF482F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828 (26)</w:t>
            </w:r>
          </w:p>
        </w:tc>
        <w:tc>
          <w:tcPr>
            <w:tcW w:w="1450" w:type="dxa"/>
            <w:hideMark/>
          </w:tcPr>
          <w:p w14:paraId="6AB0EC51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1820 (77)</w:t>
            </w:r>
          </w:p>
        </w:tc>
        <w:tc>
          <w:tcPr>
            <w:tcW w:w="1800" w:type="dxa"/>
            <w:hideMark/>
          </w:tcPr>
          <w:p w14:paraId="2066D6F0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30.8</w:t>
            </w:r>
          </w:p>
        </w:tc>
      </w:tr>
      <w:tr w:rsidR="00707EF9" w:rsidRPr="00EF179A" w14:paraId="7179E108" w14:textId="77777777" w:rsidTr="006B2158">
        <w:trPr>
          <w:trHeight w:val="726"/>
        </w:trPr>
        <w:tc>
          <w:tcPr>
            <w:tcW w:w="1250" w:type="dxa"/>
            <w:hideMark/>
          </w:tcPr>
          <w:p w14:paraId="3FEB03F8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21</w:t>
            </w:r>
          </w:p>
        </w:tc>
        <w:tc>
          <w:tcPr>
            <w:tcW w:w="900" w:type="dxa"/>
            <w:hideMark/>
          </w:tcPr>
          <w:p w14:paraId="36040A3A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8</w:t>
            </w:r>
          </w:p>
        </w:tc>
        <w:tc>
          <w:tcPr>
            <w:tcW w:w="1350" w:type="dxa"/>
            <w:hideMark/>
          </w:tcPr>
          <w:p w14:paraId="54091156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120 (64)</w:t>
            </w:r>
          </w:p>
        </w:tc>
        <w:tc>
          <w:tcPr>
            <w:tcW w:w="1620" w:type="dxa"/>
            <w:hideMark/>
          </w:tcPr>
          <w:p w14:paraId="7AEAE7E8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130 (46)</w:t>
            </w:r>
          </w:p>
        </w:tc>
        <w:tc>
          <w:tcPr>
            <w:tcW w:w="1260" w:type="dxa"/>
            <w:hideMark/>
          </w:tcPr>
          <w:p w14:paraId="20CF9D0E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2137 (50)</w:t>
            </w:r>
          </w:p>
        </w:tc>
        <w:tc>
          <w:tcPr>
            <w:tcW w:w="1450" w:type="dxa"/>
            <w:hideMark/>
          </w:tcPr>
          <w:p w14:paraId="57C8D99B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3773 (48)</w:t>
            </w:r>
          </w:p>
        </w:tc>
        <w:tc>
          <w:tcPr>
            <w:tcW w:w="1800" w:type="dxa"/>
            <w:hideMark/>
          </w:tcPr>
          <w:p w14:paraId="4F510000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38</w:t>
            </w:r>
          </w:p>
        </w:tc>
      </w:tr>
      <w:tr w:rsidR="00707EF9" w:rsidRPr="00EF179A" w14:paraId="24CCC799" w14:textId="77777777" w:rsidTr="006B2158">
        <w:trPr>
          <w:trHeight w:val="726"/>
        </w:trPr>
        <w:tc>
          <w:tcPr>
            <w:tcW w:w="1250" w:type="dxa"/>
            <w:hideMark/>
          </w:tcPr>
          <w:p w14:paraId="6BBAD25C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42</w:t>
            </w:r>
          </w:p>
        </w:tc>
        <w:tc>
          <w:tcPr>
            <w:tcW w:w="900" w:type="dxa"/>
            <w:hideMark/>
          </w:tcPr>
          <w:p w14:paraId="79250755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5</w:t>
            </w:r>
          </w:p>
        </w:tc>
        <w:tc>
          <w:tcPr>
            <w:tcW w:w="1350" w:type="dxa"/>
            <w:hideMark/>
          </w:tcPr>
          <w:p w14:paraId="1C974815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99 (79)</w:t>
            </w:r>
          </w:p>
        </w:tc>
        <w:tc>
          <w:tcPr>
            <w:tcW w:w="1620" w:type="dxa"/>
            <w:hideMark/>
          </w:tcPr>
          <w:p w14:paraId="72B51F5F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155 (22)</w:t>
            </w:r>
          </w:p>
        </w:tc>
        <w:tc>
          <w:tcPr>
            <w:tcW w:w="1260" w:type="dxa"/>
            <w:hideMark/>
          </w:tcPr>
          <w:p w14:paraId="2981863C" w14:textId="77777777" w:rsidR="00EF179A" w:rsidRPr="00EF179A" w:rsidRDefault="00EF179A" w:rsidP="00EF179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0" w:type="dxa"/>
            <w:hideMark/>
          </w:tcPr>
          <w:p w14:paraId="6907760C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4773 (30)</w:t>
            </w:r>
          </w:p>
        </w:tc>
        <w:tc>
          <w:tcPr>
            <w:tcW w:w="1800" w:type="dxa"/>
            <w:hideMark/>
          </w:tcPr>
          <w:p w14:paraId="5E48AAC9" w14:textId="77777777" w:rsidR="00EF179A" w:rsidRPr="00EF179A" w:rsidRDefault="00EF179A" w:rsidP="00EF179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F179A">
              <w:rPr>
                <w:rFonts w:ascii="Avenir Roman" w:eastAsia="Times New Roman" w:hAnsi="Avenir Roman" w:cs="Arial"/>
                <w:color w:val="000000" w:themeColor="dark1"/>
                <w:kern w:val="24"/>
                <w:sz w:val="24"/>
                <w:szCs w:val="24"/>
              </w:rPr>
              <w:t>21</w:t>
            </w:r>
          </w:p>
        </w:tc>
      </w:tr>
    </w:tbl>
    <w:p w14:paraId="6DE45415" w14:textId="77777777" w:rsidR="00F65164" w:rsidRDefault="00F65164">
      <w:pPr>
        <w:rPr>
          <w:sz w:val="24"/>
          <w:szCs w:val="24"/>
        </w:rPr>
      </w:pPr>
    </w:p>
    <w:p w14:paraId="46B5A351" w14:textId="2B4855C1" w:rsidR="00C83F53" w:rsidRDefault="00D47CA0" w:rsidP="009E6DB1">
      <w:pPr>
        <w:rPr>
          <w:sz w:val="24"/>
          <w:szCs w:val="24"/>
        </w:rPr>
      </w:pPr>
      <w:r>
        <w:rPr>
          <w:sz w:val="24"/>
          <w:szCs w:val="24"/>
        </w:rPr>
        <w:t xml:space="preserve">Mg, milligrams; N, number; </w:t>
      </w:r>
      <w:proofErr w:type="spellStart"/>
      <w:r w:rsidR="00891467">
        <w:rPr>
          <w:sz w:val="24"/>
          <w:szCs w:val="24"/>
        </w:rPr>
        <w:t>Cmax</w:t>
      </w:r>
      <w:proofErr w:type="spellEnd"/>
      <w:r w:rsidR="00891467">
        <w:rPr>
          <w:sz w:val="24"/>
          <w:szCs w:val="24"/>
        </w:rPr>
        <w:t xml:space="preserve">, maximum serum concentration of BTXA51; </w:t>
      </w:r>
      <w:r w:rsidR="0006133A">
        <w:rPr>
          <w:sz w:val="24"/>
          <w:szCs w:val="24"/>
        </w:rPr>
        <w:t xml:space="preserve">ng, nanogram; mL, milliliter; </w:t>
      </w:r>
      <w:proofErr w:type="spellStart"/>
      <w:r w:rsidR="008163EC">
        <w:rPr>
          <w:sz w:val="24"/>
          <w:szCs w:val="24"/>
        </w:rPr>
        <w:t>hr</w:t>
      </w:r>
      <w:proofErr w:type="spellEnd"/>
      <w:r w:rsidR="008163EC">
        <w:rPr>
          <w:sz w:val="24"/>
          <w:szCs w:val="24"/>
        </w:rPr>
        <w:t xml:space="preserve">, hour; </w:t>
      </w:r>
      <w:r w:rsidR="00675ACC">
        <w:rPr>
          <w:sz w:val="24"/>
          <w:szCs w:val="24"/>
        </w:rPr>
        <w:t xml:space="preserve">AUC, area under the curve; </w:t>
      </w:r>
      <w:proofErr w:type="spellStart"/>
      <w:r w:rsidR="008163EC">
        <w:rPr>
          <w:sz w:val="24"/>
          <w:szCs w:val="24"/>
        </w:rPr>
        <w:t>hrs</w:t>
      </w:r>
      <w:proofErr w:type="spellEnd"/>
      <w:r w:rsidR="008163EC">
        <w:rPr>
          <w:sz w:val="24"/>
          <w:szCs w:val="24"/>
        </w:rPr>
        <w:t xml:space="preserve">, hours; </w:t>
      </w:r>
      <w:r w:rsidR="009E6DB1">
        <w:rPr>
          <w:sz w:val="24"/>
          <w:szCs w:val="24"/>
        </w:rPr>
        <w:t xml:space="preserve">* </w:t>
      </w:r>
      <w:r w:rsidR="00C83F53" w:rsidRPr="009E6DB1">
        <w:rPr>
          <w:sz w:val="24"/>
          <w:szCs w:val="24"/>
        </w:rPr>
        <w:t>Mean (%CV)</w:t>
      </w:r>
    </w:p>
    <w:p w14:paraId="6AEE59A9" w14:textId="77777777" w:rsidR="002C7F87" w:rsidRDefault="002C7F87" w:rsidP="009E6DB1">
      <w:pPr>
        <w:rPr>
          <w:sz w:val="24"/>
          <w:szCs w:val="24"/>
        </w:rPr>
      </w:pPr>
    </w:p>
    <w:p w14:paraId="22B9FB58" w14:textId="77777777" w:rsidR="002C7F87" w:rsidRDefault="002C7F87" w:rsidP="009E6DB1">
      <w:pPr>
        <w:rPr>
          <w:sz w:val="24"/>
          <w:szCs w:val="24"/>
        </w:rPr>
      </w:pPr>
    </w:p>
    <w:p w14:paraId="27ED5324" w14:textId="05783CA2" w:rsidR="002C7F87" w:rsidRDefault="00533286" w:rsidP="009E6DB1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0BAC0B4" wp14:editId="4826B32C">
            <wp:extent cx="5943600" cy="271662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6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AB9B7E" w14:textId="77777777" w:rsidR="00533286" w:rsidRDefault="002C7F87" w:rsidP="009E6DB1">
      <w:pPr>
        <w:rPr>
          <w:rFonts w:ascii="Arial" w:hAnsi="Arial" w:cs="Arial"/>
          <w:sz w:val="32"/>
          <w:szCs w:val="32"/>
        </w:rPr>
      </w:pPr>
      <w:r w:rsidRPr="00533286">
        <w:rPr>
          <w:rFonts w:ascii="Arial" w:hAnsi="Arial" w:cs="Arial"/>
          <w:sz w:val="32"/>
          <w:szCs w:val="32"/>
        </w:rPr>
        <w:t>Supplemental Figure 1.</w:t>
      </w:r>
      <w:r w:rsidRPr="00533286">
        <w:rPr>
          <w:sz w:val="32"/>
          <w:szCs w:val="32"/>
        </w:rPr>
        <w:t xml:space="preserve"> </w:t>
      </w:r>
      <w:r w:rsidRPr="00533286">
        <w:rPr>
          <w:rFonts w:ascii="Arial" w:hAnsi="Arial" w:cs="Arial"/>
          <w:sz w:val="32"/>
          <w:szCs w:val="32"/>
        </w:rPr>
        <w:t>Pharmacodynamic studies of BTX-A51</w:t>
      </w:r>
    </w:p>
    <w:p w14:paraId="77529FEB" w14:textId="6B0904C3" w:rsidR="002C7F87" w:rsidRDefault="002C7F87" w:rsidP="009E6DB1">
      <w:pPr>
        <w:rPr>
          <w:rFonts w:ascii="Arial" w:hAnsi="Arial" w:cs="Arial"/>
        </w:rPr>
      </w:pPr>
      <w:r w:rsidRPr="007E579D">
        <w:rPr>
          <w:rFonts w:ascii="Arial" w:hAnsi="Arial" w:cs="Arial"/>
        </w:rPr>
        <w:t xml:space="preserve">Changes in P53 activation as measured by serum macrophage inhibitor cytokine 1 (MIC-1) levels before and after treatment with BTX-A51.  Serum MIC-1 levels increased before and on cycle 1 day 2 and day 5 after treatment with BTX A51.  </w:t>
      </w:r>
      <w:r w:rsidR="00DA7834" w:rsidRPr="007E579D">
        <w:rPr>
          <w:rFonts w:ascii="Arial" w:hAnsi="Arial" w:cs="Arial"/>
        </w:rPr>
        <w:t>MIC-1, macrophage inhibitor cytokine 1, C1D2, cycle 1 day 2, C1D5, cycle 1 day 5, mg, milligrams.</w:t>
      </w:r>
    </w:p>
    <w:p w14:paraId="5293F5C3" w14:textId="77777777" w:rsidR="00A70687" w:rsidRDefault="00A70687" w:rsidP="009E6DB1">
      <w:pPr>
        <w:rPr>
          <w:rFonts w:ascii="Arial" w:hAnsi="Arial" w:cs="Arial"/>
        </w:rPr>
      </w:pPr>
    </w:p>
    <w:p w14:paraId="1455F554" w14:textId="656EF126" w:rsidR="00A70687" w:rsidRPr="00A341FE" w:rsidRDefault="00A70687" w:rsidP="009E6DB1">
      <w:pPr>
        <w:rPr>
          <w:rFonts w:ascii="Arial" w:hAnsi="Arial" w:cs="Arial"/>
          <w:b/>
          <w:bCs/>
          <w:u w:val="single"/>
        </w:rPr>
      </w:pPr>
      <w:r w:rsidRPr="00A341FE">
        <w:rPr>
          <w:rFonts w:ascii="Arial" w:hAnsi="Arial" w:cs="Arial"/>
          <w:b/>
          <w:bCs/>
          <w:u w:val="single"/>
        </w:rPr>
        <w:t>Eligibility Criteria</w:t>
      </w:r>
    </w:p>
    <w:p w14:paraId="262E57C3" w14:textId="77777777" w:rsidR="00A341FE" w:rsidRPr="00A043B2" w:rsidRDefault="00A341FE" w:rsidP="00A341FE">
      <w:pPr>
        <w:pStyle w:val="Heading2"/>
        <w:keepNext w:val="0"/>
      </w:pPr>
      <w:bookmarkStart w:id="0" w:name="_Ref488674353"/>
      <w:bookmarkStart w:id="1" w:name="_Ref490871864"/>
      <w:bookmarkStart w:id="2" w:name="_Toc491802260"/>
      <w:bookmarkStart w:id="3" w:name="_Toc496705727"/>
      <w:bookmarkStart w:id="4" w:name="_Toc504376837"/>
      <w:bookmarkStart w:id="5" w:name="_Toc505078428"/>
      <w:bookmarkStart w:id="6" w:name="_Toc513569315"/>
      <w:bookmarkStart w:id="7" w:name="_Toc6411396"/>
      <w:bookmarkStart w:id="8" w:name="_Toc6808970"/>
      <w:bookmarkStart w:id="9" w:name="_Toc40778089"/>
      <w:bookmarkStart w:id="10" w:name="_Toc22834936"/>
      <w:bookmarkStart w:id="11" w:name="_Toc84347276"/>
      <w:bookmarkStart w:id="12" w:name="_Hlk533606207"/>
      <w:r w:rsidRPr="00A043B2">
        <w:t>Inclusion Criteria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5AE9A536" w14:textId="77777777" w:rsidR="00A341FE" w:rsidRPr="00A043B2" w:rsidRDefault="00A341FE" w:rsidP="00A341FE">
      <w:pPr>
        <w:pStyle w:val="BodyText"/>
      </w:pPr>
      <w:r w:rsidRPr="00A043B2">
        <w:t xml:space="preserve">To be eligible for participation in this study, a patient must meet </w:t>
      </w:r>
      <w:proofErr w:type="gramStart"/>
      <w:r w:rsidRPr="00A043B2">
        <w:t>all of</w:t>
      </w:r>
      <w:proofErr w:type="gramEnd"/>
      <w:r w:rsidRPr="00A043B2">
        <w:t xml:space="preserve"> the following inclusion criteria:</w:t>
      </w:r>
      <w:bookmarkStart w:id="13" w:name="_Ref266698496"/>
      <w:bookmarkStart w:id="14" w:name="_Toc271074062"/>
      <w:bookmarkStart w:id="15" w:name="_Toc271166511"/>
      <w:bookmarkStart w:id="16" w:name="_Toc289079548"/>
      <w:bookmarkStart w:id="17" w:name="_Toc343102983"/>
      <w:bookmarkStart w:id="18" w:name="_Toc357082343"/>
    </w:p>
    <w:p w14:paraId="5073EC7F" w14:textId="77777777" w:rsidR="00A341FE" w:rsidRPr="00A043B2" w:rsidRDefault="00A341FE" w:rsidP="00A341FE">
      <w:pPr>
        <w:pStyle w:val="ListNumber"/>
        <w:numPr>
          <w:ilvl w:val="0"/>
          <w:numId w:val="6"/>
        </w:numPr>
      </w:pPr>
      <w:r w:rsidRPr="00A043B2">
        <w:t>Demonstration of understanding and voluntarily signing of an informed consent form (ICF)</w:t>
      </w:r>
    </w:p>
    <w:p w14:paraId="0A44A2DA" w14:textId="77777777" w:rsidR="00A341FE" w:rsidRPr="00A043B2" w:rsidRDefault="00A341FE" w:rsidP="00A341FE">
      <w:pPr>
        <w:pStyle w:val="ListNumber"/>
      </w:pPr>
      <w:r w:rsidRPr="00A043B2">
        <w:t xml:space="preserve">≥18 years of age at the time of signing the ICF </w:t>
      </w:r>
    </w:p>
    <w:p w14:paraId="06282917" w14:textId="77777777" w:rsidR="00A341FE" w:rsidRPr="00A043B2" w:rsidRDefault="00A341FE" w:rsidP="00A341FE">
      <w:pPr>
        <w:pStyle w:val="ListNumber"/>
      </w:pPr>
      <w:r w:rsidRPr="00A043B2">
        <w:t>Documented diagnosis of AML or MDS according to the World Health Organization (WHO) classification (</w:t>
      </w:r>
      <w:hyperlink w:anchor="_ENREF_3" w:tooltip="Arber, 2016 #16" w:history="1">
        <w:r w:rsidRPr="00A043B2">
          <w:rPr>
            <w:rStyle w:val="AXRef"/>
          </w:rPr>
          <w:fldChar w:fldCharType="begin">
            <w:fldData xml:space="preserve">PEVuZE5vdGU+PENpdGU+PEF1dGhvcj5BcmJlcjwvQXV0aG9yPjxZZWFyPjIwMTY8L1llYXI+PFJl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</w:fldData>
          </w:fldChar>
        </w:r>
        <w:r w:rsidRPr="00A043B2">
          <w:rPr>
            <w:rStyle w:val="AXRef"/>
          </w:rPr>
          <w:instrText xml:space="preserve"> ADDIN EN.CITE </w:instrText>
        </w:r>
        <w:r w:rsidRPr="00A043B2">
          <w:rPr>
            <w:rStyle w:val="AXRef"/>
          </w:rPr>
          <w:fldChar w:fldCharType="begin">
            <w:fldData xml:space="preserve">PEVuZE5vdGU+PENpdGU+PEF1dGhvcj5BcmJlcjwvQXV0aG9yPjxZZWFyPjIwMTY8L1llYXI+PFJl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</w:fldData>
          </w:fldChar>
        </w:r>
        <w:r w:rsidRPr="00A043B2">
          <w:rPr>
            <w:rStyle w:val="AXRef"/>
          </w:rPr>
          <w:instrText xml:space="preserve"> ADDIN EN.CITE.DATA </w:instrText>
        </w:r>
        <w:r w:rsidRPr="00A043B2">
          <w:rPr>
            <w:rStyle w:val="AXRef"/>
          </w:rPr>
        </w:r>
        <w:r w:rsidRPr="00A043B2">
          <w:rPr>
            <w:rStyle w:val="AXRef"/>
          </w:rPr>
          <w:fldChar w:fldCharType="end"/>
        </w:r>
        <w:r w:rsidRPr="00A043B2">
          <w:rPr>
            <w:rStyle w:val="AXRef"/>
          </w:rPr>
        </w:r>
        <w:r w:rsidRPr="00A043B2">
          <w:rPr>
            <w:rStyle w:val="AXRef"/>
          </w:rPr>
          <w:fldChar w:fldCharType="separate"/>
        </w:r>
        <w:r w:rsidRPr="00A043B2">
          <w:rPr>
            <w:rStyle w:val="AXRef"/>
          </w:rPr>
          <w:t>Arber, Orazi, et al., 2016</w:t>
        </w:r>
        <w:r w:rsidRPr="00A043B2">
          <w:rPr>
            <w:rStyle w:val="AXRef"/>
          </w:rPr>
          <w:fldChar w:fldCharType="end"/>
        </w:r>
      </w:hyperlink>
      <w:r w:rsidRPr="00A043B2">
        <w:t xml:space="preserve">) and, with respect to MDS, that is high risk (high or very high risk by the Revised IPSS, </w:t>
      </w:r>
      <w:hyperlink w:anchor="_ENREF_13" w:tooltip="Greenberg, 2012 #51" w:history="1">
        <w:r w:rsidRPr="00A043B2">
          <w:rPr>
            <w:rStyle w:val="AXRef"/>
          </w:rPr>
          <w:fldChar w:fldCharType="begin">
            <w:fldData xml:space="preserve">PEVuZE5vdGU+PENpdGU+PEF1dGhvcj5HcmVlbmJlcmc8L0F1dGhvcj48WWVhcj4yMDEyPC9ZZWFy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</w:fldData>
          </w:fldChar>
        </w:r>
        <w:r w:rsidRPr="00A043B2">
          <w:rPr>
            <w:rStyle w:val="AXRef"/>
          </w:rPr>
          <w:instrText xml:space="preserve"> ADDIN EN.CITE </w:instrText>
        </w:r>
        <w:r w:rsidRPr="00A043B2">
          <w:rPr>
            <w:rStyle w:val="AXRef"/>
          </w:rPr>
          <w:fldChar w:fldCharType="begin">
            <w:fldData xml:space="preserve">PEVuZE5vdGU+PENpdGU+PEF1dGhvcj5HcmVlbmJlcmc8L0F1dGhvcj48WWVhcj4yMDEyPC9ZZWFy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</w:fldData>
          </w:fldChar>
        </w:r>
        <w:r w:rsidRPr="00A043B2">
          <w:rPr>
            <w:rStyle w:val="AXRef"/>
          </w:rPr>
          <w:instrText xml:space="preserve"> ADDIN EN.CITE.DATA </w:instrText>
        </w:r>
        <w:r w:rsidRPr="00A043B2">
          <w:rPr>
            <w:rStyle w:val="AXRef"/>
          </w:rPr>
        </w:r>
        <w:r w:rsidRPr="00A043B2">
          <w:rPr>
            <w:rStyle w:val="AXRef"/>
          </w:rPr>
          <w:fldChar w:fldCharType="end"/>
        </w:r>
        <w:r w:rsidRPr="00A043B2">
          <w:rPr>
            <w:rStyle w:val="AXRef"/>
          </w:rPr>
        </w:r>
        <w:r w:rsidRPr="00A043B2">
          <w:rPr>
            <w:rStyle w:val="AXRef"/>
          </w:rPr>
          <w:fldChar w:fldCharType="separate"/>
        </w:r>
        <w:r w:rsidRPr="00A043B2">
          <w:rPr>
            <w:rStyle w:val="AXRef"/>
          </w:rPr>
          <w:t>Greenberg, Tuechler, et al., 2012</w:t>
        </w:r>
        <w:r w:rsidRPr="00A043B2">
          <w:rPr>
            <w:rStyle w:val="AXRef"/>
          </w:rPr>
          <w:fldChar w:fldCharType="end"/>
        </w:r>
      </w:hyperlink>
      <w:r w:rsidRPr="00A043B2">
        <w:t xml:space="preserve">).  Patients must have refractory or relapsed disease and be ineligible for or have exhausted standard therapeutic options that would otherwise be likely to provide clinical benefit. </w:t>
      </w:r>
    </w:p>
    <w:p w14:paraId="4DBD0B0E" w14:textId="77777777" w:rsidR="00A341FE" w:rsidRPr="00A043B2" w:rsidRDefault="00A341FE" w:rsidP="00A341FE">
      <w:pPr>
        <w:pStyle w:val="ListNumber"/>
      </w:pPr>
      <w:r w:rsidRPr="00A043B2">
        <w:t>Eastern Cooperative Oncology Group (ECOG) performance status ≤2 (</w:t>
      </w:r>
      <w:r w:rsidRPr="00A043B2">
        <w:rPr>
          <w:rStyle w:val="AXRef"/>
        </w:rPr>
        <w:t>Appendix </w:t>
      </w:r>
      <w:r w:rsidRPr="00A043B2">
        <w:rPr>
          <w:rStyle w:val="AXRef"/>
        </w:rPr>
        <w:fldChar w:fldCharType="begin"/>
      </w:r>
      <w:r w:rsidRPr="00A043B2">
        <w:rPr>
          <w:rStyle w:val="AXRef"/>
        </w:rPr>
        <w:instrText xml:space="preserve"> REF _Ref529180571 \n \h  \* MERGEFORMAT </w:instrText>
      </w:r>
      <w:r w:rsidRPr="00A043B2">
        <w:rPr>
          <w:rStyle w:val="AXRef"/>
        </w:rPr>
      </w:r>
      <w:r w:rsidRPr="00A043B2">
        <w:rPr>
          <w:rStyle w:val="AXRef"/>
        </w:rPr>
        <w:fldChar w:fldCharType="separate"/>
      </w:r>
      <w:r>
        <w:rPr>
          <w:rStyle w:val="AXRef"/>
        </w:rPr>
        <w:t>26.1</w:t>
      </w:r>
      <w:r w:rsidRPr="00A043B2">
        <w:rPr>
          <w:rStyle w:val="AXRef"/>
        </w:rPr>
        <w:fldChar w:fldCharType="end"/>
      </w:r>
      <w:r w:rsidRPr="00A043B2">
        <w:t>) and a life expectancy ≥6 weeks at study entry as determined by study Investigator</w:t>
      </w:r>
    </w:p>
    <w:p w14:paraId="685DFEA9" w14:textId="77777777" w:rsidR="00A341FE" w:rsidRPr="00A043B2" w:rsidRDefault="00A341FE" w:rsidP="00A341FE">
      <w:pPr>
        <w:pStyle w:val="ListNumber"/>
      </w:pPr>
      <w:r w:rsidRPr="00A043B2">
        <w:t xml:space="preserve">Adequate organ function defined as: </w:t>
      </w:r>
    </w:p>
    <w:p w14:paraId="78FF8CC8" w14:textId="77777777" w:rsidR="00A341FE" w:rsidRPr="00A043B2" w:rsidRDefault="00A341FE" w:rsidP="00A341FE">
      <w:pPr>
        <w:pStyle w:val="ListBullet"/>
        <w:ind w:left="1170"/>
      </w:pPr>
      <w:r w:rsidRPr="00A043B2">
        <w:t xml:space="preserve">Serum creatinine ≤1.5 × ULN, i.e., Grade 1 </w:t>
      </w:r>
    </w:p>
    <w:p w14:paraId="7EC8CA5D" w14:textId="77777777" w:rsidR="00A341FE" w:rsidRPr="00A043B2" w:rsidRDefault="00A341FE" w:rsidP="00A341FE">
      <w:pPr>
        <w:pStyle w:val="ListBullet"/>
        <w:ind w:left="1170"/>
      </w:pPr>
      <w:r w:rsidRPr="00A043B2">
        <w:t xml:space="preserve">Total bilirubin ≤1.5 × ULN, i.e., Grade 1; higher levels are acceptable if these can be attributed to ineffective erythropoiesis, leukemia organ involvement (when other causes of hepatic toxicity have been ruled out), or Gilbert's syndrome </w:t>
      </w:r>
    </w:p>
    <w:p w14:paraId="78085FC5" w14:textId="77777777" w:rsidR="00A341FE" w:rsidRPr="00A043B2" w:rsidRDefault="00A341FE" w:rsidP="00A341FE">
      <w:pPr>
        <w:pStyle w:val="ListBullet"/>
        <w:ind w:left="1170"/>
      </w:pPr>
      <w:r w:rsidRPr="00A043B2">
        <w:lastRenderedPageBreak/>
        <w:t>AST and/or ALT ≤2 × ULN, unless considered due to leukemic organ involvement (when other causes of hepatic toxicity have been ruled out)</w:t>
      </w:r>
    </w:p>
    <w:p w14:paraId="744F10DC" w14:textId="77777777" w:rsidR="00A341FE" w:rsidRPr="00A043B2" w:rsidRDefault="00A341FE" w:rsidP="00A341FE">
      <w:pPr>
        <w:pStyle w:val="ListNumber"/>
      </w:pPr>
      <w:r w:rsidRPr="00A043B2">
        <w:t>Female participants of childbearing potential may participate provided they have a negative serum pregnancy test at Screening and a negative serum pregnancy test within 72 hours prior to starting on treatment; they also must agree to either abstain from sexual intercourse or use a highly effective method of contraception (for up to 3 months after the last dose of study drug) such as:</w:t>
      </w:r>
    </w:p>
    <w:p w14:paraId="1846B159" w14:textId="77777777" w:rsidR="00A341FE" w:rsidRPr="00A043B2" w:rsidRDefault="00A341FE" w:rsidP="00A341FE">
      <w:pPr>
        <w:pStyle w:val="ListBullet"/>
        <w:ind w:left="1260"/>
      </w:pPr>
      <w:r w:rsidRPr="00A043B2">
        <w:t>Established use of oral or long</w:t>
      </w:r>
      <w:r w:rsidRPr="00A043B2">
        <w:noBreakHyphen/>
        <w:t>acting injected or implanted hormonal methods of contraception for at least 90 days prior to Cycle 1 Dose </w:t>
      </w:r>
      <w:proofErr w:type="gramStart"/>
      <w:r w:rsidRPr="00A043B2">
        <w:t>1;</w:t>
      </w:r>
      <w:proofErr w:type="gramEnd"/>
      <w:r w:rsidRPr="00A043B2">
        <w:t xml:space="preserve"> </w:t>
      </w:r>
    </w:p>
    <w:p w14:paraId="6B0E6CAF" w14:textId="77777777" w:rsidR="00A341FE" w:rsidRPr="00A043B2" w:rsidRDefault="00A341FE" w:rsidP="00A341FE">
      <w:pPr>
        <w:pStyle w:val="ListBullet"/>
        <w:ind w:left="1260"/>
      </w:pPr>
      <w:r w:rsidRPr="00A043B2">
        <w:t xml:space="preserve">Placement of an intrauterine device or intrauterine </w:t>
      </w:r>
      <w:proofErr w:type="gramStart"/>
      <w:r w:rsidRPr="00A043B2">
        <w:t>system;</w:t>
      </w:r>
      <w:proofErr w:type="gramEnd"/>
      <w:r w:rsidRPr="00A043B2">
        <w:t xml:space="preserve"> </w:t>
      </w:r>
    </w:p>
    <w:p w14:paraId="236C6F1C" w14:textId="77777777" w:rsidR="00A341FE" w:rsidRPr="00A043B2" w:rsidRDefault="00A341FE" w:rsidP="00A341FE">
      <w:pPr>
        <w:pStyle w:val="ListBullet"/>
        <w:ind w:left="1260"/>
      </w:pPr>
      <w:r w:rsidRPr="00A043B2">
        <w:t>Barrier methods:  condom, diaphragm, or cervical/vault cap with spermicidal foam/gel/film/cream/</w:t>
      </w:r>
      <w:proofErr w:type="gramStart"/>
      <w:r w:rsidRPr="00A043B2">
        <w:t>suppository;</w:t>
      </w:r>
      <w:proofErr w:type="gramEnd"/>
      <w:r w:rsidRPr="00A043B2">
        <w:t xml:space="preserve"> </w:t>
      </w:r>
    </w:p>
    <w:p w14:paraId="11EF50A1" w14:textId="77777777" w:rsidR="00A341FE" w:rsidRPr="00A043B2" w:rsidRDefault="00A341FE" w:rsidP="00A341FE">
      <w:pPr>
        <w:pStyle w:val="ListBullet"/>
        <w:ind w:left="1260"/>
      </w:pPr>
      <w:r w:rsidRPr="00A043B2">
        <w:t xml:space="preserve">Male partner sterilization (with the appropriate </w:t>
      </w:r>
      <w:proofErr w:type="spellStart"/>
      <w:r w:rsidRPr="00A043B2">
        <w:t>postvasectomy</w:t>
      </w:r>
      <w:proofErr w:type="spellEnd"/>
      <w:r w:rsidRPr="00A043B2">
        <w:t xml:space="preserve"> documentation of the absence of spermatozoa in the ejaculate [the vasectomized partner should be the sole partner for that patient]); or</w:t>
      </w:r>
    </w:p>
    <w:p w14:paraId="24F4E098" w14:textId="77777777" w:rsidR="00A341FE" w:rsidRPr="00A043B2" w:rsidRDefault="00A341FE" w:rsidP="00A341FE">
      <w:pPr>
        <w:pStyle w:val="ListBullet"/>
        <w:ind w:left="1260"/>
      </w:pPr>
      <w:r w:rsidRPr="00A043B2">
        <w:t xml:space="preserve">True abstinence (when this is in line with the preferred and usual lifestyle of the patient) </w:t>
      </w:r>
    </w:p>
    <w:p w14:paraId="6158F238" w14:textId="77777777" w:rsidR="00A341FE" w:rsidRPr="00A043B2" w:rsidRDefault="00A341FE" w:rsidP="00A341FE">
      <w:pPr>
        <w:pStyle w:val="ListNumber"/>
      </w:pPr>
      <w:r w:rsidRPr="00A043B2">
        <w:t>Male participants sexually active with a woman of childbearing potential (even those who have had a vasectomy) must agree to use a barrier method of birth control (see above) during and after the study (up to 3 months after the last dose of study drug); all men must not donate sperm during the study and for 3 months after receiving the last dose of study drug.</w:t>
      </w:r>
    </w:p>
    <w:p w14:paraId="2C5147BB" w14:textId="77777777" w:rsidR="00A341FE" w:rsidRPr="00A043B2" w:rsidRDefault="00A341FE" w:rsidP="00A341FE">
      <w:pPr>
        <w:pStyle w:val="Heading2"/>
      </w:pPr>
      <w:bookmarkStart w:id="19" w:name="_Ref488674704"/>
      <w:bookmarkStart w:id="20" w:name="_Toc491802261"/>
      <w:bookmarkStart w:id="21" w:name="_Toc496705728"/>
      <w:bookmarkStart w:id="22" w:name="_Toc504376838"/>
      <w:bookmarkStart w:id="23" w:name="_Toc505078429"/>
      <w:bookmarkStart w:id="24" w:name="_Ref512138878"/>
      <w:bookmarkStart w:id="25" w:name="_Toc513569316"/>
      <w:bookmarkStart w:id="26" w:name="_Toc6411397"/>
      <w:bookmarkStart w:id="27" w:name="_Toc6808971"/>
      <w:bookmarkStart w:id="28" w:name="_Toc40778090"/>
      <w:bookmarkStart w:id="29" w:name="_Toc22834937"/>
      <w:bookmarkStart w:id="30" w:name="_Toc84347277"/>
      <w:bookmarkEnd w:id="13"/>
      <w:bookmarkEnd w:id="14"/>
      <w:bookmarkEnd w:id="15"/>
      <w:bookmarkEnd w:id="16"/>
      <w:bookmarkEnd w:id="17"/>
      <w:bookmarkEnd w:id="18"/>
      <w:r w:rsidRPr="00A043B2">
        <w:t>Exclusion Criteria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45398E4D" w14:textId="77777777" w:rsidR="00A341FE" w:rsidRPr="00A043B2" w:rsidRDefault="00A341FE" w:rsidP="00A341FE">
      <w:pPr>
        <w:pStyle w:val="BodyText"/>
      </w:pPr>
      <w:r w:rsidRPr="00A043B2">
        <w:t>A patient will be excluded from participation if he/she meets any of the following:</w:t>
      </w:r>
    </w:p>
    <w:p w14:paraId="4C14F0BF" w14:textId="77777777" w:rsidR="00A341FE" w:rsidRPr="00A043B2" w:rsidRDefault="00A341FE" w:rsidP="00A341FE">
      <w:pPr>
        <w:pStyle w:val="ListNumber"/>
        <w:numPr>
          <w:ilvl w:val="0"/>
          <w:numId w:val="5"/>
        </w:numPr>
      </w:pPr>
      <w:bookmarkStart w:id="31" w:name="_Toc513009890"/>
      <w:bookmarkStart w:id="32" w:name="_Toc505078430"/>
      <w:bookmarkStart w:id="33" w:name="_Toc491802262"/>
      <w:bookmarkStart w:id="34" w:name="_Toc496705729"/>
      <w:bookmarkStart w:id="35" w:name="_Toc504376839"/>
      <w:bookmarkStart w:id="36" w:name="_Toc513569317"/>
      <w:bookmarkEnd w:id="31"/>
      <w:r w:rsidRPr="00A043B2">
        <w:t>Diagnosis of acute promyelocytic leukemia</w:t>
      </w:r>
    </w:p>
    <w:p w14:paraId="5A64A1E2" w14:textId="77777777" w:rsidR="00A341FE" w:rsidRPr="00A043B2" w:rsidRDefault="00A341FE" w:rsidP="00A341FE">
      <w:pPr>
        <w:pStyle w:val="ListNumber"/>
        <w:numPr>
          <w:ilvl w:val="0"/>
          <w:numId w:val="5"/>
        </w:numPr>
      </w:pPr>
      <w:r w:rsidRPr="00A043B2">
        <w:t>White blood cell count (WBC) &gt;25 × 10</w:t>
      </w:r>
      <w:r w:rsidRPr="00A043B2">
        <w:rPr>
          <w:vertAlign w:val="superscript"/>
        </w:rPr>
        <w:t>9</w:t>
      </w:r>
      <w:r w:rsidRPr="00A043B2">
        <w:t>/L at Screening (hydroxyurea may be used to bring the WBC count below the threshold; patients may be retested within the 28-day screening period following treatment)</w:t>
      </w:r>
    </w:p>
    <w:p w14:paraId="61A3346A" w14:textId="77777777" w:rsidR="00A341FE" w:rsidRPr="00A043B2" w:rsidRDefault="00A341FE" w:rsidP="00A341FE">
      <w:pPr>
        <w:pStyle w:val="ListNumber"/>
        <w:numPr>
          <w:ilvl w:val="0"/>
          <w:numId w:val="5"/>
        </w:numPr>
      </w:pPr>
      <w:r w:rsidRPr="00A043B2">
        <w:t>Receipt of cancer chemotherapy (other than hydroxyurea) within 2 weeks prior to the start of study drug (Cycle 1, Day 1)</w:t>
      </w:r>
    </w:p>
    <w:p w14:paraId="4D1EB421" w14:textId="77777777" w:rsidR="00A341FE" w:rsidRPr="00A043B2" w:rsidRDefault="00A341FE" w:rsidP="00A341FE">
      <w:pPr>
        <w:pStyle w:val="ListNumber"/>
        <w:numPr>
          <w:ilvl w:val="0"/>
          <w:numId w:val="5"/>
        </w:numPr>
      </w:pPr>
      <w:r w:rsidRPr="00A043B2">
        <w:t>In participants who have undergone autologous or allogeneic stem cell transplantation:</w:t>
      </w:r>
    </w:p>
    <w:p w14:paraId="2DF125DD" w14:textId="77777777" w:rsidR="00A341FE" w:rsidRPr="00A043B2" w:rsidRDefault="00A341FE" w:rsidP="00A341FE">
      <w:pPr>
        <w:pStyle w:val="ListBullet"/>
        <w:ind w:left="1170"/>
      </w:pPr>
      <w:r w:rsidRPr="00A043B2">
        <w:t xml:space="preserve">Transplantation within the 3 months prior to </w:t>
      </w:r>
      <w:proofErr w:type="gramStart"/>
      <w:r w:rsidRPr="00A043B2">
        <w:t>Screening;</w:t>
      </w:r>
      <w:proofErr w:type="gramEnd"/>
    </w:p>
    <w:p w14:paraId="17465AE4" w14:textId="77777777" w:rsidR="00A341FE" w:rsidRPr="00A043B2" w:rsidRDefault="00A341FE" w:rsidP="00A341FE">
      <w:pPr>
        <w:pStyle w:val="ListBullet"/>
        <w:ind w:left="1170"/>
      </w:pPr>
      <w:r w:rsidRPr="00A043B2">
        <w:t xml:space="preserve">Active graft-versus-host disease requiring anything other than topical corticosteroids and </w:t>
      </w:r>
      <w:proofErr w:type="gramStart"/>
      <w:r w:rsidRPr="00A043B2">
        <w:t>budesonide;</w:t>
      </w:r>
      <w:proofErr w:type="gramEnd"/>
    </w:p>
    <w:p w14:paraId="01199ADF" w14:textId="77777777" w:rsidR="00A341FE" w:rsidRPr="00A043B2" w:rsidRDefault="00A341FE" w:rsidP="00A341FE">
      <w:pPr>
        <w:pStyle w:val="ListBullet"/>
        <w:ind w:left="1170"/>
      </w:pPr>
      <w:r w:rsidRPr="00A043B2">
        <w:t>Treatment with systemic immunosuppressive medications including high-dose steroids (≥20 mg prednisolone or equivalent per day), calcineurin inhibitors (e.g., cyclosporine, tacrolimus)</w:t>
      </w:r>
      <w:r>
        <w:t>,</w:t>
      </w:r>
      <w:r w:rsidRPr="00A043B2">
        <w:t xml:space="preserve"> sirolimus, </w:t>
      </w:r>
      <w:proofErr w:type="spellStart"/>
      <w:r w:rsidRPr="00A043B2">
        <w:t>mycophenylate</w:t>
      </w:r>
      <w:proofErr w:type="spellEnd"/>
      <w:r w:rsidRPr="00A043B2">
        <w:t xml:space="preserve"> mofetil, azathioprine, or </w:t>
      </w:r>
      <w:proofErr w:type="spellStart"/>
      <w:r w:rsidRPr="00A043B2">
        <w:t>ruxolitinib</w:t>
      </w:r>
      <w:proofErr w:type="spellEnd"/>
      <w:r w:rsidRPr="00A043B2">
        <w:t xml:space="preserve"> for at least </w:t>
      </w:r>
      <w:r>
        <w:t>1</w:t>
      </w:r>
      <w:r w:rsidRPr="00A043B2">
        <w:t xml:space="preserve"> week prior to Screening.  Use of topical steroids and oral budesonide will be permitted as will systemic steroid use as premedication for transfusions or treatment of any anaphylactic event </w:t>
      </w:r>
    </w:p>
    <w:p w14:paraId="4E571FC6" w14:textId="77777777" w:rsidR="00A341FE" w:rsidRPr="00A043B2" w:rsidRDefault="00A341FE" w:rsidP="00A341FE">
      <w:pPr>
        <w:pStyle w:val="ListNumber"/>
      </w:pPr>
      <w:r w:rsidRPr="00A043B2">
        <w:lastRenderedPageBreak/>
        <w:t>Immediate life</w:t>
      </w:r>
      <w:r w:rsidRPr="00A043B2">
        <w:noBreakHyphen/>
        <w:t>threatening severe complications of leukemia such as uncontrolled bleeding, pneumonia with hypoxia or shock, and/or disseminated intravascular coagulation</w:t>
      </w:r>
    </w:p>
    <w:p w14:paraId="7F6AC2B2" w14:textId="77777777" w:rsidR="00A341FE" w:rsidRPr="00A043B2" w:rsidRDefault="00A341FE" w:rsidP="00A341FE">
      <w:pPr>
        <w:pStyle w:val="ListNumber"/>
      </w:pPr>
      <w:r w:rsidRPr="00A043B2">
        <w:t>Persistent toxicities from prior treatment of Grade 2 or higher</w:t>
      </w:r>
    </w:p>
    <w:p w14:paraId="3DBC352E" w14:textId="77777777" w:rsidR="00A341FE" w:rsidRPr="00A043B2" w:rsidRDefault="00A341FE" w:rsidP="00A341FE">
      <w:pPr>
        <w:pStyle w:val="ListNumber"/>
      </w:pPr>
      <w:r w:rsidRPr="00A043B2">
        <w:t>Active uncontrolled systemic fungal, bacterial, mycobacterial, or viral infection (defined as ongoing signs/symptoms related to the infection without improvement despite appropriate antibiotics, antiviral therapy, and/or other treatment)</w:t>
      </w:r>
    </w:p>
    <w:p w14:paraId="7850EBC4" w14:textId="77777777" w:rsidR="00A341FE" w:rsidRPr="00A043B2" w:rsidRDefault="00A341FE" w:rsidP="00A341FE">
      <w:pPr>
        <w:pStyle w:val="ListNumber"/>
      </w:pPr>
      <w:r w:rsidRPr="00A043B2">
        <w:t>Clinically significant cardiac disease, including:</w:t>
      </w:r>
    </w:p>
    <w:p w14:paraId="5371B809" w14:textId="77777777" w:rsidR="00A341FE" w:rsidRPr="00A043B2" w:rsidRDefault="00A341FE" w:rsidP="00A341FE">
      <w:pPr>
        <w:pStyle w:val="ListBullet"/>
        <w:ind w:left="1170"/>
      </w:pPr>
      <w:r w:rsidRPr="00A043B2">
        <w:t>Myocardial infarction within 6 months before Cycle 1, Day 1 or unstable or uncontrolled disease/condition related to or affecting cardiac function (e.g., unstable angina, congestive heart failure [New York Heart Association Class III or IV] [</w:t>
      </w:r>
      <w:r w:rsidRPr="00A043B2">
        <w:rPr>
          <w:rStyle w:val="AXRef"/>
        </w:rPr>
        <w:t>Appendix </w:t>
      </w:r>
      <w:r w:rsidRPr="00A043B2">
        <w:rPr>
          <w:rStyle w:val="AXRef"/>
        </w:rPr>
        <w:fldChar w:fldCharType="begin"/>
      </w:r>
      <w:r w:rsidRPr="00A043B2">
        <w:rPr>
          <w:rStyle w:val="AXRef"/>
        </w:rPr>
        <w:instrText xml:space="preserve"> REF _Ref529180531 \n \h  \* MERGEFORMAT </w:instrText>
      </w:r>
      <w:r w:rsidRPr="00A043B2">
        <w:rPr>
          <w:rStyle w:val="AXRef"/>
        </w:rPr>
      </w:r>
      <w:r w:rsidRPr="00A043B2">
        <w:rPr>
          <w:rStyle w:val="AXRef"/>
        </w:rPr>
        <w:fldChar w:fldCharType="separate"/>
      </w:r>
      <w:r>
        <w:rPr>
          <w:rStyle w:val="AXRef"/>
        </w:rPr>
        <w:t>26.2</w:t>
      </w:r>
      <w:r w:rsidRPr="00A043B2">
        <w:rPr>
          <w:rStyle w:val="AXRef"/>
        </w:rPr>
        <w:fldChar w:fldCharType="end"/>
      </w:r>
      <w:r w:rsidRPr="00A043B2">
        <w:t>])</w:t>
      </w:r>
    </w:p>
    <w:p w14:paraId="4CAE1898" w14:textId="77777777" w:rsidR="00A341FE" w:rsidRPr="00A043B2" w:rsidRDefault="00A341FE" w:rsidP="00A341FE">
      <w:pPr>
        <w:pStyle w:val="ListBullet"/>
        <w:ind w:left="1170"/>
      </w:pPr>
      <w:r w:rsidRPr="00A043B2">
        <w:t>Screening 12-lead ECG showing a Baseline average QT interval as corrected by Fridericia’s formula (</w:t>
      </w:r>
      <w:proofErr w:type="spellStart"/>
      <w:r w:rsidRPr="00A043B2">
        <w:t>QTcF</w:t>
      </w:r>
      <w:proofErr w:type="spellEnd"/>
      <w:r w:rsidRPr="00A043B2">
        <w:t>) &gt;470 msec.  Patients with left or right bundle branch block, where QT cannot be accurately assessed, will be allowed into the study with the approval of the Medical Monitor</w:t>
      </w:r>
    </w:p>
    <w:p w14:paraId="4DF26B91" w14:textId="77777777" w:rsidR="00A341FE" w:rsidRPr="00A043B2" w:rsidRDefault="00A341FE" w:rsidP="00A341FE">
      <w:pPr>
        <w:pStyle w:val="ListBullet"/>
        <w:ind w:left="1170"/>
      </w:pPr>
      <w:r w:rsidRPr="00A043B2">
        <w:t>Left ventricular ejection fraction (LVEF) &lt;40%</w:t>
      </w:r>
    </w:p>
    <w:p w14:paraId="6815662D" w14:textId="77777777" w:rsidR="00A341FE" w:rsidRPr="00A043B2" w:rsidRDefault="00A341FE" w:rsidP="00A341FE">
      <w:pPr>
        <w:pStyle w:val="ListNumber"/>
      </w:pPr>
      <w:r w:rsidRPr="00A043B2">
        <w:t>Known dysphagia, short-gut syndrome, gastroparesis, or other conditions that limit the ingestion or gastrointestinal absorption of drugs administered orally</w:t>
      </w:r>
    </w:p>
    <w:p w14:paraId="17FDB7A6" w14:textId="77777777" w:rsidR="00A341FE" w:rsidRPr="00A043B2" w:rsidRDefault="00A341FE" w:rsidP="00A341FE">
      <w:pPr>
        <w:pStyle w:val="ListNumber"/>
      </w:pPr>
      <w:r w:rsidRPr="00A043B2">
        <w:t>Any other concurrent medical condition or disease that is likely to interfere with study procedures or results, or that, in the opinion of the Investigator, would constitute a hazard for participating in this study</w:t>
      </w:r>
    </w:p>
    <w:p w14:paraId="7B7B12F9" w14:textId="77777777" w:rsidR="00A341FE" w:rsidRPr="00A043B2" w:rsidRDefault="00A341FE" w:rsidP="00A341FE">
      <w:pPr>
        <w:pStyle w:val="ListNumber"/>
      </w:pPr>
      <w:r w:rsidRPr="00A043B2">
        <w:t>If female, pregnant or breastfeeding</w:t>
      </w:r>
    </w:p>
    <w:bookmarkEnd w:id="12"/>
    <w:bookmarkEnd w:id="32"/>
    <w:bookmarkEnd w:id="33"/>
    <w:bookmarkEnd w:id="34"/>
    <w:bookmarkEnd w:id="35"/>
    <w:bookmarkEnd w:id="36"/>
    <w:p w14:paraId="0E49CF92" w14:textId="05A0A0A6" w:rsidR="00A70687" w:rsidRPr="009E6DB1" w:rsidRDefault="00A70687" w:rsidP="009E6DB1">
      <w:pPr>
        <w:rPr>
          <w:sz w:val="24"/>
          <w:szCs w:val="24"/>
        </w:rPr>
      </w:pPr>
    </w:p>
    <w:sectPr w:rsidR="00A70687" w:rsidRPr="009E6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0000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84842"/>
    <w:multiLevelType w:val="multilevel"/>
    <w:tmpl w:val="2E280662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pStyle w:val="ListBullet3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pStyle w:val="ListBullet4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pStyle w:val="ListBullet5"/>
      <w:lvlText w:val="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9E73664"/>
    <w:multiLevelType w:val="multilevel"/>
    <w:tmpl w:val="B262EF1E"/>
    <w:lvl w:ilvl="0">
      <w:start w:val="1"/>
      <w:numFmt w:val="decimal"/>
      <w:pStyle w:val="Heading1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2520"/>
        </w:tabs>
        <w:ind w:left="2520" w:hanging="25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2880"/>
        </w:tabs>
        <w:ind w:left="2880" w:hanging="28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3240"/>
        </w:tabs>
        <w:ind w:left="3240" w:hanging="324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40251C83"/>
    <w:multiLevelType w:val="multilevel"/>
    <w:tmpl w:val="DC8C89CA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3">
      <w:start w:val="1"/>
      <w:numFmt w:val="decimal"/>
      <w:pStyle w:val="ListNumber4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4">
      <w:start w:val="1"/>
      <w:numFmt w:val="lowerLetter"/>
      <w:pStyle w:val="ListNumber5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47F12932"/>
    <w:multiLevelType w:val="hybridMultilevel"/>
    <w:tmpl w:val="A05A1288"/>
    <w:lvl w:ilvl="0" w:tplc="F65CA878">
      <w:start w:val="477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642190">
    <w:abstractNumId w:val="3"/>
  </w:num>
  <w:num w:numId="2" w16cid:durableId="718364253">
    <w:abstractNumId w:val="1"/>
  </w:num>
  <w:num w:numId="3" w16cid:durableId="1103107626">
    <w:abstractNumId w:val="0"/>
  </w:num>
  <w:num w:numId="4" w16cid:durableId="788746089">
    <w:abstractNumId w:val="2"/>
  </w:num>
  <w:num w:numId="5" w16cid:durableId="18725741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6874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164"/>
    <w:rsid w:val="000249F7"/>
    <w:rsid w:val="0006133A"/>
    <w:rsid w:val="000A6180"/>
    <w:rsid w:val="000E5E7E"/>
    <w:rsid w:val="001E2B39"/>
    <w:rsid w:val="002C7F87"/>
    <w:rsid w:val="00317FDC"/>
    <w:rsid w:val="004A7D06"/>
    <w:rsid w:val="004F19F5"/>
    <w:rsid w:val="00532567"/>
    <w:rsid w:val="00533286"/>
    <w:rsid w:val="00675ACC"/>
    <w:rsid w:val="006B2158"/>
    <w:rsid w:val="00707EF9"/>
    <w:rsid w:val="00723609"/>
    <w:rsid w:val="008163EC"/>
    <w:rsid w:val="00835434"/>
    <w:rsid w:val="00880B39"/>
    <w:rsid w:val="00891467"/>
    <w:rsid w:val="008C09BC"/>
    <w:rsid w:val="00947BF5"/>
    <w:rsid w:val="009C324A"/>
    <w:rsid w:val="009E6DB1"/>
    <w:rsid w:val="00A341FE"/>
    <w:rsid w:val="00A70687"/>
    <w:rsid w:val="00AD4602"/>
    <w:rsid w:val="00B12A34"/>
    <w:rsid w:val="00C272CC"/>
    <w:rsid w:val="00C83F53"/>
    <w:rsid w:val="00D33F81"/>
    <w:rsid w:val="00D47CA0"/>
    <w:rsid w:val="00DA7834"/>
    <w:rsid w:val="00E16E0F"/>
    <w:rsid w:val="00EE44F6"/>
    <w:rsid w:val="00EF179A"/>
    <w:rsid w:val="00F65164"/>
    <w:rsid w:val="00FB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2F929B"/>
  <w15:chartTrackingRefBased/>
  <w15:docId w15:val="{D8DFEDD0-6EE6-45C6-A4F1-425987C1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BodyText"/>
    <w:next w:val="BodyText"/>
    <w:link w:val="Heading1Char"/>
    <w:qFormat/>
    <w:rsid w:val="00A341FE"/>
    <w:pPr>
      <w:keepNext/>
      <w:keepLines/>
      <w:pageBreakBefore/>
      <w:numPr>
        <w:numId w:val="2"/>
      </w:numPr>
      <w:outlineLvl w:val="0"/>
    </w:pPr>
    <w:rPr>
      <w:rFonts w:ascii="Times New Roman Bold" w:hAnsi="Times New Roman Bold"/>
      <w:b/>
      <w:bCs/>
      <w:caps/>
      <w:szCs w:val="28"/>
    </w:rPr>
  </w:style>
  <w:style w:type="paragraph" w:styleId="Heading2">
    <w:name w:val="heading 2"/>
    <w:basedOn w:val="BodyText"/>
    <w:next w:val="BodyText"/>
    <w:link w:val="Heading2Char"/>
    <w:qFormat/>
    <w:rsid w:val="00A341FE"/>
    <w:pPr>
      <w:keepNext/>
      <w:keepLines/>
      <w:numPr>
        <w:ilvl w:val="1"/>
        <w:numId w:val="2"/>
      </w:numPr>
      <w:outlineLvl w:val="1"/>
    </w:pPr>
    <w:rPr>
      <w:b/>
      <w:bCs/>
      <w:szCs w:val="26"/>
    </w:rPr>
  </w:style>
  <w:style w:type="paragraph" w:styleId="Heading3">
    <w:name w:val="heading 3"/>
    <w:basedOn w:val="BodyText"/>
    <w:next w:val="BodyText"/>
    <w:link w:val="Heading3Char"/>
    <w:qFormat/>
    <w:rsid w:val="00A341FE"/>
    <w:pPr>
      <w:keepNext/>
      <w:keepLines/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BodyText"/>
    <w:next w:val="BodyText"/>
    <w:link w:val="Heading4Char"/>
    <w:qFormat/>
    <w:rsid w:val="00A341FE"/>
    <w:pPr>
      <w:keepNext/>
      <w:keepLines/>
      <w:numPr>
        <w:ilvl w:val="3"/>
        <w:numId w:val="2"/>
      </w:numPr>
      <w:outlineLvl w:val="3"/>
    </w:pPr>
    <w:rPr>
      <w:b/>
      <w:bCs/>
      <w:iCs/>
    </w:rPr>
  </w:style>
  <w:style w:type="paragraph" w:styleId="Heading5">
    <w:name w:val="heading 5"/>
    <w:basedOn w:val="BodyText"/>
    <w:next w:val="BodyText"/>
    <w:link w:val="Heading5Char"/>
    <w:rsid w:val="00A341FE"/>
    <w:pPr>
      <w:keepNext/>
      <w:keepLines/>
      <w:numPr>
        <w:ilvl w:val="4"/>
        <w:numId w:val="2"/>
      </w:numPr>
      <w:outlineLvl w:val="4"/>
    </w:pPr>
    <w:rPr>
      <w:b/>
    </w:rPr>
  </w:style>
  <w:style w:type="paragraph" w:styleId="Heading6">
    <w:name w:val="heading 6"/>
    <w:basedOn w:val="BodyText"/>
    <w:next w:val="BodyText"/>
    <w:link w:val="Heading6Char"/>
    <w:rsid w:val="00A341FE"/>
    <w:pPr>
      <w:keepNext/>
      <w:keepLines/>
      <w:numPr>
        <w:ilvl w:val="5"/>
        <w:numId w:val="2"/>
      </w:numPr>
      <w:outlineLvl w:val="5"/>
    </w:pPr>
    <w:rPr>
      <w:b/>
      <w:iCs/>
    </w:rPr>
  </w:style>
  <w:style w:type="paragraph" w:styleId="Heading7">
    <w:name w:val="heading 7"/>
    <w:basedOn w:val="BodyText"/>
    <w:next w:val="BodyText"/>
    <w:link w:val="Heading7Char"/>
    <w:uiPriority w:val="1"/>
    <w:rsid w:val="00A341FE"/>
    <w:pPr>
      <w:keepNext/>
      <w:keepLines/>
      <w:numPr>
        <w:ilvl w:val="6"/>
        <w:numId w:val="2"/>
      </w:numPr>
      <w:outlineLvl w:val="6"/>
    </w:pPr>
    <w:rPr>
      <w:b/>
      <w:iCs/>
    </w:rPr>
  </w:style>
  <w:style w:type="paragraph" w:styleId="Heading8">
    <w:name w:val="heading 8"/>
    <w:aliases w:val="DO NOT USE"/>
    <w:basedOn w:val="BodyText"/>
    <w:next w:val="BodyText"/>
    <w:link w:val="Heading8Char"/>
    <w:uiPriority w:val="1"/>
    <w:rsid w:val="00A341FE"/>
    <w:pPr>
      <w:keepNext/>
      <w:numPr>
        <w:ilvl w:val="7"/>
        <w:numId w:val="2"/>
      </w:numPr>
      <w:outlineLvl w:val="7"/>
    </w:pPr>
    <w:rPr>
      <w:b/>
    </w:rPr>
  </w:style>
  <w:style w:type="paragraph" w:styleId="Heading9">
    <w:name w:val="heading 9"/>
    <w:aliases w:val="DON'T USE"/>
    <w:basedOn w:val="BodyText"/>
    <w:next w:val="BodyText"/>
    <w:link w:val="Heading9Char"/>
    <w:uiPriority w:val="1"/>
    <w:rsid w:val="00A341FE"/>
    <w:pPr>
      <w:keepNext/>
      <w:keepLines/>
      <w:numPr>
        <w:ilvl w:val="8"/>
        <w:numId w:val="2"/>
      </w:numPr>
      <w:outlineLvl w:val="8"/>
    </w:pPr>
    <w:rPr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5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F1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stTable3">
    <w:name w:val="List Table 3"/>
    <w:basedOn w:val="TableNormal"/>
    <w:uiPriority w:val="48"/>
    <w:rsid w:val="008C09B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6B215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9E6D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341FE"/>
    <w:rPr>
      <w:rFonts w:ascii="Times New Roman Bold" w:eastAsia="Times New Roman" w:hAnsi="Times New Roman Bold" w:cs="Times New Roman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A341FE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A341F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A341FE"/>
    <w:rPr>
      <w:rFonts w:ascii="Times New Roman" w:eastAsia="Times New Roman" w:hAnsi="Times New Roman" w:cs="Times New Roman"/>
      <w:b/>
      <w:bCs/>
      <w:iCs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A341F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A341FE"/>
    <w:rPr>
      <w:rFonts w:ascii="Times New Roman" w:eastAsia="Times New Roman" w:hAnsi="Times New Roman" w:cs="Times New Roman"/>
      <w:b/>
      <w:iCs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1"/>
    <w:rsid w:val="00A341FE"/>
    <w:rPr>
      <w:rFonts w:ascii="Times New Roman" w:eastAsia="Times New Roman" w:hAnsi="Times New Roman" w:cs="Times New Roman"/>
      <w:b/>
      <w:iCs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1"/>
    <w:rsid w:val="00A341F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1"/>
    <w:rsid w:val="00A341FE"/>
    <w:rPr>
      <w:rFonts w:ascii="Times New Roman" w:eastAsia="Times New Roman" w:hAnsi="Times New Roman" w:cs="Times New Roman"/>
      <w:b/>
      <w:iCs/>
      <w:sz w:val="24"/>
      <w:szCs w:val="20"/>
    </w:rPr>
  </w:style>
  <w:style w:type="paragraph" w:styleId="BodyText">
    <w:name w:val="Body Text"/>
    <w:link w:val="BodyTextChar"/>
    <w:qFormat/>
    <w:rsid w:val="00A341FE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341FE"/>
    <w:rPr>
      <w:rFonts w:ascii="Times New Roman" w:eastAsia="Times New Roman" w:hAnsi="Times New Roman" w:cs="Times New Roman"/>
      <w:sz w:val="24"/>
      <w:szCs w:val="20"/>
    </w:rPr>
  </w:style>
  <w:style w:type="paragraph" w:styleId="ListBullet">
    <w:name w:val="List Bullet"/>
    <w:basedOn w:val="BodyText"/>
    <w:qFormat/>
    <w:rsid w:val="00A341FE"/>
    <w:pPr>
      <w:numPr>
        <w:numId w:val="3"/>
      </w:numPr>
      <w:contextualSpacing/>
    </w:pPr>
  </w:style>
  <w:style w:type="paragraph" w:styleId="ListNumber">
    <w:name w:val="List Number"/>
    <w:basedOn w:val="BodyText"/>
    <w:qFormat/>
    <w:rsid w:val="00A341FE"/>
    <w:pPr>
      <w:numPr>
        <w:numId w:val="4"/>
      </w:numPr>
      <w:contextualSpacing/>
    </w:pPr>
  </w:style>
  <w:style w:type="character" w:customStyle="1" w:styleId="AXRef">
    <w:name w:val="AXRef"/>
    <w:uiPriority w:val="1"/>
    <w:qFormat/>
    <w:rsid w:val="00A341FE"/>
    <w:rPr>
      <w:color w:val="0000FF"/>
    </w:rPr>
  </w:style>
  <w:style w:type="paragraph" w:styleId="ListBullet3">
    <w:name w:val="List Bullet 3"/>
    <w:basedOn w:val="BodyText"/>
    <w:rsid w:val="00A341FE"/>
    <w:pPr>
      <w:numPr>
        <w:ilvl w:val="2"/>
        <w:numId w:val="3"/>
      </w:numPr>
      <w:tabs>
        <w:tab w:val="clear" w:pos="1080"/>
      </w:tabs>
      <w:ind w:left="1440"/>
      <w:contextualSpacing/>
    </w:pPr>
  </w:style>
  <w:style w:type="paragraph" w:styleId="ListBullet4">
    <w:name w:val="List Bullet 4"/>
    <w:basedOn w:val="BodyText"/>
    <w:rsid w:val="00A341FE"/>
    <w:pPr>
      <w:numPr>
        <w:ilvl w:val="3"/>
        <w:numId w:val="3"/>
      </w:numPr>
      <w:contextualSpacing/>
    </w:pPr>
  </w:style>
  <w:style w:type="paragraph" w:styleId="ListBullet5">
    <w:name w:val="List Bullet 5"/>
    <w:basedOn w:val="BodyText"/>
    <w:rsid w:val="00A341FE"/>
    <w:pPr>
      <w:numPr>
        <w:ilvl w:val="4"/>
        <w:numId w:val="3"/>
      </w:numPr>
      <w:contextualSpacing/>
    </w:pPr>
  </w:style>
  <w:style w:type="paragraph" w:styleId="ListNumber2">
    <w:name w:val="List Number 2"/>
    <w:basedOn w:val="BodyText"/>
    <w:rsid w:val="00A341FE"/>
    <w:pPr>
      <w:numPr>
        <w:ilvl w:val="1"/>
        <w:numId w:val="4"/>
      </w:numPr>
      <w:contextualSpacing/>
    </w:pPr>
  </w:style>
  <w:style w:type="paragraph" w:styleId="ListNumber3">
    <w:name w:val="List Number 3"/>
    <w:basedOn w:val="BodyText"/>
    <w:rsid w:val="00A341FE"/>
    <w:pPr>
      <w:numPr>
        <w:ilvl w:val="2"/>
        <w:numId w:val="4"/>
      </w:numPr>
      <w:contextualSpacing/>
    </w:pPr>
  </w:style>
  <w:style w:type="paragraph" w:styleId="ListNumber4">
    <w:name w:val="List Number 4"/>
    <w:basedOn w:val="BodyText"/>
    <w:rsid w:val="00A341FE"/>
    <w:pPr>
      <w:numPr>
        <w:ilvl w:val="3"/>
        <w:numId w:val="4"/>
      </w:numPr>
      <w:contextualSpacing/>
    </w:pPr>
  </w:style>
  <w:style w:type="paragraph" w:styleId="ListNumber5">
    <w:name w:val="List Number 5"/>
    <w:basedOn w:val="BodyText"/>
    <w:rsid w:val="00A341FE"/>
    <w:pPr>
      <w:numPr>
        <w:ilvl w:val="4"/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7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1112</Words>
  <Characters>6750</Characters>
  <Application>Microsoft Office Word</Application>
  <DocSecurity>0</DocSecurity>
  <Lines>173</Lines>
  <Paragraphs>92</Paragraphs>
  <ScaleCrop>false</ScaleCrop>
  <Company/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Ball MD</dc:creator>
  <cp:keywords/>
  <dc:description/>
  <cp:lastModifiedBy>Brian Ball MD</cp:lastModifiedBy>
  <cp:revision>6</cp:revision>
  <dcterms:created xsi:type="dcterms:W3CDTF">2025-02-19T15:17:00Z</dcterms:created>
  <dcterms:modified xsi:type="dcterms:W3CDTF">2025-02-25T16:46:00Z</dcterms:modified>
</cp:coreProperties>
</file>