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E9E77" w14:textId="752E1A38" w:rsidR="00DB6F5D" w:rsidRPr="00EE7C35" w:rsidRDefault="00DB6F5D" w:rsidP="003D1A8C">
      <w:pPr>
        <w:spacing w:line="480" w:lineRule="auto"/>
        <w:jc w:val="both"/>
        <w:rPr>
          <w:rFonts w:ascii="Times New Roman" w:hAnsi="Times New Roman" w:cs="Times New Roman"/>
          <w:b/>
          <w:bCs/>
        </w:rPr>
      </w:pPr>
      <w:r w:rsidRPr="00EE7C35">
        <w:rPr>
          <w:rFonts w:ascii="Times New Roman" w:hAnsi="Times New Roman" w:cs="Times New Roman"/>
          <w:b/>
          <w:bCs/>
        </w:rPr>
        <w:t>Additional File 1</w:t>
      </w:r>
    </w:p>
    <w:p w14:paraId="3858604D" w14:textId="35C77CDB" w:rsidR="00DB6F5D" w:rsidRPr="00EE7C35" w:rsidRDefault="00DB6F5D" w:rsidP="00DB6F5D">
      <w:pPr>
        <w:pStyle w:val="ListParagraph"/>
        <w:numPr>
          <w:ilvl w:val="0"/>
          <w:numId w:val="1"/>
        </w:numPr>
        <w:spacing w:line="480" w:lineRule="auto"/>
        <w:jc w:val="both"/>
        <w:rPr>
          <w:rFonts w:ascii="Times New Roman" w:hAnsi="Times New Roman" w:cs="Times New Roman"/>
        </w:rPr>
      </w:pPr>
      <w:r w:rsidRPr="00EE7C35">
        <w:rPr>
          <w:rFonts w:ascii="Times New Roman" w:hAnsi="Times New Roman" w:cs="Times New Roman"/>
          <w:b/>
          <w:bCs/>
        </w:rPr>
        <w:t>Supplemental material and methods:</w:t>
      </w:r>
      <w:r w:rsidRPr="00EE7C35">
        <w:rPr>
          <w:rFonts w:ascii="Times New Roman" w:hAnsi="Times New Roman" w:cs="Times New Roman"/>
        </w:rPr>
        <w:t xml:space="preserve"> Page 1-</w:t>
      </w:r>
      <w:r w:rsidR="00EE7C35">
        <w:rPr>
          <w:rFonts w:ascii="Times New Roman" w:hAnsi="Times New Roman" w:cs="Times New Roman"/>
        </w:rPr>
        <w:t>5</w:t>
      </w:r>
      <w:r w:rsidR="00ED7FFA" w:rsidRPr="00EE7C35">
        <w:rPr>
          <w:rFonts w:ascii="Times New Roman" w:hAnsi="Times New Roman" w:cs="Times New Roman"/>
        </w:rPr>
        <w:t xml:space="preserve"> </w:t>
      </w:r>
    </w:p>
    <w:p w14:paraId="47AFA737" w14:textId="15425332" w:rsidR="00DB6F5D" w:rsidRPr="00EE7C35" w:rsidRDefault="00DB6F5D" w:rsidP="00DB6F5D">
      <w:pPr>
        <w:pStyle w:val="ListParagraph"/>
        <w:numPr>
          <w:ilvl w:val="0"/>
          <w:numId w:val="1"/>
        </w:numPr>
        <w:spacing w:line="480" w:lineRule="auto"/>
        <w:jc w:val="both"/>
        <w:rPr>
          <w:rFonts w:ascii="Times New Roman" w:hAnsi="Times New Roman" w:cs="Times New Roman"/>
          <w:color w:val="EE0000"/>
        </w:rPr>
      </w:pPr>
      <w:r w:rsidRPr="00EE7C35">
        <w:rPr>
          <w:rFonts w:ascii="Times New Roman" w:hAnsi="Times New Roman" w:cs="Times New Roman"/>
          <w:b/>
          <w:bCs/>
        </w:rPr>
        <w:t>Supplementary Tables:</w:t>
      </w:r>
      <w:r w:rsidRPr="00EE7C35">
        <w:rPr>
          <w:rFonts w:ascii="Times New Roman" w:hAnsi="Times New Roman" w:cs="Times New Roman"/>
        </w:rPr>
        <w:t xml:space="preserve"> Page </w:t>
      </w:r>
      <w:r w:rsidR="00EE7C35">
        <w:rPr>
          <w:rFonts w:ascii="Times New Roman" w:hAnsi="Times New Roman" w:cs="Times New Roman"/>
        </w:rPr>
        <w:t>6</w:t>
      </w:r>
      <w:r w:rsidRPr="00EE7C35">
        <w:rPr>
          <w:rFonts w:ascii="Times New Roman" w:hAnsi="Times New Roman" w:cs="Times New Roman"/>
        </w:rPr>
        <w:t>-</w:t>
      </w:r>
      <w:r w:rsidR="00EE7C35">
        <w:rPr>
          <w:rFonts w:ascii="Times New Roman" w:hAnsi="Times New Roman" w:cs="Times New Roman"/>
        </w:rPr>
        <w:t>7</w:t>
      </w:r>
    </w:p>
    <w:p w14:paraId="7F75A1D3" w14:textId="06DF10F7" w:rsidR="00DB6F5D" w:rsidRDefault="00DB6F5D" w:rsidP="003D1A8C">
      <w:pPr>
        <w:pStyle w:val="ListParagraph"/>
        <w:numPr>
          <w:ilvl w:val="0"/>
          <w:numId w:val="1"/>
        </w:numPr>
        <w:spacing w:line="480" w:lineRule="auto"/>
        <w:jc w:val="both"/>
        <w:rPr>
          <w:rFonts w:ascii="Times New Roman" w:hAnsi="Times New Roman" w:cs="Times New Roman"/>
        </w:rPr>
      </w:pPr>
      <w:r w:rsidRPr="00EE7C35">
        <w:rPr>
          <w:rFonts w:ascii="Times New Roman" w:hAnsi="Times New Roman" w:cs="Times New Roman"/>
          <w:b/>
          <w:bCs/>
        </w:rPr>
        <w:t>Supplementary Figure Legends:</w:t>
      </w:r>
      <w:r w:rsidR="00ED7FFA" w:rsidRPr="00EE7C35">
        <w:rPr>
          <w:rFonts w:ascii="Times New Roman" w:hAnsi="Times New Roman" w:cs="Times New Roman"/>
          <w:b/>
          <w:bCs/>
        </w:rPr>
        <w:t xml:space="preserve"> </w:t>
      </w:r>
      <w:r w:rsidRPr="00EE7C35">
        <w:rPr>
          <w:rFonts w:ascii="Times New Roman" w:hAnsi="Times New Roman" w:cs="Times New Roman"/>
        </w:rPr>
        <w:t xml:space="preserve">Page </w:t>
      </w:r>
      <w:r w:rsidR="0076391C">
        <w:rPr>
          <w:rFonts w:ascii="Times New Roman" w:hAnsi="Times New Roman" w:cs="Times New Roman"/>
        </w:rPr>
        <w:t>7</w:t>
      </w:r>
      <w:r w:rsidRPr="00EE7C35">
        <w:rPr>
          <w:rFonts w:ascii="Times New Roman" w:hAnsi="Times New Roman" w:cs="Times New Roman"/>
        </w:rPr>
        <w:t>~</w:t>
      </w:r>
      <w:r w:rsidR="00ED7FFA" w:rsidRPr="00EE7C35">
        <w:rPr>
          <w:rFonts w:ascii="Times New Roman" w:hAnsi="Times New Roman" w:cs="Times New Roman"/>
        </w:rPr>
        <w:t>1</w:t>
      </w:r>
      <w:r w:rsidR="0076391C">
        <w:rPr>
          <w:rFonts w:ascii="Times New Roman" w:hAnsi="Times New Roman" w:cs="Times New Roman"/>
        </w:rPr>
        <w:t>1</w:t>
      </w:r>
    </w:p>
    <w:p w14:paraId="3F9A5869" w14:textId="77777777" w:rsidR="00EE7C35" w:rsidRPr="00EE7C35" w:rsidRDefault="00EE7C35" w:rsidP="00EE7C35">
      <w:pPr>
        <w:pStyle w:val="ListParagraph"/>
        <w:spacing w:line="480" w:lineRule="auto"/>
        <w:ind w:left="450"/>
        <w:jc w:val="both"/>
        <w:rPr>
          <w:rFonts w:ascii="Times New Roman" w:hAnsi="Times New Roman" w:cs="Times New Roman"/>
        </w:rPr>
      </w:pPr>
    </w:p>
    <w:p w14:paraId="4B58AC5E" w14:textId="283361FD" w:rsidR="00CE0A81" w:rsidRPr="00EE7C35" w:rsidRDefault="00CE0A81" w:rsidP="00DB6F5D">
      <w:pPr>
        <w:pStyle w:val="ListParagraph"/>
        <w:numPr>
          <w:ilvl w:val="0"/>
          <w:numId w:val="2"/>
        </w:numPr>
        <w:spacing w:line="480" w:lineRule="auto"/>
        <w:jc w:val="both"/>
        <w:rPr>
          <w:rFonts w:ascii="Times New Roman" w:hAnsi="Times New Roman" w:cs="Times New Roman"/>
          <w:b/>
          <w:bCs/>
        </w:rPr>
      </w:pPr>
      <w:r w:rsidRPr="00EE7C35">
        <w:rPr>
          <w:rFonts w:ascii="Times New Roman" w:hAnsi="Times New Roman" w:cs="Times New Roman"/>
          <w:b/>
          <w:bCs/>
        </w:rPr>
        <w:t>Materials and Methods</w:t>
      </w:r>
    </w:p>
    <w:p w14:paraId="23D96CAA" w14:textId="77777777" w:rsidR="00CE0A81" w:rsidRPr="00EE7C35" w:rsidRDefault="00CE0A81" w:rsidP="003D1A8C">
      <w:pPr>
        <w:spacing w:line="480" w:lineRule="auto"/>
        <w:jc w:val="both"/>
        <w:rPr>
          <w:rFonts w:ascii="Times New Roman" w:hAnsi="Times New Roman" w:cs="Times New Roman"/>
          <w:b/>
          <w:bCs/>
        </w:rPr>
      </w:pPr>
      <w:r w:rsidRPr="00EE7C35">
        <w:rPr>
          <w:rFonts w:ascii="Times New Roman" w:hAnsi="Times New Roman" w:cs="Times New Roman"/>
          <w:b/>
          <w:bCs/>
        </w:rPr>
        <w:t>SIRPα Library Construction and Screening</w:t>
      </w:r>
    </w:p>
    <w:p w14:paraId="672A796A" w14:textId="4E40D453" w:rsidR="00CE0A81" w:rsidRPr="00EE7C35" w:rsidRDefault="00CE0A81" w:rsidP="003D1A8C">
      <w:pPr>
        <w:spacing w:line="480" w:lineRule="auto"/>
        <w:jc w:val="both"/>
        <w:rPr>
          <w:rFonts w:ascii="Times New Roman" w:hAnsi="Times New Roman" w:cs="Times New Roman"/>
        </w:rPr>
      </w:pPr>
      <w:r w:rsidRPr="00EE7C35">
        <w:rPr>
          <w:rFonts w:ascii="Times New Roman" w:hAnsi="Times New Roman" w:cs="Times New Roman"/>
        </w:rPr>
        <w:t xml:space="preserve">A combinatorial phage display library encoding amino acids 31–148 of the human SIRPα </w:t>
      </w:r>
      <w:proofErr w:type="spellStart"/>
      <w:r w:rsidRPr="00EE7C35">
        <w:rPr>
          <w:rFonts w:ascii="Times New Roman" w:hAnsi="Times New Roman" w:cs="Times New Roman"/>
        </w:rPr>
        <w:t>IgV</w:t>
      </w:r>
      <w:proofErr w:type="spellEnd"/>
      <w:r w:rsidRPr="00EE7C35">
        <w:rPr>
          <w:rFonts w:ascii="Times New Roman" w:hAnsi="Times New Roman" w:cs="Times New Roman"/>
        </w:rPr>
        <w:t xml:space="preserve"> domain (GenBank: CAA71403.1) was constructed using structure-guided mutagenesis targeting</w:t>
      </w:r>
      <w:r w:rsidRPr="00EE7C35">
        <w:rPr>
          <w:rFonts w:ascii="Times New Roman" w:hAnsi="Times New Roman" w:cs="Times New Roman"/>
          <w:color w:val="2F5496" w:themeColor="accent1" w:themeShade="BF"/>
        </w:rPr>
        <w:t xml:space="preserve"> </w:t>
      </w:r>
      <w:r w:rsidR="004C76EF" w:rsidRPr="00EE7C35">
        <w:rPr>
          <w:rFonts w:ascii="Times New Roman" w:hAnsi="Times New Roman" w:cs="Times New Roman"/>
          <w:color w:val="2F5496" w:themeColor="accent1" w:themeShade="BF"/>
        </w:rPr>
        <w:t xml:space="preserve">the </w:t>
      </w:r>
      <w:r w:rsidRPr="00EE7C35">
        <w:rPr>
          <w:rFonts w:ascii="Times New Roman" w:hAnsi="Times New Roman" w:cs="Times New Roman"/>
        </w:rPr>
        <w:t>BC</w:t>
      </w:r>
      <w:r w:rsidR="00A57151" w:rsidRPr="00EE7C35">
        <w:rPr>
          <w:rFonts w:ascii="Times New Roman" w:hAnsi="Times New Roman" w:cs="Times New Roman"/>
        </w:rPr>
        <w:t xml:space="preserve"> (24-3</w:t>
      </w:r>
      <w:r w:rsidR="00D41103" w:rsidRPr="00EE7C35">
        <w:rPr>
          <w:rFonts w:ascii="Times New Roman" w:hAnsi="Times New Roman" w:cs="Times New Roman"/>
        </w:rPr>
        <w:t>2</w:t>
      </w:r>
      <w:r w:rsidR="007D3797" w:rsidRPr="00EE7C35">
        <w:rPr>
          <w:rFonts w:ascii="Times New Roman" w:hAnsi="Times New Roman" w:cs="Times New Roman"/>
        </w:rPr>
        <w:t xml:space="preserve"> </w:t>
      </w:r>
      <w:proofErr w:type="spellStart"/>
      <w:r w:rsidR="007D3797" w:rsidRPr="00EE7C35">
        <w:rPr>
          <w:rFonts w:ascii="Times New Roman" w:hAnsi="Times New Roman" w:cs="Times New Roman"/>
        </w:rPr>
        <w:t>a.a.</w:t>
      </w:r>
      <w:proofErr w:type="spellEnd"/>
      <w:r w:rsidR="00A57151" w:rsidRPr="00EE7C35">
        <w:rPr>
          <w:rFonts w:ascii="Times New Roman" w:hAnsi="Times New Roman" w:cs="Times New Roman"/>
        </w:rPr>
        <w:t>)</w:t>
      </w:r>
      <w:r w:rsidRPr="00EE7C35">
        <w:rPr>
          <w:rFonts w:ascii="Times New Roman" w:hAnsi="Times New Roman" w:cs="Times New Roman"/>
        </w:rPr>
        <w:t>, C’D</w:t>
      </w:r>
      <w:r w:rsidR="00A57151" w:rsidRPr="00EE7C35">
        <w:rPr>
          <w:rFonts w:ascii="Times New Roman" w:hAnsi="Times New Roman" w:cs="Times New Roman"/>
        </w:rPr>
        <w:t xml:space="preserve"> (54-56</w:t>
      </w:r>
      <w:r w:rsidR="007D3797" w:rsidRPr="00EE7C35">
        <w:rPr>
          <w:rFonts w:ascii="Times New Roman" w:hAnsi="Times New Roman" w:cs="Times New Roman"/>
        </w:rPr>
        <w:t xml:space="preserve"> </w:t>
      </w:r>
      <w:proofErr w:type="spellStart"/>
      <w:r w:rsidR="007D3797" w:rsidRPr="00EE7C35">
        <w:rPr>
          <w:rFonts w:ascii="Times New Roman" w:hAnsi="Times New Roman" w:cs="Times New Roman"/>
        </w:rPr>
        <w:t>a.a.</w:t>
      </w:r>
      <w:proofErr w:type="spellEnd"/>
      <w:r w:rsidR="00A57151" w:rsidRPr="00EE7C35">
        <w:rPr>
          <w:rFonts w:ascii="Times New Roman" w:hAnsi="Times New Roman" w:cs="Times New Roman"/>
        </w:rPr>
        <w:t>)</w:t>
      </w:r>
      <w:r w:rsidRPr="00EE7C35">
        <w:rPr>
          <w:rFonts w:ascii="Times New Roman" w:hAnsi="Times New Roman" w:cs="Times New Roman"/>
        </w:rPr>
        <w:t>, and DE loops</w:t>
      </w:r>
      <w:r w:rsidR="00D41103" w:rsidRPr="00EE7C35">
        <w:rPr>
          <w:rFonts w:ascii="Times New Roman" w:hAnsi="Times New Roman" w:cs="Times New Roman"/>
        </w:rPr>
        <w:t xml:space="preserve"> (66-73</w:t>
      </w:r>
      <w:r w:rsidR="007D3797" w:rsidRPr="00EE7C35">
        <w:rPr>
          <w:rFonts w:ascii="Times New Roman" w:hAnsi="Times New Roman" w:cs="Times New Roman"/>
        </w:rPr>
        <w:t xml:space="preserve"> </w:t>
      </w:r>
      <w:proofErr w:type="spellStart"/>
      <w:r w:rsidR="007D3797" w:rsidRPr="00EE7C35">
        <w:rPr>
          <w:rFonts w:ascii="Times New Roman" w:hAnsi="Times New Roman" w:cs="Times New Roman"/>
        </w:rPr>
        <w:t>a.a.</w:t>
      </w:r>
      <w:proofErr w:type="spellEnd"/>
      <w:r w:rsidR="00D41103" w:rsidRPr="00EE7C35">
        <w:rPr>
          <w:rFonts w:ascii="Times New Roman" w:hAnsi="Times New Roman" w:cs="Times New Roman"/>
        </w:rPr>
        <w:t>)</w:t>
      </w:r>
      <w:r w:rsidR="00A57151" w:rsidRPr="00EE7C35">
        <w:rPr>
          <w:rFonts w:ascii="Times New Roman" w:hAnsi="Times New Roman" w:cs="Times New Roman"/>
        </w:rPr>
        <w:t xml:space="preserve">, which </w:t>
      </w:r>
      <w:r w:rsidR="004C76EF" w:rsidRPr="00EE7C35">
        <w:rPr>
          <w:rFonts w:ascii="Times New Roman" w:hAnsi="Times New Roman" w:cs="Times New Roman"/>
        </w:rPr>
        <w:t xml:space="preserve">comprise </w:t>
      </w:r>
      <w:r w:rsidR="00A57151" w:rsidRPr="00EE7C35">
        <w:rPr>
          <w:rFonts w:ascii="Times New Roman" w:hAnsi="Times New Roman" w:cs="Times New Roman"/>
        </w:rPr>
        <w:t xml:space="preserve">the </w:t>
      </w:r>
      <w:r w:rsidR="00D41103" w:rsidRPr="00EE7C35">
        <w:rPr>
          <w:rFonts w:ascii="Times New Roman" w:hAnsi="Times New Roman" w:cs="Times New Roman"/>
        </w:rPr>
        <w:t>interact</w:t>
      </w:r>
      <w:r w:rsidR="004C76EF" w:rsidRPr="00EE7C35">
        <w:rPr>
          <w:rFonts w:ascii="Times New Roman" w:hAnsi="Times New Roman" w:cs="Times New Roman"/>
        </w:rPr>
        <w:t>ion</w:t>
      </w:r>
      <w:r w:rsidR="00D41103" w:rsidRPr="00EE7C35">
        <w:rPr>
          <w:rFonts w:ascii="Times New Roman" w:hAnsi="Times New Roman" w:cs="Times New Roman"/>
        </w:rPr>
        <w:t xml:space="preserve"> </w:t>
      </w:r>
      <w:r w:rsidR="00A57151" w:rsidRPr="00EE7C35">
        <w:rPr>
          <w:rFonts w:ascii="Times New Roman" w:hAnsi="Times New Roman" w:cs="Times New Roman"/>
        </w:rPr>
        <w:t>interface</w:t>
      </w:r>
      <w:r w:rsidR="00D41103" w:rsidRPr="00EE7C35">
        <w:rPr>
          <w:rFonts w:ascii="Times New Roman" w:hAnsi="Times New Roman" w:cs="Times New Roman"/>
        </w:rPr>
        <w:t xml:space="preserve"> </w:t>
      </w:r>
      <w:r w:rsidR="008F3791" w:rsidRPr="00EE7C35">
        <w:rPr>
          <w:rFonts w:ascii="Times New Roman" w:hAnsi="Times New Roman" w:cs="Times New Roman"/>
        </w:rPr>
        <w:t>with</w:t>
      </w:r>
      <w:r w:rsidR="00D41103" w:rsidRPr="00EE7C35">
        <w:rPr>
          <w:rFonts w:ascii="Times New Roman" w:hAnsi="Times New Roman" w:cs="Times New Roman"/>
        </w:rPr>
        <w:t xml:space="preserve"> </w:t>
      </w:r>
      <w:r w:rsidR="00A57151" w:rsidRPr="00EE7C35">
        <w:rPr>
          <w:rFonts w:ascii="Times New Roman" w:hAnsi="Times New Roman" w:cs="Times New Roman"/>
        </w:rPr>
        <w:t>CD47</w:t>
      </w:r>
      <w:r w:rsidRPr="00EE7C35">
        <w:rPr>
          <w:rFonts w:ascii="Times New Roman" w:hAnsi="Times New Roman" w:cs="Times New Roman"/>
        </w:rPr>
        <w:t>.</w:t>
      </w:r>
      <w:r w:rsidR="00D41103" w:rsidRPr="00EE7C35">
        <w:rPr>
          <w:rFonts w:ascii="Times New Roman" w:hAnsi="Times New Roman" w:cs="Times New Roman"/>
        </w:rPr>
        <w:t xml:space="preserve">  </w:t>
      </w:r>
      <w:r w:rsidRPr="00EE7C35">
        <w:rPr>
          <w:rFonts w:ascii="Times New Roman" w:hAnsi="Times New Roman" w:cs="Times New Roman"/>
        </w:rPr>
        <w:t xml:space="preserve">Mutated fragments were assembled via PCR and cloned into the </w:t>
      </w:r>
      <w:proofErr w:type="spellStart"/>
      <w:r w:rsidRPr="00EE7C35">
        <w:rPr>
          <w:rFonts w:ascii="Times New Roman" w:hAnsi="Times New Roman" w:cs="Times New Roman"/>
        </w:rPr>
        <w:t>pADL</w:t>
      </w:r>
      <w:proofErr w:type="spellEnd"/>
      <w:r w:rsidRPr="00EE7C35">
        <w:rPr>
          <w:rFonts w:ascii="Times New Roman" w:hAnsi="Times New Roman" w:cs="Times New Roman"/>
        </w:rPr>
        <w:t>™-23c vector. The library, with an estimated diversity of 1.98 × 10⁸ variants, was transformed into </w:t>
      </w:r>
      <w:r w:rsidRPr="00EE7C35">
        <w:rPr>
          <w:rFonts w:ascii="Times New Roman" w:hAnsi="Times New Roman" w:cs="Times New Roman"/>
          <w:i/>
          <w:iCs/>
        </w:rPr>
        <w:t>E. coli</w:t>
      </w:r>
      <w:r w:rsidRPr="00EE7C35">
        <w:rPr>
          <w:rFonts w:ascii="Times New Roman" w:hAnsi="Times New Roman" w:cs="Times New Roman"/>
        </w:rPr>
        <w:t> TG1 cells by electroporation.</w:t>
      </w:r>
    </w:p>
    <w:p w14:paraId="6380D888" w14:textId="77777777" w:rsidR="00CE0A81" w:rsidRPr="00EE7C35" w:rsidRDefault="00CE0A81" w:rsidP="003D1A8C">
      <w:pPr>
        <w:spacing w:line="480" w:lineRule="auto"/>
        <w:jc w:val="both"/>
        <w:rPr>
          <w:rFonts w:ascii="Times New Roman" w:hAnsi="Times New Roman" w:cs="Times New Roman"/>
          <w:b/>
          <w:bCs/>
        </w:rPr>
      </w:pPr>
      <w:proofErr w:type="spellStart"/>
      <w:r w:rsidRPr="00EE7C35">
        <w:rPr>
          <w:rFonts w:ascii="Times New Roman" w:hAnsi="Times New Roman" w:cs="Times New Roman"/>
          <w:b/>
          <w:bCs/>
        </w:rPr>
        <w:t>Biopanning</w:t>
      </w:r>
      <w:proofErr w:type="spellEnd"/>
      <w:r w:rsidRPr="00EE7C35">
        <w:rPr>
          <w:rFonts w:ascii="Times New Roman" w:hAnsi="Times New Roman" w:cs="Times New Roman"/>
          <w:b/>
          <w:bCs/>
        </w:rPr>
        <w:t xml:space="preserve"> and Clone Selection</w:t>
      </w:r>
    </w:p>
    <w:p w14:paraId="60FFD15D" w14:textId="53FAF875" w:rsidR="00CE0A81" w:rsidRPr="00EE7C35" w:rsidRDefault="00CE0A81" w:rsidP="003D1A8C">
      <w:pPr>
        <w:spacing w:line="480" w:lineRule="auto"/>
        <w:jc w:val="both"/>
        <w:rPr>
          <w:rFonts w:ascii="Times New Roman" w:hAnsi="Times New Roman" w:cs="Times New Roman"/>
        </w:rPr>
      </w:pPr>
      <w:r w:rsidRPr="00EE7C35">
        <w:rPr>
          <w:rFonts w:ascii="Times New Roman" w:hAnsi="Times New Roman" w:cs="Times New Roman"/>
        </w:rPr>
        <w:t xml:space="preserve">Negative selection against human RBCs </w:t>
      </w:r>
      <w:r w:rsidR="008F082E" w:rsidRPr="00EE7C35">
        <w:rPr>
          <w:rFonts w:ascii="Times New Roman" w:hAnsi="Times New Roman" w:cs="Times New Roman"/>
        </w:rPr>
        <w:t xml:space="preserve">preceded </w:t>
      </w:r>
      <w:r w:rsidR="004C76EF" w:rsidRPr="00EE7C35">
        <w:rPr>
          <w:rFonts w:ascii="Times New Roman" w:hAnsi="Times New Roman" w:cs="Times New Roman"/>
        </w:rPr>
        <w:t xml:space="preserve">four </w:t>
      </w:r>
      <w:r w:rsidRPr="00EE7C35">
        <w:rPr>
          <w:rFonts w:ascii="Times New Roman" w:hAnsi="Times New Roman" w:cs="Times New Roman"/>
        </w:rPr>
        <w:t xml:space="preserve">rounds of positive selection using CD47-expressing Raji cells, recombinant CD47-Fc, and HCT116 cells. Enriched clones were amplified and screened via ELISA and ligand-blocking assays. Fifty-six </w:t>
      </w:r>
      <w:r w:rsidRPr="00EE7C35">
        <w:rPr>
          <w:rFonts w:ascii="Times New Roman" w:hAnsi="Times New Roman" w:cs="Times New Roman"/>
        </w:rPr>
        <w:lastRenderedPageBreak/>
        <w:t>clones underwent further characterization, including whole-cell binding, thermostability, and RBC interaction. Fourteen lead clones were selected for IgG4-Fc fusion.</w:t>
      </w:r>
      <w:r w:rsidR="00F434BF" w:rsidRPr="00EE7C35">
        <w:rPr>
          <w:rFonts w:ascii="Times New Roman" w:hAnsi="Times New Roman" w:cs="Times New Roman"/>
        </w:rPr>
        <w:t xml:space="preserve"> </w:t>
      </w:r>
      <w:r w:rsidR="004C76EF" w:rsidRPr="00EE7C35">
        <w:rPr>
          <w:rFonts w:ascii="Times New Roman" w:hAnsi="Times New Roman" w:cs="Times New Roman"/>
        </w:rPr>
        <w:t xml:space="preserve">Among </w:t>
      </w:r>
      <w:r w:rsidR="00F434BF" w:rsidRPr="00EE7C35">
        <w:rPr>
          <w:rFonts w:ascii="Times New Roman" w:hAnsi="Times New Roman" w:cs="Times New Roman"/>
        </w:rPr>
        <w:t xml:space="preserve">the </w:t>
      </w:r>
      <w:r w:rsidR="004C76EF" w:rsidRPr="00EE7C35">
        <w:rPr>
          <w:rFonts w:ascii="Times New Roman" w:hAnsi="Times New Roman" w:cs="Times New Roman"/>
        </w:rPr>
        <w:t xml:space="preserve">IgG4-Fc </w:t>
      </w:r>
      <w:r w:rsidR="00F434BF" w:rsidRPr="00EE7C35">
        <w:rPr>
          <w:rFonts w:ascii="Times New Roman" w:hAnsi="Times New Roman" w:cs="Times New Roman"/>
        </w:rPr>
        <w:t xml:space="preserve">clones, we further select </w:t>
      </w:r>
      <w:r w:rsidR="004C76EF" w:rsidRPr="00EE7C35">
        <w:rPr>
          <w:rFonts w:ascii="Times New Roman" w:hAnsi="Times New Roman" w:cs="Times New Roman"/>
        </w:rPr>
        <w:t xml:space="preserve">those with </w:t>
      </w:r>
      <w:r w:rsidR="00F434BF" w:rsidRPr="00EE7C35">
        <w:rPr>
          <w:rFonts w:ascii="Times New Roman" w:hAnsi="Times New Roman" w:cs="Times New Roman"/>
        </w:rPr>
        <w:t xml:space="preserve">significantly reduced affinity for CD47 and phagocytosis on </w:t>
      </w:r>
      <w:r w:rsidR="003D5033" w:rsidRPr="00EE7C35">
        <w:rPr>
          <w:rFonts w:ascii="Times New Roman" w:hAnsi="Times New Roman" w:cs="Times New Roman"/>
        </w:rPr>
        <w:t xml:space="preserve">human </w:t>
      </w:r>
      <w:r w:rsidR="00F434BF" w:rsidRPr="00EE7C35">
        <w:rPr>
          <w:rFonts w:ascii="Times New Roman" w:hAnsi="Times New Roman" w:cs="Times New Roman"/>
        </w:rPr>
        <w:t>RBCs</w:t>
      </w:r>
      <w:r w:rsidR="004C76EF" w:rsidRPr="00EE7C35">
        <w:rPr>
          <w:rFonts w:ascii="Times New Roman" w:hAnsi="Times New Roman" w:cs="Times New Roman"/>
        </w:rPr>
        <w:t xml:space="preserve">, while retaining </w:t>
      </w:r>
      <w:r w:rsidR="00F434BF" w:rsidRPr="00EE7C35">
        <w:rPr>
          <w:rFonts w:ascii="Times New Roman" w:hAnsi="Times New Roman" w:cs="Times New Roman"/>
        </w:rPr>
        <w:t>high-affinity binding and phagocytosis functional activity toward CD47 on tumor cells.</w:t>
      </w:r>
    </w:p>
    <w:p w14:paraId="510FD592" w14:textId="77777777" w:rsidR="00CE0A81" w:rsidRPr="00EE7C35" w:rsidRDefault="00CE0A81" w:rsidP="003D1A8C">
      <w:pPr>
        <w:spacing w:line="480" w:lineRule="auto"/>
        <w:jc w:val="both"/>
        <w:rPr>
          <w:rFonts w:ascii="Times New Roman" w:hAnsi="Times New Roman" w:cs="Times New Roman"/>
          <w:b/>
          <w:bCs/>
        </w:rPr>
      </w:pPr>
      <w:r w:rsidRPr="00EE7C35">
        <w:rPr>
          <w:rFonts w:ascii="Times New Roman" w:hAnsi="Times New Roman" w:cs="Times New Roman"/>
          <w:b/>
          <w:bCs/>
        </w:rPr>
        <w:t>Protein Expression and Purification</w:t>
      </w:r>
    </w:p>
    <w:p w14:paraId="67811462" w14:textId="35978200" w:rsidR="00CE0A81" w:rsidRPr="00EE7C35" w:rsidRDefault="00CE0A81" w:rsidP="003D1A8C">
      <w:pPr>
        <w:spacing w:line="480" w:lineRule="auto"/>
        <w:jc w:val="both"/>
        <w:rPr>
          <w:rFonts w:ascii="Times New Roman" w:hAnsi="Times New Roman" w:cs="Times New Roman"/>
        </w:rPr>
      </w:pPr>
      <w:r w:rsidRPr="00EE7C35">
        <w:rPr>
          <w:rFonts w:ascii="Times New Roman" w:hAnsi="Times New Roman" w:cs="Times New Roman"/>
        </w:rPr>
        <w:t xml:space="preserve">SIRPα-Fc fusion constructs were cloned into </w:t>
      </w:r>
      <w:proofErr w:type="spellStart"/>
      <w:r w:rsidRPr="00EE7C35">
        <w:rPr>
          <w:rFonts w:ascii="Times New Roman" w:hAnsi="Times New Roman" w:cs="Times New Roman"/>
        </w:rPr>
        <w:t>pAS</w:t>
      </w:r>
      <w:proofErr w:type="spellEnd"/>
      <w:r w:rsidR="004267DE" w:rsidRPr="00EE7C35">
        <w:rPr>
          <w:rFonts w:ascii="Times New Roman" w:hAnsi="Times New Roman" w:cs="Times New Roman"/>
        </w:rPr>
        <w:t>-</w:t>
      </w:r>
      <w:r w:rsidRPr="00EE7C35">
        <w:rPr>
          <w:rFonts w:ascii="Times New Roman" w:hAnsi="Times New Roman" w:cs="Times New Roman"/>
        </w:rPr>
        <w:t>puro and transiently expressed in CHO-S cells. Proteins were purified using Protein A chromatography and analyzed by HPLC-SEC.</w:t>
      </w:r>
    </w:p>
    <w:p w14:paraId="5DF7E557" w14:textId="77777777" w:rsidR="00CE0A81" w:rsidRPr="00EE7C35" w:rsidRDefault="00CE0A81" w:rsidP="003D1A8C">
      <w:pPr>
        <w:spacing w:line="480" w:lineRule="auto"/>
        <w:jc w:val="both"/>
        <w:rPr>
          <w:rFonts w:ascii="Times New Roman" w:hAnsi="Times New Roman" w:cs="Times New Roman"/>
          <w:b/>
          <w:bCs/>
        </w:rPr>
      </w:pPr>
      <w:r w:rsidRPr="00EE7C35">
        <w:rPr>
          <w:rFonts w:ascii="Times New Roman" w:hAnsi="Times New Roman" w:cs="Times New Roman"/>
          <w:b/>
          <w:bCs/>
        </w:rPr>
        <w:t>Cell Lines and Culture</w:t>
      </w:r>
    </w:p>
    <w:p w14:paraId="0A263079" w14:textId="6796A1A0" w:rsidR="00CE0A81" w:rsidRPr="00EE7C35" w:rsidRDefault="00CE0A81" w:rsidP="005C6681">
      <w:pPr>
        <w:spacing w:line="480" w:lineRule="auto"/>
        <w:jc w:val="both"/>
        <w:rPr>
          <w:rFonts w:ascii="Times New Roman" w:hAnsi="Times New Roman" w:cs="Times New Roman"/>
          <w:color w:val="0000FF"/>
        </w:rPr>
      </w:pPr>
      <w:r w:rsidRPr="00EE7C35">
        <w:rPr>
          <w:rFonts w:ascii="Times New Roman" w:hAnsi="Times New Roman" w:cs="Times New Roman"/>
        </w:rPr>
        <w:t>Human tumor cell lines (e.g., Raji, Daudi, NCI-H82, SW48, KG-1a</w:t>
      </w:r>
      <w:r w:rsidR="00D12E0B" w:rsidRPr="00EE7C35">
        <w:rPr>
          <w:rFonts w:ascii="Times New Roman" w:hAnsi="Times New Roman" w:cs="Times New Roman"/>
        </w:rPr>
        <w:t>, NCI-</w:t>
      </w:r>
      <w:r w:rsidR="005C6681" w:rsidRPr="00EE7C35">
        <w:rPr>
          <w:rFonts w:ascii="Times New Roman" w:hAnsi="Times New Roman" w:cs="Times New Roman"/>
        </w:rPr>
        <w:t>N</w:t>
      </w:r>
      <w:r w:rsidR="00D12E0B" w:rsidRPr="00EE7C35">
        <w:rPr>
          <w:rFonts w:ascii="Times New Roman" w:hAnsi="Times New Roman" w:cs="Times New Roman"/>
        </w:rPr>
        <w:t>87</w:t>
      </w:r>
      <w:r w:rsidRPr="00EE7C35">
        <w:rPr>
          <w:rFonts w:ascii="Times New Roman" w:hAnsi="Times New Roman" w:cs="Times New Roman"/>
        </w:rPr>
        <w:t xml:space="preserve">) </w:t>
      </w:r>
      <w:r w:rsidR="005C6681" w:rsidRPr="00EE7C35">
        <w:rPr>
          <w:rFonts w:ascii="Times New Roman" w:hAnsi="Times New Roman" w:cs="Times New Roman"/>
        </w:rPr>
        <w:t xml:space="preserve">and RAW264.7 </w:t>
      </w:r>
      <w:r w:rsidRPr="00EE7C35">
        <w:rPr>
          <w:rFonts w:ascii="Times New Roman" w:hAnsi="Times New Roman" w:cs="Times New Roman"/>
        </w:rPr>
        <w:t>were obtained from ATCC (American Type Culture Collection) or BCRC (Bioresource Collection and Research Center) and cultured under standard conditions. CD47 knockout NCI-H82 cells were generated using CRISPR/Cas9. Media were supplemented with FBS, glucose, and sodium pyruvate as appropriate.</w:t>
      </w:r>
    </w:p>
    <w:p w14:paraId="761E3AB7" w14:textId="77777777" w:rsidR="00CE0A81" w:rsidRPr="00EE7C35" w:rsidRDefault="00CE0A81" w:rsidP="003D1A8C">
      <w:pPr>
        <w:spacing w:line="480" w:lineRule="auto"/>
        <w:jc w:val="both"/>
        <w:rPr>
          <w:rFonts w:ascii="Times New Roman" w:hAnsi="Times New Roman" w:cs="Times New Roman"/>
          <w:b/>
          <w:bCs/>
        </w:rPr>
      </w:pPr>
      <w:bookmarkStart w:id="0" w:name="_Hlk206683252"/>
      <w:r w:rsidRPr="00EE7C35">
        <w:rPr>
          <w:rFonts w:ascii="Times New Roman" w:hAnsi="Times New Roman" w:cs="Times New Roman"/>
          <w:b/>
          <w:bCs/>
        </w:rPr>
        <w:t>Animal Studies</w:t>
      </w:r>
      <w:bookmarkEnd w:id="0"/>
    </w:p>
    <w:p w14:paraId="00BF777E" w14:textId="3B7BE874" w:rsidR="00CE0A81" w:rsidRPr="00EE7C35" w:rsidRDefault="00CE0A81" w:rsidP="003D1A8C">
      <w:pPr>
        <w:spacing w:line="480" w:lineRule="auto"/>
        <w:jc w:val="both"/>
        <w:rPr>
          <w:rFonts w:ascii="Times New Roman" w:hAnsi="Times New Roman" w:cs="Times New Roman"/>
          <w:color w:val="0000FF"/>
        </w:rPr>
      </w:pPr>
      <w:r w:rsidRPr="00EE7C35">
        <w:rPr>
          <w:rFonts w:ascii="Times New Roman" w:hAnsi="Times New Roman" w:cs="Times New Roman"/>
        </w:rPr>
        <w:t xml:space="preserve">Female NOD/SCID and NPG™ mice (5–6 weeks old) were </w:t>
      </w:r>
      <w:r w:rsidR="00BC356E" w:rsidRPr="00EE7C35">
        <w:rPr>
          <w:rFonts w:ascii="Times New Roman" w:hAnsi="Times New Roman" w:cs="Times New Roman"/>
        </w:rPr>
        <w:t xml:space="preserve">purchased from </w:t>
      </w:r>
      <w:proofErr w:type="spellStart"/>
      <w:r w:rsidR="00BC356E" w:rsidRPr="00EE7C35">
        <w:rPr>
          <w:rFonts w:ascii="Times New Roman" w:hAnsi="Times New Roman" w:cs="Times New Roman"/>
        </w:rPr>
        <w:t>BioLASCO</w:t>
      </w:r>
      <w:proofErr w:type="spellEnd"/>
      <w:r w:rsidR="00BC356E" w:rsidRPr="00EE7C35">
        <w:rPr>
          <w:rFonts w:ascii="Times New Roman" w:hAnsi="Times New Roman" w:cs="Times New Roman"/>
        </w:rPr>
        <w:t xml:space="preserve"> Taiwan and </w:t>
      </w:r>
      <w:r w:rsidRPr="00EE7C35">
        <w:rPr>
          <w:rFonts w:ascii="Times New Roman" w:hAnsi="Times New Roman" w:cs="Times New Roman"/>
        </w:rPr>
        <w:t xml:space="preserve">used for xenograft models. Tumor cells were implanted </w:t>
      </w:r>
      <w:r w:rsidRPr="00EE7C35">
        <w:rPr>
          <w:rFonts w:ascii="Times New Roman" w:hAnsi="Times New Roman" w:cs="Times New Roman"/>
        </w:rPr>
        <w:lastRenderedPageBreak/>
        <w:t xml:space="preserve">subcutaneously or intravenously. Treatment with HCB101 or controls was administered intraperitoneally. </w:t>
      </w:r>
      <w:r w:rsidR="00455882" w:rsidRPr="00EE7C35">
        <w:rPr>
          <w:rFonts w:ascii="Times New Roman" w:hAnsi="Times New Roman" w:cs="Times New Roman"/>
        </w:rPr>
        <w:t xml:space="preserve">The doses used in different tumor models were based on: (1) preliminary dose-ranging studies showing optimal efficacy at these levels and (2) comparison to published effective doses of comparator agents (Hu5F9-G4, TTI-622, and ALX148). </w:t>
      </w:r>
      <w:r w:rsidR="0020085B" w:rsidRPr="00EE7C35">
        <w:rPr>
          <w:rFonts w:ascii="Times New Roman" w:hAnsi="Times New Roman" w:cs="Times New Roman"/>
        </w:rPr>
        <w:t xml:space="preserve">The drug doses and group sizes of each study were illustrated in </w:t>
      </w:r>
      <w:proofErr w:type="gramStart"/>
      <w:r w:rsidR="0020085B" w:rsidRPr="00EE7C35">
        <w:rPr>
          <w:rFonts w:ascii="Times New Roman" w:hAnsi="Times New Roman" w:cs="Times New Roman"/>
        </w:rPr>
        <w:t>the figure</w:t>
      </w:r>
      <w:proofErr w:type="gramEnd"/>
      <w:r w:rsidR="0020085B" w:rsidRPr="00EE7C35">
        <w:rPr>
          <w:rFonts w:ascii="Times New Roman" w:hAnsi="Times New Roman" w:cs="Times New Roman"/>
        </w:rPr>
        <w:t xml:space="preserve"> legend. </w:t>
      </w:r>
      <w:r w:rsidR="004C76EF" w:rsidRPr="00EE7C35">
        <w:rPr>
          <w:rFonts w:ascii="Times New Roman" w:hAnsi="Times New Roman" w:cs="Times New Roman"/>
        </w:rPr>
        <w:t xml:space="preserve">The doses of HCB101 are equimolar to the comparators. </w:t>
      </w:r>
      <w:r w:rsidRPr="00EE7C35">
        <w:rPr>
          <w:rFonts w:ascii="Times New Roman" w:hAnsi="Times New Roman" w:cs="Times New Roman"/>
        </w:rPr>
        <w:t xml:space="preserve">Tumor volume and survival were monitored, and tumor growth inhibition </w:t>
      </w:r>
      <w:r w:rsidR="0020085B" w:rsidRPr="00EE7C35">
        <w:rPr>
          <w:rFonts w:ascii="Times New Roman" w:hAnsi="Times New Roman" w:cs="Times New Roman"/>
        </w:rPr>
        <w:t xml:space="preserve">rate </w:t>
      </w:r>
      <w:r w:rsidRPr="00EE7C35">
        <w:rPr>
          <w:rFonts w:ascii="Times New Roman" w:hAnsi="Times New Roman" w:cs="Times New Roman"/>
        </w:rPr>
        <w:t>(</w:t>
      </w:r>
      <w:r w:rsidR="0020085B" w:rsidRPr="00EE7C35">
        <w:rPr>
          <w:rFonts w:ascii="Times New Roman" w:hAnsi="Times New Roman" w:cs="Times New Roman"/>
        </w:rPr>
        <w:t>%</w:t>
      </w:r>
      <w:r w:rsidRPr="00EE7C35">
        <w:rPr>
          <w:rFonts w:ascii="Times New Roman" w:hAnsi="Times New Roman" w:cs="Times New Roman"/>
        </w:rPr>
        <w:t>TGI) was calculated. All procedures complied with institutional animal care guidelines.</w:t>
      </w:r>
    </w:p>
    <w:p w14:paraId="4C57DDBC" w14:textId="77777777" w:rsidR="00CE0A81" w:rsidRPr="00EE7C35" w:rsidRDefault="00CE0A81" w:rsidP="003D1A8C">
      <w:pPr>
        <w:spacing w:line="480" w:lineRule="auto"/>
        <w:jc w:val="both"/>
        <w:rPr>
          <w:rFonts w:ascii="Times New Roman" w:hAnsi="Times New Roman" w:cs="Times New Roman"/>
          <w:b/>
          <w:bCs/>
        </w:rPr>
      </w:pPr>
      <w:r w:rsidRPr="00EE7C35">
        <w:rPr>
          <w:rFonts w:ascii="Times New Roman" w:hAnsi="Times New Roman" w:cs="Times New Roman"/>
          <w:b/>
          <w:bCs/>
        </w:rPr>
        <w:t>Binding and Functional Assays</w:t>
      </w:r>
    </w:p>
    <w:p w14:paraId="6FFAFBDA" w14:textId="77777777" w:rsidR="00046ED8" w:rsidRPr="00EE7C35" w:rsidRDefault="00CE0A81" w:rsidP="003D1A8C">
      <w:pPr>
        <w:spacing w:line="480" w:lineRule="auto"/>
        <w:jc w:val="both"/>
        <w:rPr>
          <w:rFonts w:ascii="Times New Roman" w:hAnsi="Times New Roman" w:cs="Times New Roman"/>
        </w:rPr>
      </w:pPr>
      <w:r w:rsidRPr="00EE7C35">
        <w:rPr>
          <w:rFonts w:ascii="Times New Roman" w:hAnsi="Times New Roman" w:cs="Times New Roman"/>
        </w:rPr>
        <w:t xml:space="preserve">Binding of HCB101 to recombinant CD47 was assessed by ELISA and bio-layer interferometry (BLI). </w:t>
      </w:r>
      <w:r w:rsidR="00046ED8" w:rsidRPr="00EE7C35">
        <w:rPr>
          <w:rFonts w:ascii="Times New Roman" w:hAnsi="Times New Roman" w:cs="Times New Roman"/>
        </w:rPr>
        <w:t xml:space="preserve">The binding of HCB101 to cell-surface CD47 on tumor cells was evaluated by incubating cells with serially diluted antibodies, followed by PE-conjugated anti-human IgG and analysis on a </w:t>
      </w:r>
      <w:proofErr w:type="spellStart"/>
      <w:r w:rsidR="00046ED8" w:rsidRPr="00EE7C35">
        <w:rPr>
          <w:rFonts w:ascii="Times New Roman" w:hAnsi="Times New Roman" w:cs="Times New Roman"/>
        </w:rPr>
        <w:t>CytoFLEX</w:t>
      </w:r>
      <w:proofErr w:type="spellEnd"/>
      <w:r w:rsidR="00046ED8" w:rsidRPr="00EE7C35">
        <w:rPr>
          <w:rFonts w:ascii="Times New Roman" w:hAnsi="Times New Roman" w:cs="Times New Roman"/>
        </w:rPr>
        <w:t xml:space="preserve"> cytometer (Beckman Coulter). Blocking of ligand binding was assessed by incubating CD47-expressing cells with HCB101 and biotin-labeled </w:t>
      </w:r>
      <w:proofErr w:type="spellStart"/>
      <w:r w:rsidR="00046ED8" w:rsidRPr="00EE7C35">
        <w:rPr>
          <w:rFonts w:ascii="Times New Roman" w:hAnsi="Times New Roman" w:cs="Times New Roman"/>
        </w:rPr>
        <w:t>hSIRP</w:t>
      </w:r>
      <w:proofErr w:type="spellEnd"/>
      <w:r w:rsidR="00046ED8" w:rsidRPr="00EE7C35">
        <w:rPr>
          <w:rFonts w:ascii="Times New Roman" w:hAnsi="Times New Roman" w:cs="Times New Roman"/>
        </w:rPr>
        <w:t>α-Fc, detected via PE-streptavidin, with quantification by flow cytometry</w:t>
      </w:r>
      <w:r w:rsidRPr="00EE7C35">
        <w:rPr>
          <w:rFonts w:ascii="Times New Roman" w:hAnsi="Times New Roman" w:cs="Times New Roman"/>
        </w:rPr>
        <w:t xml:space="preserve">. Hemagglutination assays were performed using RBCs from healthy donors. </w:t>
      </w:r>
      <w:r w:rsidR="00046ED8" w:rsidRPr="00EE7C35">
        <w:rPr>
          <w:rFonts w:ascii="Times New Roman" w:hAnsi="Times New Roman" w:cs="Times New Roman"/>
        </w:rPr>
        <w:t xml:space="preserve">Freshly isolated human RBCs were incubated overnight with serially diluted antibodies. Hemagglutination was visually scored the next day. </w:t>
      </w:r>
      <w:r w:rsidRPr="00EE7C35">
        <w:rPr>
          <w:rFonts w:ascii="Times New Roman" w:hAnsi="Times New Roman" w:cs="Times New Roman"/>
        </w:rPr>
        <w:t xml:space="preserve">Phagocytosis assays employed RAW264.7 or human monocyte-derived macrophages </w:t>
      </w:r>
      <w:r w:rsidRPr="00EE7C35">
        <w:rPr>
          <w:rFonts w:ascii="Times New Roman" w:hAnsi="Times New Roman" w:cs="Times New Roman"/>
        </w:rPr>
        <w:lastRenderedPageBreak/>
        <w:t>incubated with labeled target cells.</w:t>
      </w:r>
      <w:r w:rsidR="00046ED8" w:rsidRPr="00EE7C35">
        <w:rPr>
          <w:rFonts w:ascii="Times New Roman" w:hAnsi="Times New Roman" w:cs="Times New Roman"/>
        </w:rPr>
        <w:t xml:space="preserve"> Phagocytosis was measured by the percentage of macrophages that contained engulfed target cells, as determined by flow cytometry.</w:t>
      </w:r>
    </w:p>
    <w:p w14:paraId="44C8CEE8" w14:textId="638A30B0" w:rsidR="00CE0A81" w:rsidRPr="00EE7C35" w:rsidRDefault="00CE0A81" w:rsidP="003D1A8C">
      <w:pPr>
        <w:spacing w:line="480" w:lineRule="auto"/>
        <w:jc w:val="both"/>
        <w:rPr>
          <w:rFonts w:ascii="Times New Roman" w:hAnsi="Times New Roman" w:cs="Times New Roman"/>
          <w:b/>
          <w:bCs/>
        </w:rPr>
      </w:pPr>
      <w:r w:rsidRPr="00EE7C35">
        <w:rPr>
          <w:rFonts w:ascii="Times New Roman" w:hAnsi="Times New Roman" w:cs="Times New Roman"/>
          <w:b/>
          <w:bCs/>
        </w:rPr>
        <w:t xml:space="preserve">Tumor Dissociation and </w:t>
      </w:r>
      <w:r w:rsidR="00046ED8" w:rsidRPr="00EE7C35">
        <w:rPr>
          <w:rFonts w:ascii="Times New Roman" w:hAnsi="Times New Roman" w:cs="Times New Roman"/>
          <w:b/>
          <w:bCs/>
        </w:rPr>
        <w:t>TAM Analysis</w:t>
      </w:r>
    </w:p>
    <w:p w14:paraId="66B67D8F" w14:textId="766A7EB7" w:rsidR="00CE0A81" w:rsidRPr="00EE7C35" w:rsidRDefault="00CE0A81" w:rsidP="003D1A8C">
      <w:pPr>
        <w:spacing w:line="480" w:lineRule="auto"/>
        <w:jc w:val="both"/>
        <w:rPr>
          <w:rFonts w:ascii="Times New Roman" w:hAnsi="Times New Roman" w:cs="Times New Roman"/>
          <w:color w:val="0000FF"/>
        </w:rPr>
      </w:pPr>
      <w:bookmarkStart w:id="1" w:name="_Hlk206604769"/>
      <w:r w:rsidRPr="00EE7C35">
        <w:rPr>
          <w:rFonts w:ascii="Times New Roman" w:hAnsi="Times New Roman" w:cs="Times New Roman"/>
        </w:rPr>
        <w:t xml:space="preserve">Tumors </w:t>
      </w:r>
      <w:r w:rsidR="00046ED8" w:rsidRPr="00EE7C35">
        <w:rPr>
          <w:rFonts w:ascii="Times New Roman" w:hAnsi="Times New Roman" w:cs="Times New Roman"/>
        </w:rPr>
        <w:t xml:space="preserve">collected from mice </w:t>
      </w:r>
      <w:r w:rsidRPr="00EE7C35">
        <w:rPr>
          <w:rFonts w:ascii="Times New Roman" w:hAnsi="Times New Roman" w:cs="Times New Roman"/>
        </w:rPr>
        <w:t>were dissociated using enzymatic digestion and mechanical disruption. Single-cell suspensions were stained with</w:t>
      </w:r>
      <w:bookmarkEnd w:id="1"/>
      <w:r w:rsidRPr="00EE7C35">
        <w:rPr>
          <w:rFonts w:ascii="Times New Roman" w:hAnsi="Times New Roman" w:cs="Times New Roman"/>
        </w:rPr>
        <w:t xml:space="preserve"> viability dye and antibodies targeting CD45, CD11b, F4/80, CD80, and CD206. Flow cytometric analysis was performed to quantify </w:t>
      </w:r>
      <w:r w:rsidR="00046ED8" w:rsidRPr="00EE7C35">
        <w:rPr>
          <w:rFonts w:ascii="Times New Roman" w:hAnsi="Times New Roman" w:cs="Times New Roman"/>
        </w:rPr>
        <w:t>the polarization of tumor-associated macrophages (TAMs)</w:t>
      </w:r>
      <w:r w:rsidRPr="00EE7C35">
        <w:rPr>
          <w:rFonts w:ascii="Times New Roman" w:hAnsi="Times New Roman" w:cs="Times New Roman"/>
        </w:rPr>
        <w:t>.</w:t>
      </w:r>
      <w:r w:rsidR="00D12E0B" w:rsidRPr="00EE7C35">
        <w:rPr>
          <w:rFonts w:ascii="Times New Roman" w:hAnsi="Times New Roman" w:cs="Times New Roman"/>
        </w:rPr>
        <w:t xml:space="preserve"> </w:t>
      </w:r>
    </w:p>
    <w:p w14:paraId="01FBCAA5" w14:textId="77777777" w:rsidR="00CE0A81" w:rsidRPr="00EE7C35" w:rsidRDefault="00CE0A81" w:rsidP="003D1A8C">
      <w:pPr>
        <w:spacing w:line="480" w:lineRule="auto"/>
        <w:jc w:val="both"/>
        <w:rPr>
          <w:rFonts w:ascii="Times New Roman" w:hAnsi="Times New Roman" w:cs="Times New Roman"/>
          <w:b/>
          <w:bCs/>
        </w:rPr>
      </w:pPr>
      <w:r w:rsidRPr="00EE7C35">
        <w:rPr>
          <w:rFonts w:ascii="Times New Roman" w:hAnsi="Times New Roman" w:cs="Times New Roman"/>
          <w:b/>
          <w:bCs/>
        </w:rPr>
        <w:t>Non-Human Primate Toxicity</w:t>
      </w:r>
    </w:p>
    <w:p w14:paraId="28B4FC02" w14:textId="7E3A67F9" w:rsidR="00845B06" w:rsidRPr="00EE7C35" w:rsidRDefault="00845B06" w:rsidP="00845B06">
      <w:pPr>
        <w:spacing w:line="480" w:lineRule="auto"/>
        <w:jc w:val="both"/>
        <w:rPr>
          <w:rFonts w:ascii="Times New Roman" w:hAnsi="Times New Roman" w:cs="Times New Roman"/>
        </w:rPr>
      </w:pPr>
      <w:r w:rsidRPr="00EE7C35">
        <w:rPr>
          <w:rFonts w:ascii="Times New Roman" w:hAnsi="Times New Roman" w:cs="Times New Roman"/>
          <w:b/>
          <w:bCs/>
        </w:rPr>
        <w:t>A GLP-compliant repeat-dose toxicity study in cynomolgus monkeys.</w:t>
      </w:r>
      <w:r w:rsidRPr="00EE7C35">
        <w:rPr>
          <w:rFonts w:ascii="Times New Roman" w:hAnsi="Times New Roman" w:cs="Times New Roman"/>
        </w:rPr>
        <w:t xml:space="preserve"> A 4-week repeat-dose toxicity study of HCB101 (10–150 mg/kg, </w:t>
      </w:r>
      <w:proofErr w:type="spellStart"/>
      <w:r w:rsidRPr="00EE7C35">
        <w:rPr>
          <w:rFonts w:ascii="Times New Roman" w:hAnsi="Times New Roman" w:cs="Times New Roman"/>
        </w:rPr>
        <w:t>i.v.</w:t>
      </w:r>
      <w:proofErr w:type="spellEnd"/>
      <w:r w:rsidRPr="00EE7C35">
        <w:rPr>
          <w:rFonts w:ascii="Times New Roman" w:hAnsi="Times New Roman" w:cs="Times New Roman"/>
        </w:rPr>
        <w:t xml:space="preserve">) was conducted in cynomolgus monkeys, including a 4-week recovery phase to assess reversibility of any toxicity. Thirty-two monkeys were randomly assigned to three HCB101 dose groups and one placebo group. Monkeys in the high-dose group (150 mg/kg) included 5/sex, while low- and mid-dose groups (10 and 60 mg/kg) included 3/sex/group. All animals were </w:t>
      </w:r>
      <w:proofErr w:type="gramStart"/>
      <w:r w:rsidRPr="00EE7C35">
        <w:rPr>
          <w:rFonts w:ascii="Times New Roman" w:hAnsi="Times New Roman" w:cs="Times New Roman"/>
        </w:rPr>
        <w:t>dosed</w:t>
      </w:r>
      <w:proofErr w:type="gramEnd"/>
      <w:r w:rsidRPr="00EE7C35">
        <w:rPr>
          <w:rFonts w:ascii="Times New Roman" w:hAnsi="Times New Roman" w:cs="Times New Roman"/>
        </w:rPr>
        <w:t xml:space="preserve"> once weekly for 4 weeks. At study end, subsets of animals were euthanized for sample collection, while recovery animals were observed for an additional 26 days. Hematology parameters (WBC, RBC, HGB, and platelets) were measured during the </w:t>
      </w:r>
      <w:r w:rsidRPr="00EE7C35">
        <w:rPr>
          <w:rFonts w:ascii="Times New Roman" w:hAnsi="Times New Roman" w:cs="Times New Roman"/>
        </w:rPr>
        <w:lastRenderedPageBreak/>
        <w:t>dosing period.</w:t>
      </w:r>
    </w:p>
    <w:p w14:paraId="4234A3A8" w14:textId="77777777" w:rsidR="00845B06" w:rsidRPr="00EE7C35" w:rsidRDefault="00845B06" w:rsidP="00845B06">
      <w:pPr>
        <w:spacing w:line="480" w:lineRule="auto"/>
        <w:jc w:val="both"/>
        <w:rPr>
          <w:rFonts w:ascii="Times New Roman" w:hAnsi="Times New Roman" w:cs="Times New Roman"/>
        </w:rPr>
      </w:pPr>
      <w:r w:rsidRPr="00EE7C35">
        <w:rPr>
          <w:rFonts w:ascii="Times New Roman" w:hAnsi="Times New Roman" w:cs="Times New Roman"/>
          <w:b/>
          <w:bCs/>
        </w:rPr>
        <w:t>Pharmacokinetics and receptor occupancy.</w:t>
      </w:r>
      <w:r w:rsidRPr="00EE7C35">
        <w:rPr>
          <w:rFonts w:ascii="Times New Roman" w:hAnsi="Times New Roman" w:cs="Times New Roman"/>
        </w:rPr>
        <w:t xml:space="preserve"> Single-dose pharmacokinetics (PK) of HCB101 were assessed in cynomolgus monkeys at 3, 10, and 60 mg/kg. Serum drug concentrations were measured by ELISA at multiple time points from pre-dose to day 29. Receptor occupancy (RO) on CD3⁺ T cells was determined by flow cytometry using anti-human IgG4 Fc detection at corresponding time points. Median fluorescence intensity (MFI) was used to calculate %RO.</w:t>
      </w:r>
    </w:p>
    <w:p w14:paraId="47E56C80" w14:textId="52ADFF6B" w:rsidR="00236CEC" w:rsidRPr="00EE7C35" w:rsidRDefault="00236CEC" w:rsidP="00845B06">
      <w:pPr>
        <w:spacing w:line="480" w:lineRule="auto"/>
        <w:jc w:val="both"/>
        <w:rPr>
          <w:rFonts w:ascii="Times New Roman" w:hAnsi="Times New Roman" w:cs="Times New Roman"/>
        </w:rPr>
      </w:pPr>
      <w:r w:rsidRPr="00EE7C35">
        <w:rPr>
          <w:rFonts w:ascii="Times New Roman" w:hAnsi="Times New Roman" w:cs="Times New Roman"/>
          <w:b/>
          <w:bCs/>
        </w:rPr>
        <w:t>Statistical Analysis</w:t>
      </w:r>
    </w:p>
    <w:p w14:paraId="73F2CB22" w14:textId="5E1A8402" w:rsidR="00236CEC" w:rsidRPr="00EE7C35" w:rsidRDefault="00236CEC" w:rsidP="00236CEC">
      <w:pPr>
        <w:spacing w:line="480" w:lineRule="auto"/>
        <w:jc w:val="both"/>
        <w:rPr>
          <w:rFonts w:ascii="Times New Roman" w:hAnsi="Times New Roman" w:cs="Times New Roman"/>
        </w:rPr>
      </w:pPr>
      <w:r w:rsidRPr="00EE7C35">
        <w:rPr>
          <w:rFonts w:ascii="Times New Roman" w:hAnsi="Times New Roman" w:cs="Times New Roman"/>
          <w:i/>
          <w:iCs/>
        </w:rPr>
        <w:t>I</w:t>
      </w:r>
      <w:r w:rsidR="00D20040" w:rsidRPr="00EE7C35">
        <w:rPr>
          <w:rFonts w:ascii="Times New Roman" w:hAnsi="Times New Roman" w:cs="Times New Roman"/>
          <w:i/>
          <w:iCs/>
        </w:rPr>
        <w:t>n vitro</w:t>
      </w:r>
      <w:r w:rsidR="00D20040" w:rsidRPr="00EE7C35">
        <w:rPr>
          <w:rFonts w:ascii="Times New Roman" w:hAnsi="Times New Roman" w:cs="Times New Roman"/>
        </w:rPr>
        <w:t xml:space="preserve"> data are presented as mean ± standard deviation (SD) to represent variability among technical replicates</w:t>
      </w:r>
      <w:r w:rsidRPr="00EE7C35">
        <w:rPr>
          <w:rFonts w:ascii="Times New Roman" w:hAnsi="Times New Roman" w:cs="Times New Roman"/>
        </w:rPr>
        <w:t xml:space="preserve">. </w:t>
      </w:r>
      <w:r w:rsidRPr="00EE7C35">
        <w:rPr>
          <w:rFonts w:ascii="Times New Roman" w:hAnsi="Times New Roman" w:cs="Times New Roman"/>
          <w:i/>
          <w:iCs/>
        </w:rPr>
        <w:t>I</w:t>
      </w:r>
      <w:r w:rsidR="00D20040" w:rsidRPr="00EE7C35">
        <w:rPr>
          <w:rFonts w:ascii="Times New Roman" w:hAnsi="Times New Roman" w:cs="Times New Roman"/>
          <w:i/>
          <w:iCs/>
        </w:rPr>
        <w:t>n vivo</w:t>
      </w:r>
      <w:r w:rsidR="00D20040" w:rsidRPr="00EE7C35">
        <w:rPr>
          <w:rFonts w:ascii="Times New Roman" w:hAnsi="Times New Roman" w:cs="Times New Roman"/>
        </w:rPr>
        <w:t xml:space="preserve"> results are shown as mean ± standard error of the mean (SEM) to reflect the precision of group means derived from independent biological replicates.</w:t>
      </w:r>
      <w:r w:rsidRPr="00EE7C35">
        <w:rPr>
          <w:rFonts w:ascii="Times New Roman" w:hAnsi="Times New Roman" w:cs="Times New Roman"/>
        </w:rPr>
        <w:t xml:space="preserve"> Statistical significance was determined using Student’s </w:t>
      </w:r>
      <w:r w:rsidRPr="00EE7C35">
        <w:rPr>
          <w:rFonts w:ascii="Times New Roman" w:hAnsi="Times New Roman" w:cs="Times New Roman"/>
          <w:i/>
          <w:iCs/>
        </w:rPr>
        <w:t>t</w:t>
      </w:r>
      <w:r w:rsidRPr="00EE7C35">
        <w:rPr>
          <w:rFonts w:ascii="Times New Roman" w:hAnsi="Times New Roman" w:cs="Times New Roman"/>
        </w:rPr>
        <w:t xml:space="preserve">-test </w:t>
      </w:r>
      <w:r w:rsidR="00676FDD" w:rsidRPr="00EE7C35">
        <w:rPr>
          <w:rFonts w:ascii="Times New Roman" w:hAnsi="Times New Roman" w:cs="Times New Roman"/>
        </w:rPr>
        <w:t xml:space="preserve">for comparisons between two groups </w:t>
      </w:r>
      <w:r w:rsidRPr="00EE7C35">
        <w:rPr>
          <w:rFonts w:ascii="Times New Roman" w:hAnsi="Times New Roman" w:cs="Times New Roman"/>
        </w:rPr>
        <w:t xml:space="preserve">or one-way ANOVA followed by Bonferroni's </w:t>
      </w:r>
      <w:r w:rsidR="00676FDD" w:rsidRPr="00EE7C35">
        <w:rPr>
          <w:rFonts w:ascii="Times New Roman" w:hAnsi="Times New Roman" w:cs="Times New Roman"/>
        </w:rPr>
        <w:t>post hoc</w:t>
      </w:r>
      <w:r w:rsidRPr="00EE7C35">
        <w:rPr>
          <w:rFonts w:ascii="Times New Roman" w:hAnsi="Times New Roman" w:cs="Times New Roman"/>
        </w:rPr>
        <w:t xml:space="preserve"> tests</w:t>
      </w:r>
      <w:r w:rsidR="00676FDD" w:rsidRPr="00EE7C35">
        <w:rPr>
          <w:rFonts w:ascii="Times New Roman" w:hAnsi="Times New Roman" w:cs="Times New Roman"/>
        </w:rPr>
        <w:t xml:space="preserve"> for multiple group comparisons</w:t>
      </w:r>
      <w:r w:rsidRPr="00EE7C35">
        <w:rPr>
          <w:rFonts w:ascii="Times New Roman" w:hAnsi="Times New Roman" w:cs="Times New Roman"/>
        </w:rPr>
        <w:t>.</w:t>
      </w:r>
      <w:r w:rsidR="00676FDD" w:rsidRPr="00EE7C35">
        <w:rPr>
          <w:rFonts w:ascii="Times New Roman" w:hAnsi="Times New Roman" w:cs="Times New Roman"/>
        </w:rPr>
        <w:t xml:space="preserve"> Significance thresholds were set at P&lt;0.05 (*), P&lt;0.01(**), p &lt; 0.001 (***), and p &lt; 0.0001 (****).</w:t>
      </w:r>
    </w:p>
    <w:p w14:paraId="3DFE50C2" w14:textId="77777777" w:rsidR="00EE7C35" w:rsidRDefault="00EE7C35" w:rsidP="00EE7C35">
      <w:pPr>
        <w:spacing w:line="480" w:lineRule="auto"/>
        <w:jc w:val="both"/>
        <w:rPr>
          <w:rFonts w:ascii="Times New Roman" w:hAnsi="Times New Roman" w:cs="Times New Roman"/>
        </w:rPr>
      </w:pPr>
    </w:p>
    <w:p w14:paraId="5F7AD667" w14:textId="77777777" w:rsidR="00EE7C35" w:rsidRDefault="00EE7C35" w:rsidP="00EE7C35">
      <w:pPr>
        <w:spacing w:line="480" w:lineRule="auto"/>
        <w:jc w:val="both"/>
        <w:rPr>
          <w:rFonts w:ascii="Times New Roman" w:hAnsi="Times New Roman" w:cs="Times New Roman"/>
        </w:rPr>
      </w:pPr>
    </w:p>
    <w:p w14:paraId="7D158D6F" w14:textId="77777777" w:rsidR="00EE7C35" w:rsidRPr="00EE7C35" w:rsidRDefault="00EE7C35" w:rsidP="00EE7C35">
      <w:pPr>
        <w:spacing w:line="480" w:lineRule="auto"/>
        <w:jc w:val="both"/>
        <w:rPr>
          <w:rFonts w:ascii="Times New Roman" w:hAnsi="Times New Roman" w:cs="Times New Roman"/>
          <w:b/>
          <w:bCs/>
        </w:rPr>
      </w:pPr>
    </w:p>
    <w:p w14:paraId="491976A4" w14:textId="3BEAE920" w:rsidR="00DB6F5D" w:rsidRPr="00EE7C35" w:rsidRDefault="00DB6F5D" w:rsidP="00D20040">
      <w:pPr>
        <w:pStyle w:val="ListParagraph"/>
        <w:numPr>
          <w:ilvl w:val="0"/>
          <w:numId w:val="2"/>
        </w:numPr>
        <w:spacing w:line="480" w:lineRule="auto"/>
        <w:jc w:val="both"/>
        <w:rPr>
          <w:rFonts w:ascii="Times New Roman" w:hAnsi="Times New Roman" w:cs="Times New Roman"/>
          <w:b/>
          <w:bCs/>
        </w:rPr>
      </w:pPr>
      <w:r w:rsidRPr="00EE7C35">
        <w:rPr>
          <w:rFonts w:ascii="Times New Roman" w:hAnsi="Times New Roman" w:cs="Times New Roman"/>
          <w:b/>
          <w:bCs/>
        </w:rPr>
        <w:lastRenderedPageBreak/>
        <w:t>Supplementary Tables</w:t>
      </w:r>
    </w:p>
    <w:p w14:paraId="32CFA158" w14:textId="231DCBA0" w:rsidR="003D1A8C" w:rsidRPr="00EE7C35" w:rsidRDefault="003D1A8C" w:rsidP="00DB6F5D">
      <w:pPr>
        <w:spacing w:line="240" w:lineRule="auto"/>
        <w:jc w:val="both"/>
        <w:rPr>
          <w:rFonts w:ascii="Times New Roman" w:hAnsi="Times New Roman" w:cs="Times New Roman"/>
        </w:rPr>
      </w:pPr>
      <w:r w:rsidRPr="00EE7C35">
        <w:rPr>
          <w:rFonts w:ascii="Times New Roman" w:hAnsi="Times New Roman" w:cs="Times New Roman"/>
          <w:b/>
          <w:bCs/>
        </w:rPr>
        <w:t xml:space="preserve">Supplementary Table S1. </w:t>
      </w:r>
      <w:r w:rsidRPr="00EE7C35">
        <w:rPr>
          <w:rFonts w:ascii="Times New Roman" w:eastAsia="新細明體" w:hAnsi="Times New Roman" w:cs="Times New Roman"/>
          <w:color w:val="000000" w:themeColor="text1"/>
        </w:rPr>
        <w:t>The EC</w:t>
      </w:r>
      <w:r w:rsidRPr="00EE7C35">
        <w:rPr>
          <w:rFonts w:ascii="Times New Roman" w:eastAsia="新細明體" w:hAnsi="Times New Roman" w:cs="Times New Roman"/>
          <w:color w:val="000000" w:themeColor="text1"/>
          <w:vertAlign w:val="subscript"/>
        </w:rPr>
        <w:t>50</w:t>
      </w:r>
      <w:r w:rsidRPr="00EE7C35">
        <w:rPr>
          <w:rFonts w:ascii="Times New Roman" w:eastAsia="新細明體" w:hAnsi="Times New Roman" w:cs="Times New Roman"/>
          <w:color w:val="000000" w:themeColor="text1"/>
        </w:rPr>
        <w:t xml:space="preserve"> and EC</w:t>
      </w:r>
      <w:r w:rsidRPr="00EE7C35">
        <w:rPr>
          <w:rFonts w:ascii="Times New Roman" w:eastAsia="新細明體" w:hAnsi="Times New Roman" w:cs="Times New Roman"/>
          <w:color w:val="000000" w:themeColor="text1"/>
          <w:vertAlign w:val="subscript"/>
        </w:rPr>
        <w:t>90</w:t>
      </w:r>
      <w:r w:rsidRPr="00EE7C35">
        <w:rPr>
          <w:rFonts w:ascii="Times New Roman" w:eastAsia="新細明體" w:hAnsi="Times New Roman" w:cs="Times New Roman"/>
          <w:color w:val="000000" w:themeColor="text1"/>
        </w:rPr>
        <w:t xml:space="preserve"> (50% and 90% maximal effective concentration) of the CD47 binding affinity of HCB101 and Hu5F9-G4 analog</w:t>
      </w:r>
    </w:p>
    <w:tbl>
      <w:tblPr>
        <w:tblStyle w:val="TableGrid"/>
        <w:tblW w:w="6527" w:type="dxa"/>
        <w:tblLook w:val="04A0" w:firstRow="1" w:lastRow="0" w:firstColumn="1" w:lastColumn="0" w:noHBand="0" w:noVBand="1"/>
      </w:tblPr>
      <w:tblGrid>
        <w:gridCol w:w="2692"/>
        <w:gridCol w:w="1917"/>
        <w:gridCol w:w="1918"/>
      </w:tblGrid>
      <w:tr w:rsidR="003D1A8C" w:rsidRPr="00EE7C35" w14:paraId="004E94BE" w14:textId="77777777" w:rsidTr="00350F41">
        <w:trPr>
          <w:trHeight w:val="311"/>
        </w:trPr>
        <w:tc>
          <w:tcPr>
            <w:tcW w:w="2692" w:type="dxa"/>
          </w:tcPr>
          <w:p w14:paraId="626D68E9" w14:textId="77777777" w:rsidR="003D1A8C" w:rsidRPr="00EE7C35" w:rsidRDefault="003D1A8C" w:rsidP="00350F41">
            <w:pPr>
              <w:rPr>
                <w:rFonts w:ascii="Times New Roman" w:eastAsia="新細明體" w:hAnsi="Times New Roman" w:cs="Times New Roman"/>
                <w:lang w:val="en-US" w:eastAsia="zh-TW"/>
              </w:rPr>
            </w:pPr>
          </w:p>
        </w:tc>
        <w:tc>
          <w:tcPr>
            <w:tcW w:w="1917" w:type="dxa"/>
          </w:tcPr>
          <w:p w14:paraId="1A5E987A" w14:textId="77777777" w:rsidR="003D1A8C" w:rsidRPr="00EE7C35" w:rsidRDefault="003D1A8C" w:rsidP="00350F41">
            <w:pPr>
              <w:rPr>
                <w:rFonts w:ascii="Times New Roman" w:eastAsia="新細明體" w:hAnsi="Times New Roman" w:cs="Times New Roman"/>
                <w:b/>
                <w:bCs/>
                <w:lang w:val="en-US" w:eastAsia="zh-TW"/>
              </w:rPr>
            </w:pPr>
            <w:r w:rsidRPr="00EE7C35">
              <w:rPr>
                <w:rFonts w:ascii="Times New Roman" w:eastAsia="新細明體" w:hAnsi="Times New Roman" w:cs="Times New Roman"/>
                <w:b/>
                <w:bCs/>
                <w:lang w:val="en-US" w:eastAsia="zh-TW"/>
              </w:rPr>
              <w:t>EC</w:t>
            </w:r>
            <w:r w:rsidRPr="00EE7C35">
              <w:rPr>
                <w:rFonts w:ascii="Times New Roman" w:eastAsia="新細明體" w:hAnsi="Times New Roman" w:cs="Times New Roman"/>
                <w:b/>
                <w:bCs/>
                <w:vertAlign w:val="subscript"/>
                <w:lang w:val="en-US" w:eastAsia="zh-TW"/>
              </w:rPr>
              <w:t>50</w:t>
            </w:r>
            <w:r w:rsidRPr="00EE7C35">
              <w:rPr>
                <w:rFonts w:ascii="Times New Roman" w:eastAsia="新細明體" w:hAnsi="Times New Roman" w:cs="Times New Roman"/>
                <w:b/>
                <w:bCs/>
                <w:lang w:val="en-US" w:eastAsia="zh-TW"/>
              </w:rPr>
              <w:t xml:space="preserve"> (ng/ml)</w:t>
            </w:r>
          </w:p>
        </w:tc>
        <w:tc>
          <w:tcPr>
            <w:tcW w:w="1918" w:type="dxa"/>
          </w:tcPr>
          <w:p w14:paraId="3A0C2E07" w14:textId="77777777" w:rsidR="003D1A8C" w:rsidRPr="00EE7C35" w:rsidRDefault="003D1A8C" w:rsidP="00350F41">
            <w:pPr>
              <w:rPr>
                <w:rFonts w:ascii="Times New Roman" w:eastAsia="新細明體" w:hAnsi="Times New Roman" w:cs="Times New Roman"/>
                <w:b/>
                <w:bCs/>
                <w:lang w:val="en-US" w:eastAsia="zh-TW"/>
              </w:rPr>
            </w:pPr>
            <w:r w:rsidRPr="00EE7C35">
              <w:rPr>
                <w:rFonts w:ascii="Times New Roman" w:eastAsia="新細明體" w:hAnsi="Times New Roman" w:cs="Times New Roman"/>
                <w:b/>
                <w:bCs/>
                <w:lang w:val="en-US" w:eastAsia="zh-TW"/>
              </w:rPr>
              <w:t>EC</w:t>
            </w:r>
            <w:r w:rsidRPr="00EE7C35">
              <w:rPr>
                <w:rFonts w:ascii="Times New Roman" w:eastAsia="新細明體" w:hAnsi="Times New Roman" w:cs="Times New Roman"/>
                <w:b/>
                <w:bCs/>
                <w:vertAlign w:val="subscript"/>
                <w:lang w:val="en-US" w:eastAsia="zh-TW"/>
              </w:rPr>
              <w:t>90</w:t>
            </w:r>
            <w:r w:rsidRPr="00EE7C35">
              <w:rPr>
                <w:rFonts w:ascii="Times New Roman" w:eastAsia="新細明體" w:hAnsi="Times New Roman" w:cs="Times New Roman"/>
                <w:b/>
                <w:bCs/>
                <w:lang w:val="en-US" w:eastAsia="zh-TW"/>
              </w:rPr>
              <w:t xml:space="preserve"> (ng/ml)</w:t>
            </w:r>
          </w:p>
        </w:tc>
      </w:tr>
      <w:tr w:rsidR="003D1A8C" w:rsidRPr="00EE7C35" w14:paraId="4CBF803D" w14:textId="77777777" w:rsidTr="00350F41">
        <w:trPr>
          <w:trHeight w:val="311"/>
        </w:trPr>
        <w:tc>
          <w:tcPr>
            <w:tcW w:w="2692" w:type="dxa"/>
          </w:tcPr>
          <w:p w14:paraId="61ACFA77" w14:textId="77777777" w:rsidR="003D1A8C" w:rsidRPr="00EE7C35" w:rsidRDefault="003D1A8C" w:rsidP="00350F41">
            <w:pPr>
              <w:rPr>
                <w:rFonts w:ascii="Times New Roman" w:eastAsia="新細明體" w:hAnsi="Times New Roman" w:cs="Times New Roman"/>
                <w:b/>
                <w:bCs/>
                <w:lang w:val="en-US" w:eastAsia="zh-TW"/>
              </w:rPr>
            </w:pPr>
            <w:r w:rsidRPr="00EE7C35">
              <w:rPr>
                <w:rFonts w:ascii="Times New Roman" w:eastAsia="新細明體" w:hAnsi="Times New Roman" w:cs="Times New Roman"/>
                <w:b/>
                <w:bCs/>
                <w:lang w:val="en-US" w:eastAsia="zh-TW"/>
              </w:rPr>
              <w:t>HCB101</w:t>
            </w:r>
          </w:p>
        </w:tc>
        <w:tc>
          <w:tcPr>
            <w:tcW w:w="1917" w:type="dxa"/>
          </w:tcPr>
          <w:p w14:paraId="44117EF9" w14:textId="77777777" w:rsidR="003D1A8C" w:rsidRPr="00EE7C35" w:rsidRDefault="003D1A8C" w:rsidP="00350F41">
            <w:pPr>
              <w:rPr>
                <w:rFonts w:ascii="Times New Roman" w:eastAsia="新細明體" w:hAnsi="Times New Roman" w:cs="Times New Roman"/>
                <w:lang w:val="en-US" w:eastAsia="zh-TW"/>
              </w:rPr>
            </w:pPr>
            <w:r w:rsidRPr="00EE7C35">
              <w:rPr>
                <w:rFonts w:ascii="Times New Roman" w:eastAsia="新細明體" w:hAnsi="Times New Roman" w:cs="Times New Roman"/>
                <w:lang w:val="en-US" w:eastAsia="zh-TW"/>
              </w:rPr>
              <w:t>13.8</w:t>
            </w:r>
          </w:p>
        </w:tc>
        <w:tc>
          <w:tcPr>
            <w:tcW w:w="1918" w:type="dxa"/>
          </w:tcPr>
          <w:p w14:paraId="6E40F337" w14:textId="77777777" w:rsidR="003D1A8C" w:rsidRPr="00EE7C35" w:rsidRDefault="003D1A8C" w:rsidP="00350F41">
            <w:pPr>
              <w:rPr>
                <w:rFonts w:ascii="Times New Roman" w:eastAsia="新細明體" w:hAnsi="Times New Roman" w:cs="Times New Roman"/>
                <w:lang w:val="en-US" w:eastAsia="zh-TW"/>
              </w:rPr>
            </w:pPr>
            <w:r w:rsidRPr="00EE7C35">
              <w:rPr>
                <w:rFonts w:ascii="Times New Roman" w:eastAsia="新細明體" w:hAnsi="Times New Roman" w:cs="Times New Roman"/>
                <w:lang w:val="en-US" w:eastAsia="zh-TW"/>
              </w:rPr>
              <w:t>80.1</w:t>
            </w:r>
          </w:p>
        </w:tc>
      </w:tr>
      <w:tr w:rsidR="003D1A8C" w:rsidRPr="00EE7C35" w14:paraId="4A7ABCEB" w14:textId="77777777" w:rsidTr="00350F41">
        <w:trPr>
          <w:trHeight w:val="311"/>
        </w:trPr>
        <w:tc>
          <w:tcPr>
            <w:tcW w:w="2692" w:type="dxa"/>
          </w:tcPr>
          <w:p w14:paraId="69A7765B" w14:textId="77777777" w:rsidR="003D1A8C" w:rsidRPr="00EE7C35" w:rsidRDefault="003D1A8C" w:rsidP="00350F41">
            <w:pPr>
              <w:rPr>
                <w:rFonts w:ascii="Times New Roman" w:eastAsia="新細明體" w:hAnsi="Times New Roman" w:cs="Times New Roman"/>
                <w:b/>
                <w:bCs/>
                <w:lang w:val="en-US" w:eastAsia="zh-TW"/>
              </w:rPr>
            </w:pPr>
            <w:r w:rsidRPr="00EE7C35">
              <w:rPr>
                <w:rFonts w:ascii="Times New Roman" w:eastAsia="新細明體" w:hAnsi="Times New Roman" w:cs="Times New Roman"/>
                <w:b/>
                <w:bCs/>
                <w:lang w:val="en-US" w:eastAsia="zh-TW"/>
              </w:rPr>
              <w:t>Hu5F9-G4 analog</w:t>
            </w:r>
          </w:p>
        </w:tc>
        <w:tc>
          <w:tcPr>
            <w:tcW w:w="1917" w:type="dxa"/>
          </w:tcPr>
          <w:p w14:paraId="587464DD" w14:textId="77777777" w:rsidR="003D1A8C" w:rsidRPr="00EE7C35" w:rsidRDefault="003D1A8C" w:rsidP="00350F41">
            <w:pPr>
              <w:rPr>
                <w:rFonts w:ascii="Times New Roman" w:eastAsia="新細明體" w:hAnsi="Times New Roman" w:cs="Times New Roman"/>
                <w:lang w:val="en-US" w:eastAsia="zh-TW"/>
              </w:rPr>
            </w:pPr>
            <w:r w:rsidRPr="00EE7C35">
              <w:rPr>
                <w:rFonts w:ascii="Times New Roman" w:eastAsia="新細明體" w:hAnsi="Times New Roman" w:cs="Times New Roman"/>
                <w:lang w:val="en-US" w:eastAsia="zh-TW"/>
              </w:rPr>
              <w:t>47.29</w:t>
            </w:r>
          </w:p>
        </w:tc>
        <w:tc>
          <w:tcPr>
            <w:tcW w:w="1918" w:type="dxa"/>
          </w:tcPr>
          <w:p w14:paraId="044E4A08" w14:textId="77777777" w:rsidR="003D1A8C" w:rsidRPr="00EE7C35" w:rsidRDefault="003D1A8C" w:rsidP="00350F41">
            <w:pPr>
              <w:rPr>
                <w:rFonts w:ascii="Times New Roman" w:eastAsia="新細明體" w:hAnsi="Times New Roman" w:cs="Times New Roman"/>
                <w:lang w:val="en-US" w:eastAsia="zh-TW"/>
              </w:rPr>
            </w:pPr>
            <w:r w:rsidRPr="00EE7C35">
              <w:rPr>
                <w:rFonts w:ascii="Times New Roman" w:eastAsia="新細明體" w:hAnsi="Times New Roman" w:cs="Times New Roman"/>
                <w:lang w:val="en-US" w:eastAsia="zh-TW"/>
              </w:rPr>
              <w:t>271.14</w:t>
            </w:r>
          </w:p>
        </w:tc>
      </w:tr>
      <w:tr w:rsidR="003D1A8C" w:rsidRPr="00EE7C35" w14:paraId="4BB052FE" w14:textId="77777777" w:rsidTr="00350F41">
        <w:trPr>
          <w:trHeight w:val="311"/>
        </w:trPr>
        <w:tc>
          <w:tcPr>
            <w:tcW w:w="2692" w:type="dxa"/>
          </w:tcPr>
          <w:p w14:paraId="61AE5D0F" w14:textId="77777777" w:rsidR="003D1A8C" w:rsidRPr="00EE7C35" w:rsidRDefault="003D1A8C" w:rsidP="00350F41">
            <w:pPr>
              <w:rPr>
                <w:rFonts w:ascii="Times New Roman" w:eastAsia="新細明體" w:hAnsi="Times New Roman" w:cs="Times New Roman"/>
                <w:b/>
                <w:bCs/>
                <w:lang w:val="en-US" w:eastAsia="zh-TW"/>
              </w:rPr>
            </w:pPr>
            <w:r w:rsidRPr="00EE7C35">
              <w:rPr>
                <w:rFonts w:ascii="Times New Roman" w:eastAsia="新細明體" w:hAnsi="Times New Roman" w:cs="Times New Roman"/>
                <w:b/>
                <w:bCs/>
                <w:lang w:val="en-US" w:eastAsia="zh-TW"/>
              </w:rPr>
              <w:t>PD1_ECD_IgG4</w:t>
            </w:r>
          </w:p>
          <w:p w14:paraId="7934F28B" w14:textId="77777777" w:rsidR="003D1A8C" w:rsidRPr="00EE7C35" w:rsidRDefault="003D1A8C" w:rsidP="00350F41">
            <w:pPr>
              <w:rPr>
                <w:rFonts w:ascii="Times New Roman" w:eastAsia="新細明體" w:hAnsi="Times New Roman" w:cs="Times New Roman"/>
                <w:b/>
                <w:bCs/>
                <w:lang w:val="en-US" w:eastAsia="zh-TW"/>
              </w:rPr>
            </w:pPr>
            <w:r w:rsidRPr="00EE7C35">
              <w:rPr>
                <w:rFonts w:ascii="Times New Roman" w:eastAsia="新細明體" w:hAnsi="Times New Roman" w:cs="Times New Roman"/>
                <w:b/>
                <w:bCs/>
                <w:lang w:val="en-US" w:eastAsia="zh-TW"/>
              </w:rPr>
              <w:t>(Negative Control)</w:t>
            </w:r>
          </w:p>
        </w:tc>
        <w:tc>
          <w:tcPr>
            <w:tcW w:w="1917" w:type="dxa"/>
          </w:tcPr>
          <w:p w14:paraId="7F49C67D" w14:textId="77777777" w:rsidR="003D1A8C" w:rsidRPr="00EE7C35" w:rsidRDefault="003D1A8C" w:rsidP="00350F41">
            <w:pPr>
              <w:rPr>
                <w:rFonts w:ascii="Times New Roman" w:eastAsia="新細明體" w:hAnsi="Times New Roman" w:cs="Times New Roman"/>
                <w:lang w:val="en-US" w:eastAsia="zh-TW"/>
              </w:rPr>
            </w:pPr>
            <w:r w:rsidRPr="00EE7C35">
              <w:rPr>
                <w:rFonts w:ascii="Times New Roman" w:eastAsia="新細明體" w:hAnsi="Times New Roman" w:cs="Times New Roman"/>
                <w:lang w:val="en-US" w:eastAsia="zh-TW"/>
              </w:rPr>
              <w:t>N.D.*</w:t>
            </w:r>
          </w:p>
        </w:tc>
        <w:tc>
          <w:tcPr>
            <w:tcW w:w="1918" w:type="dxa"/>
          </w:tcPr>
          <w:p w14:paraId="4C509D53" w14:textId="77777777" w:rsidR="003D1A8C" w:rsidRPr="00EE7C35" w:rsidRDefault="003D1A8C" w:rsidP="00350F41">
            <w:pPr>
              <w:rPr>
                <w:rFonts w:ascii="Times New Roman" w:eastAsia="新細明體" w:hAnsi="Times New Roman" w:cs="Times New Roman"/>
                <w:lang w:val="en-US" w:eastAsia="zh-TW"/>
              </w:rPr>
            </w:pPr>
            <w:r w:rsidRPr="00EE7C35">
              <w:rPr>
                <w:rFonts w:ascii="Times New Roman" w:eastAsia="新細明體" w:hAnsi="Times New Roman" w:cs="Times New Roman"/>
                <w:lang w:val="en-US" w:eastAsia="zh-TW"/>
              </w:rPr>
              <w:t>N.D.*</w:t>
            </w:r>
          </w:p>
        </w:tc>
      </w:tr>
    </w:tbl>
    <w:p w14:paraId="466CABF2" w14:textId="77777777" w:rsidR="003D1A8C" w:rsidRPr="00EE7C35" w:rsidRDefault="003D1A8C" w:rsidP="003D1A8C">
      <w:pPr>
        <w:rPr>
          <w:rFonts w:ascii="Times New Roman" w:eastAsia="新細明體" w:hAnsi="Times New Roman" w:cs="Times New Roman"/>
        </w:rPr>
      </w:pPr>
      <w:r w:rsidRPr="00EE7C35">
        <w:rPr>
          <w:rFonts w:ascii="Times New Roman" w:eastAsia="新細明體" w:hAnsi="Times New Roman" w:cs="Times New Roman"/>
        </w:rPr>
        <w:t>N.D.*: Not Detected</w:t>
      </w:r>
    </w:p>
    <w:p w14:paraId="24907F23" w14:textId="77777777" w:rsidR="003D1A8C" w:rsidRPr="00EE7C35" w:rsidRDefault="003D1A8C" w:rsidP="003D1A8C">
      <w:pPr>
        <w:spacing w:line="480" w:lineRule="auto"/>
        <w:rPr>
          <w:rFonts w:ascii="Times New Roman" w:hAnsi="Times New Roman" w:cs="Times New Roman"/>
        </w:rPr>
      </w:pPr>
    </w:p>
    <w:p w14:paraId="4264ECBE" w14:textId="2E132A14" w:rsidR="003D1A8C" w:rsidRPr="00EE7C35" w:rsidRDefault="003D1A8C" w:rsidP="003D1A8C">
      <w:pPr>
        <w:pStyle w:val="Caption"/>
        <w:keepNext/>
        <w:spacing w:line="480" w:lineRule="auto"/>
        <w:rPr>
          <w:rFonts w:ascii="Times New Roman" w:eastAsia="新細明體" w:hAnsi="Times New Roman" w:cs="Times New Roman"/>
          <w:b/>
          <w:color w:val="000000" w:themeColor="text1"/>
          <w:sz w:val="24"/>
          <w:szCs w:val="24"/>
          <w:lang w:val="en-US" w:eastAsia="zh-TW"/>
        </w:rPr>
      </w:pPr>
      <w:r w:rsidRPr="00EE7C35">
        <w:rPr>
          <w:rFonts w:ascii="Times New Roman" w:hAnsi="Times New Roman" w:cs="Times New Roman"/>
          <w:b/>
          <w:bCs/>
          <w:sz w:val="24"/>
          <w:szCs w:val="24"/>
          <w:lang w:eastAsia="zh-TW"/>
        </w:rPr>
        <w:t>S</w:t>
      </w:r>
      <w:r w:rsidRPr="00EE7C35">
        <w:rPr>
          <w:rFonts w:ascii="Times New Roman" w:hAnsi="Times New Roman" w:cs="Times New Roman"/>
          <w:b/>
          <w:bCs/>
          <w:sz w:val="24"/>
          <w:szCs w:val="24"/>
        </w:rPr>
        <w:t>upplementary Table S2.</w:t>
      </w:r>
      <w:r w:rsidRPr="00EE7C35">
        <w:rPr>
          <w:rFonts w:ascii="Times New Roman" w:eastAsia="新細明體" w:hAnsi="Times New Roman" w:cs="Times New Roman"/>
          <w:bCs/>
          <w:color w:val="000000" w:themeColor="text1"/>
          <w:sz w:val="24"/>
          <w:szCs w:val="24"/>
          <w:lang w:val="en-US" w:eastAsia="zh-TW"/>
        </w:rPr>
        <w:t xml:space="preserve"> Binding kinetics of HCB101 to human CD47_ECD</w:t>
      </w:r>
    </w:p>
    <w:tbl>
      <w:tblPr>
        <w:tblW w:w="5000" w:type="pct"/>
        <w:jc w:val="center"/>
        <w:tblCellMar>
          <w:left w:w="28" w:type="dxa"/>
          <w:right w:w="28" w:type="dxa"/>
        </w:tblCellMar>
        <w:tblLook w:val="04A0" w:firstRow="1" w:lastRow="0" w:firstColumn="1" w:lastColumn="0" w:noHBand="0" w:noVBand="1"/>
      </w:tblPr>
      <w:tblGrid>
        <w:gridCol w:w="2063"/>
        <w:gridCol w:w="2075"/>
        <w:gridCol w:w="2075"/>
        <w:gridCol w:w="2073"/>
      </w:tblGrid>
      <w:tr w:rsidR="003D1A8C" w:rsidRPr="00EE7C35" w14:paraId="42A1BC2C" w14:textId="77777777" w:rsidTr="00350F41">
        <w:trPr>
          <w:trHeight w:val="336"/>
          <w:jc w:val="center"/>
        </w:trPr>
        <w:tc>
          <w:tcPr>
            <w:tcW w:w="1245" w:type="pct"/>
            <w:vMerge w:val="restart"/>
            <w:tcBorders>
              <w:top w:val="single" w:sz="8" w:space="0" w:color="auto"/>
              <w:left w:val="single" w:sz="8" w:space="0" w:color="auto"/>
              <w:bottom w:val="single" w:sz="8" w:space="0" w:color="000000"/>
              <w:right w:val="single" w:sz="8" w:space="0" w:color="auto"/>
            </w:tcBorders>
            <w:vAlign w:val="center"/>
            <w:hideMark/>
          </w:tcPr>
          <w:p w14:paraId="34DB0A38" w14:textId="77777777" w:rsidR="003D1A8C" w:rsidRPr="00EE7C35" w:rsidRDefault="003D1A8C" w:rsidP="003D1A8C">
            <w:pPr>
              <w:spacing w:line="480" w:lineRule="auto"/>
              <w:jc w:val="both"/>
              <w:rPr>
                <w:rFonts w:ascii="Times New Roman" w:eastAsia="新細明體" w:hAnsi="Times New Roman" w:cs="Times New Roman"/>
                <w:b/>
                <w:bCs/>
                <w:color w:val="000000"/>
              </w:rPr>
            </w:pPr>
            <w:r w:rsidRPr="00EE7C35">
              <w:rPr>
                <w:rFonts w:ascii="Times New Roman" w:eastAsia="新細明體" w:hAnsi="Times New Roman" w:cs="Times New Roman"/>
                <w:b/>
                <w:bCs/>
                <w:color w:val="000000"/>
              </w:rPr>
              <w:t>Experiment No.</w:t>
            </w:r>
          </w:p>
        </w:tc>
        <w:tc>
          <w:tcPr>
            <w:tcW w:w="3755" w:type="pct"/>
            <w:gridSpan w:val="3"/>
            <w:tcBorders>
              <w:top w:val="single" w:sz="8" w:space="0" w:color="auto"/>
              <w:left w:val="nil"/>
              <w:bottom w:val="single" w:sz="8" w:space="0" w:color="auto"/>
              <w:right w:val="single" w:sz="8" w:space="0" w:color="000000"/>
            </w:tcBorders>
            <w:vAlign w:val="center"/>
            <w:hideMark/>
          </w:tcPr>
          <w:p w14:paraId="5223CDF9" w14:textId="77777777" w:rsidR="003D1A8C" w:rsidRPr="00EE7C35" w:rsidRDefault="003D1A8C" w:rsidP="003D1A8C">
            <w:pPr>
              <w:spacing w:line="480" w:lineRule="auto"/>
              <w:jc w:val="both"/>
              <w:rPr>
                <w:rFonts w:ascii="Times New Roman" w:eastAsia="新細明體" w:hAnsi="Times New Roman" w:cs="Times New Roman"/>
                <w:b/>
                <w:bCs/>
                <w:color w:val="000000"/>
              </w:rPr>
            </w:pPr>
            <w:r w:rsidRPr="00EE7C35">
              <w:rPr>
                <w:rFonts w:ascii="Times New Roman" w:eastAsia="新細明體" w:hAnsi="Times New Roman" w:cs="Times New Roman"/>
                <w:b/>
                <w:bCs/>
                <w:color w:val="000000"/>
              </w:rPr>
              <w:t>Human CD47_ECD</w:t>
            </w:r>
          </w:p>
        </w:tc>
      </w:tr>
      <w:tr w:rsidR="003D1A8C" w:rsidRPr="00EE7C35" w14:paraId="6F32B74D" w14:textId="77777777" w:rsidTr="00350F41">
        <w:trPr>
          <w:trHeight w:val="336"/>
          <w:jc w:val="center"/>
        </w:trPr>
        <w:tc>
          <w:tcPr>
            <w:tcW w:w="1245" w:type="pct"/>
            <w:vMerge/>
            <w:tcBorders>
              <w:top w:val="single" w:sz="8" w:space="0" w:color="auto"/>
              <w:left w:val="single" w:sz="8" w:space="0" w:color="auto"/>
              <w:bottom w:val="single" w:sz="8" w:space="0" w:color="000000"/>
              <w:right w:val="single" w:sz="8" w:space="0" w:color="auto"/>
            </w:tcBorders>
            <w:vAlign w:val="center"/>
            <w:hideMark/>
          </w:tcPr>
          <w:p w14:paraId="51BCC158" w14:textId="77777777" w:rsidR="003D1A8C" w:rsidRPr="00EE7C35" w:rsidRDefault="003D1A8C" w:rsidP="003D1A8C">
            <w:pPr>
              <w:spacing w:line="480" w:lineRule="auto"/>
              <w:jc w:val="both"/>
              <w:rPr>
                <w:rFonts w:ascii="Times New Roman" w:eastAsia="新細明體" w:hAnsi="Times New Roman" w:cs="Times New Roman"/>
                <w:b/>
                <w:bCs/>
                <w:color w:val="000000"/>
              </w:rPr>
            </w:pPr>
          </w:p>
        </w:tc>
        <w:tc>
          <w:tcPr>
            <w:tcW w:w="1252" w:type="pct"/>
            <w:tcBorders>
              <w:top w:val="nil"/>
              <w:left w:val="nil"/>
              <w:bottom w:val="single" w:sz="8" w:space="0" w:color="auto"/>
              <w:right w:val="single" w:sz="8" w:space="0" w:color="auto"/>
            </w:tcBorders>
            <w:vAlign w:val="center"/>
            <w:hideMark/>
          </w:tcPr>
          <w:p w14:paraId="5152333F" w14:textId="77777777" w:rsidR="003D1A8C" w:rsidRPr="00EE7C35" w:rsidRDefault="003D1A8C" w:rsidP="003D1A8C">
            <w:pPr>
              <w:spacing w:line="480" w:lineRule="auto"/>
              <w:jc w:val="both"/>
              <w:rPr>
                <w:rFonts w:ascii="Times New Roman" w:eastAsia="新細明體" w:hAnsi="Times New Roman" w:cs="Times New Roman"/>
                <w:b/>
                <w:bCs/>
                <w:color w:val="000000"/>
              </w:rPr>
            </w:pPr>
            <w:r w:rsidRPr="00EE7C35">
              <w:rPr>
                <w:rFonts w:ascii="Times New Roman" w:eastAsia="新細明體" w:hAnsi="Times New Roman" w:cs="Times New Roman"/>
                <w:b/>
                <w:bCs/>
                <w:color w:val="000000"/>
              </w:rPr>
              <w:t>ka [1</w:t>
            </w:r>
            <w:proofErr w:type="gramStart"/>
            <w:r w:rsidRPr="00EE7C35">
              <w:rPr>
                <w:rFonts w:ascii="Times New Roman" w:eastAsia="新細明體" w:hAnsi="Times New Roman" w:cs="Times New Roman"/>
                <w:b/>
                <w:bCs/>
                <w:color w:val="000000"/>
              </w:rPr>
              <w:t>/(</w:t>
            </w:r>
            <w:proofErr w:type="gramEnd"/>
            <w:r w:rsidRPr="00EE7C35">
              <w:rPr>
                <w:rFonts w:ascii="Times New Roman" w:eastAsia="新細明體" w:hAnsi="Times New Roman" w:cs="Times New Roman"/>
                <w:b/>
                <w:bCs/>
                <w:color w:val="000000"/>
              </w:rPr>
              <w:t>M s)]</w:t>
            </w:r>
          </w:p>
        </w:tc>
        <w:tc>
          <w:tcPr>
            <w:tcW w:w="1252" w:type="pct"/>
            <w:tcBorders>
              <w:top w:val="nil"/>
              <w:left w:val="nil"/>
              <w:bottom w:val="single" w:sz="8" w:space="0" w:color="auto"/>
              <w:right w:val="single" w:sz="8" w:space="0" w:color="auto"/>
            </w:tcBorders>
            <w:vAlign w:val="center"/>
            <w:hideMark/>
          </w:tcPr>
          <w:p w14:paraId="5984CF67" w14:textId="77777777" w:rsidR="003D1A8C" w:rsidRPr="00EE7C35" w:rsidRDefault="003D1A8C" w:rsidP="003D1A8C">
            <w:pPr>
              <w:spacing w:line="480" w:lineRule="auto"/>
              <w:jc w:val="both"/>
              <w:rPr>
                <w:rFonts w:ascii="Times New Roman" w:eastAsia="新細明體" w:hAnsi="Times New Roman" w:cs="Times New Roman"/>
                <w:b/>
                <w:bCs/>
                <w:color w:val="000000"/>
              </w:rPr>
            </w:pPr>
            <w:proofErr w:type="spellStart"/>
            <w:r w:rsidRPr="00EE7C35">
              <w:rPr>
                <w:rFonts w:ascii="Times New Roman" w:eastAsia="新細明體" w:hAnsi="Times New Roman" w:cs="Times New Roman"/>
                <w:b/>
                <w:bCs/>
                <w:color w:val="000000"/>
              </w:rPr>
              <w:t>kd</w:t>
            </w:r>
            <w:proofErr w:type="spellEnd"/>
            <w:r w:rsidRPr="00EE7C35">
              <w:rPr>
                <w:rFonts w:ascii="Times New Roman" w:eastAsia="新細明體" w:hAnsi="Times New Roman" w:cs="Times New Roman"/>
                <w:b/>
                <w:bCs/>
                <w:color w:val="000000"/>
              </w:rPr>
              <w:t xml:space="preserve"> [1/s]</w:t>
            </w:r>
          </w:p>
        </w:tc>
        <w:tc>
          <w:tcPr>
            <w:tcW w:w="1252" w:type="pct"/>
            <w:tcBorders>
              <w:top w:val="nil"/>
              <w:left w:val="nil"/>
              <w:bottom w:val="single" w:sz="8" w:space="0" w:color="auto"/>
              <w:right w:val="single" w:sz="8" w:space="0" w:color="auto"/>
            </w:tcBorders>
            <w:vAlign w:val="center"/>
            <w:hideMark/>
          </w:tcPr>
          <w:p w14:paraId="57158240" w14:textId="77777777" w:rsidR="003D1A8C" w:rsidRPr="00EE7C35" w:rsidRDefault="003D1A8C" w:rsidP="003D1A8C">
            <w:pPr>
              <w:spacing w:line="480" w:lineRule="auto"/>
              <w:jc w:val="both"/>
              <w:rPr>
                <w:rFonts w:ascii="Times New Roman" w:eastAsia="新細明體" w:hAnsi="Times New Roman" w:cs="Times New Roman"/>
                <w:b/>
                <w:bCs/>
                <w:color w:val="000000"/>
              </w:rPr>
            </w:pPr>
            <w:proofErr w:type="spellStart"/>
            <w:proofErr w:type="gramStart"/>
            <w:r w:rsidRPr="00EE7C35">
              <w:rPr>
                <w:rFonts w:ascii="Times New Roman" w:eastAsia="新細明體" w:hAnsi="Times New Roman" w:cs="Times New Roman"/>
                <w:b/>
                <w:bCs/>
                <w:color w:val="000000"/>
              </w:rPr>
              <w:t>Kd</w:t>
            </w:r>
            <w:proofErr w:type="spellEnd"/>
            <w:proofErr w:type="gramEnd"/>
            <w:r w:rsidRPr="00EE7C35">
              <w:rPr>
                <w:rFonts w:ascii="Times New Roman" w:eastAsia="新細明體" w:hAnsi="Times New Roman" w:cs="Times New Roman"/>
                <w:b/>
                <w:bCs/>
                <w:color w:val="000000"/>
              </w:rPr>
              <w:t xml:space="preserve"> [M]</w:t>
            </w:r>
          </w:p>
        </w:tc>
      </w:tr>
      <w:tr w:rsidR="003D1A8C" w:rsidRPr="00EE7C35" w14:paraId="41F42740" w14:textId="77777777" w:rsidTr="00350F41">
        <w:trPr>
          <w:trHeight w:val="336"/>
          <w:jc w:val="center"/>
        </w:trPr>
        <w:tc>
          <w:tcPr>
            <w:tcW w:w="1245" w:type="pct"/>
            <w:tcBorders>
              <w:top w:val="nil"/>
              <w:left w:val="single" w:sz="8" w:space="0" w:color="auto"/>
              <w:bottom w:val="single" w:sz="8" w:space="0" w:color="auto"/>
              <w:right w:val="single" w:sz="8" w:space="0" w:color="auto"/>
            </w:tcBorders>
            <w:vAlign w:val="center"/>
            <w:hideMark/>
          </w:tcPr>
          <w:p w14:paraId="07AEEDF3" w14:textId="77777777" w:rsidR="003D1A8C" w:rsidRPr="00EE7C35" w:rsidRDefault="003D1A8C" w:rsidP="003D1A8C">
            <w:pPr>
              <w:spacing w:line="480" w:lineRule="auto"/>
              <w:jc w:val="both"/>
              <w:rPr>
                <w:rFonts w:ascii="Times New Roman" w:eastAsia="新細明體" w:hAnsi="Times New Roman" w:cs="Times New Roman"/>
                <w:color w:val="000000"/>
              </w:rPr>
            </w:pPr>
            <w:r w:rsidRPr="00EE7C35">
              <w:rPr>
                <w:rFonts w:ascii="Times New Roman" w:eastAsia="新細明體" w:hAnsi="Times New Roman" w:cs="Times New Roman"/>
                <w:color w:val="000000"/>
              </w:rPr>
              <w:t>Experiment 1</w:t>
            </w:r>
          </w:p>
        </w:tc>
        <w:tc>
          <w:tcPr>
            <w:tcW w:w="1252" w:type="pct"/>
            <w:tcBorders>
              <w:top w:val="nil"/>
              <w:left w:val="nil"/>
              <w:bottom w:val="single" w:sz="8" w:space="0" w:color="auto"/>
              <w:right w:val="single" w:sz="8" w:space="0" w:color="auto"/>
            </w:tcBorders>
            <w:vAlign w:val="center"/>
            <w:hideMark/>
          </w:tcPr>
          <w:p w14:paraId="5CEB492F" w14:textId="77777777" w:rsidR="003D1A8C" w:rsidRPr="00EE7C35" w:rsidRDefault="003D1A8C" w:rsidP="003D1A8C">
            <w:pPr>
              <w:spacing w:line="480" w:lineRule="auto"/>
              <w:jc w:val="both"/>
              <w:rPr>
                <w:rFonts w:ascii="Times New Roman" w:eastAsia="新細明體" w:hAnsi="Times New Roman" w:cs="Times New Roman"/>
                <w:color w:val="000000"/>
              </w:rPr>
            </w:pPr>
            <w:r w:rsidRPr="00EE7C35">
              <w:rPr>
                <w:rFonts w:ascii="Times New Roman" w:eastAsia="新細明體" w:hAnsi="Times New Roman" w:cs="Times New Roman"/>
                <w:color w:val="000000"/>
              </w:rPr>
              <w:t>6.39 ± 0.11×10</w:t>
            </w:r>
            <w:r w:rsidRPr="00EE7C35">
              <w:rPr>
                <w:rFonts w:ascii="Times New Roman" w:eastAsia="新細明體" w:hAnsi="Times New Roman" w:cs="Times New Roman"/>
                <w:color w:val="000000"/>
                <w:vertAlign w:val="superscript"/>
              </w:rPr>
              <w:t>5</w:t>
            </w:r>
          </w:p>
        </w:tc>
        <w:tc>
          <w:tcPr>
            <w:tcW w:w="1252" w:type="pct"/>
            <w:tcBorders>
              <w:top w:val="nil"/>
              <w:left w:val="nil"/>
              <w:bottom w:val="single" w:sz="8" w:space="0" w:color="auto"/>
              <w:right w:val="single" w:sz="8" w:space="0" w:color="auto"/>
            </w:tcBorders>
            <w:vAlign w:val="center"/>
            <w:hideMark/>
          </w:tcPr>
          <w:p w14:paraId="49637BF9" w14:textId="77777777" w:rsidR="003D1A8C" w:rsidRPr="00EE7C35" w:rsidRDefault="003D1A8C" w:rsidP="003D1A8C">
            <w:pPr>
              <w:spacing w:line="480" w:lineRule="auto"/>
              <w:jc w:val="both"/>
              <w:rPr>
                <w:rFonts w:ascii="Times New Roman" w:eastAsia="新細明體" w:hAnsi="Times New Roman" w:cs="Times New Roman"/>
                <w:color w:val="000000"/>
              </w:rPr>
            </w:pPr>
            <w:r w:rsidRPr="00EE7C35">
              <w:rPr>
                <w:rFonts w:ascii="Times New Roman" w:eastAsia="新細明體" w:hAnsi="Times New Roman" w:cs="Times New Roman"/>
                <w:color w:val="000000"/>
              </w:rPr>
              <w:t>3.19 ± 0.09×10</w:t>
            </w:r>
            <w:r w:rsidRPr="00EE7C35">
              <w:rPr>
                <w:rFonts w:ascii="Times New Roman" w:eastAsia="新細明體" w:hAnsi="Times New Roman" w:cs="Times New Roman"/>
                <w:color w:val="000000"/>
                <w:vertAlign w:val="superscript"/>
              </w:rPr>
              <w:t>-4</w:t>
            </w:r>
          </w:p>
        </w:tc>
        <w:tc>
          <w:tcPr>
            <w:tcW w:w="1252" w:type="pct"/>
            <w:tcBorders>
              <w:top w:val="nil"/>
              <w:left w:val="nil"/>
              <w:bottom w:val="single" w:sz="8" w:space="0" w:color="auto"/>
              <w:right w:val="single" w:sz="8" w:space="0" w:color="auto"/>
            </w:tcBorders>
            <w:vAlign w:val="center"/>
            <w:hideMark/>
          </w:tcPr>
          <w:p w14:paraId="0897C884" w14:textId="77777777" w:rsidR="003D1A8C" w:rsidRPr="00EE7C35" w:rsidRDefault="003D1A8C" w:rsidP="003D1A8C">
            <w:pPr>
              <w:spacing w:line="480" w:lineRule="auto"/>
              <w:jc w:val="both"/>
              <w:rPr>
                <w:rFonts w:ascii="Times New Roman" w:eastAsia="新細明體" w:hAnsi="Times New Roman" w:cs="Times New Roman"/>
                <w:color w:val="000000"/>
              </w:rPr>
            </w:pPr>
            <w:r w:rsidRPr="00EE7C35">
              <w:rPr>
                <w:rFonts w:ascii="Times New Roman" w:eastAsia="新細明體" w:hAnsi="Times New Roman" w:cs="Times New Roman"/>
                <w:color w:val="000000"/>
              </w:rPr>
              <w:t>4.99 ± 0.17×10</w:t>
            </w:r>
            <w:r w:rsidRPr="00EE7C35">
              <w:rPr>
                <w:rFonts w:ascii="Times New Roman" w:eastAsia="新細明體" w:hAnsi="Times New Roman" w:cs="Times New Roman"/>
                <w:color w:val="000000"/>
                <w:vertAlign w:val="superscript"/>
              </w:rPr>
              <w:t>-9</w:t>
            </w:r>
          </w:p>
        </w:tc>
      </w:tr>
      <w:tr w:rsidR="003D1A8C" w:rsidRPr="00EE7C35" w14:paraId="2588DE12" w14:textId="77777777" w:rsidTr="00350F41">
        <w:trPr>
          <w:trHeight w:val="336"/>
          <w:jc w:val="center"/>
        </w:trPr>
        <w:tc>
          <w:tcPr>
            <w:tcW w:w="1245" w:type="pct"/>
            <w:tcBorders>
              <w:top w:val="nil"/>
              <w:left w:val="single" w:sz="8" w:space="0" w:color="auto"/>
              <w:bottom w:val="single" w:sz="8" w:space="0" w:color="auto"/>
              <w:right w:val="single" w:sz="8" w:space="0" w:color="auto"/>
            </w:tcBorders>
            <w:vAlign w:val="center"/>
            <w:hideMark/>
          </w:tcPr>
          <w:p w14:paraId="4E929E09" w14:textId="77777777" w:rsidR="003D1A8C" w:rsidRPr="00EE7C35" w:rsidRDefault="003D1A8C" w:rsidP="003D1A8C">
            <w:pPr>
              <w:spacing w:line="480" w:lineRule="auto"/>
              <w:jc w:val="both"/>
              <w:rPr>
                <w:rFonts w:ascii="Times New Roman" w:eastAsia="新細明體" w:hAnsi="Times New Roman" w:cs="Times New Roman"/>
                <w:color w:val="000000"/>
              </w:rPr>
            </w:pPr>
            <w:r w:rsidRPr="00EE7C35">
              <w:rPr>
                <w:rFonts w:ascii="Times New Roman" w:eastAsia="新細明體" w:hAnsi="Times New Roman" w:cs="Times New Roman"/>
                <w:color w:val="000000"/>
              </w:rPr>
              <w:t>Experiment 2</w:t>
            </w:r>
          </w:p>
        </w:tc>
        <w:tc>
          <w:tcPr>
            <w:tcW w:w="1252" w:type="pct"/>
            <w:tcBorders>
              <w:top w:val="nil"/>
              <w:left w:val="nil"/>
              <w:bottom w:val="single" w:sz="8" w:space="0" w:color="auto"/>
              <w:right w:val="single" w:sz="8" w:space="0" w:color="auto"/>
            </w:tcBorders>
            <w:vAlign w:val="center"/>
            <w:hideMark/>
          </w:tcPr>
          <w:p w14:paraId="69C5ACAA" w14:textId="77777777" w:rsidR="003D1A8C" w:rsidRPr="00EE7C35" w:rsidRDefault="003D1A8C" w:rsidP="003D1A8C">
            <w:pPr>
              <w:spacing w:line="480" w:lineRule="auto"/>
              <w:jc w:val="both"/>
              <w:rPr>
                <w:rFonts w:ascii="Times New Roman" w:eastAsia="新細明體" w:hAnsi="Times New Roman" w:cs="Times New Roman"/>
                <w:color w:val="000000"/>
              </w:rPr>
            </w:pPr>
            <w:r w:rsidRPr="00EE7C35">
              <w:rPr>
                <w:rFonts w:ascii="Times New Roman" w:eastAsia="新細明體" w:hAnsi="Times New Roman" w:cs="Times New Roman"/>
                <w:color w:val="000000"/>
              </w:rPr>
              <w:t>6.69 ± 0.44×10</w:t>
            </w:r>
            <w:r w:rsidRPr="00EE7C35">
              <w:rPr>
                <w:rFonts w:ascii="Times New Roman" w:eastAsia="新細明體" w:hAnsi="Times New Roman" w:cs="Times New Roman"/>
                <w:color w:val="000000"/>
                <w:vertAlign w:val="superscript"/>
              </w:rPr>
              <w:t>5</w:t>
            </w:r>
          </w:p>
        </w:tc>
        <w:tc>
          <w:tcPr>
            <w:tcW w:w="1252" w:type="pct"/>
            <w:tcBorders>
              <w:top w:val="nil"/>
              <w:left w:val="nil"/>
              <w:bottom w:val="single" w:sz="8" w:space="0" w:color="auto"/>
              <w:right w:val="single" w:sz="8" w:space="0" w:color="auto"/>
            </w:tcBorders>
            <w:vAlign w:val="center"/>
            <w:hideMark/>
          </w:tcPr>
          <w:p w14:paraId="5F7DD717" w14:textId="77777777" w:rsidR="003D1A8C" w:rsidRPr="00EE7C35" w:rsidRDefault="003D1A8C" w:rsidP="003D1A8C">
            <w:pPr>
              <w:spacing w:line="480" w:lineRule="auto"/>
              <w:jc w:val="both"/>
              <w:rPr>
                <w:rFonts w:ascii="Times New Roman" w:eastAsia="新細明體" w:hAnsi="Times New Roman" w:cs="Times New Roman"/>
                <w:color w:val="000000"/>
              </w:rPr>
            </w:pPr>
            <w:r w:rsidRPr="00EE7C35">
              <w:rPr>
                <w:rFonts w:ascii="Times New Roman" w:eastAsia="新細明體" w:hAnsi="Times New Roman" w:cs="Times New Roman"/>
                <w:color w:val="000000"/>
              </w:rPr>
              <w:t>4.17 ± 0.24×10</w:t>
            </w:r>
            <w:r w:rsidRPr="00EE7C35">
              <w:rPr>
                <w:rFonts w:ascii="Times New Roman" w:eastAsia="新細明體" w:hAnsi="Times New Roman" w:cs="Times New Roman"/>
                <w:color w:val="000000"/>
                <w:vertAlign w:val="superscript"/>
              </w:rPr>
              <w:t>-4</w:t>
            </w:r>
          </w:p>
        </w:tc>
        <w:tc>
          <w:tcPr>
            <w:tcW w:w="1252" w:type="pct"/>
            <w:tcBorders>
              <w:top w:val="nil"/>
              <w:left w:val="nil"/>
              <w:bottom w:val="single" w:sz="8" w:space="0" w:color="auto"/>
              <w:right w:val="single" w:sz="8" w:space="0" w:color="auto"/>
            </w:tcBorders>
            <w:vAlign w:val="center"/>
            <w:hideMark/>
          </w:tcPr>
          <w:p w14:paraId="79B16551" w14:textId="77777777" w:rsidR="003D1A8C" w:rsidRPr="00EE7C35" w:rsidRDefault="003D1A8C" w:rsidP="003D1A8C">
            <w:pPr>
              <w:spacing w:line="480" w:lineRule="auto"/>
              <w:jc w:val="both"/>
              <w:rPr>
                <w:rFonts w:ascii="Times New Roman" w:eastAsia="新細明體" w:hAnsi="Times New Roman" w:cs="Times New Roman"/>
                <w:color w:val="000000"/>
              </w:rPr>
            </w:pPr>
            <w:r w:rsidRPr="00EE7C35">
              <w:rPr>
                <w:rFonts w:ascii="Times New Roman" w:eastAsia="新細明體" w:hAnsi="Times New Roman" w:cs="Times New Roman"/>
                <w:color w:val="000000"/>
              </w:rPr>
              <w:t>6.24 ± 0.26×10</w:t>
            </w:r>
            <w:r w:rsidRPr="00EE7C35">
              <w:rPr>
                <w:rFonts w:ascii="Times New Roman" w:eastAsia="新細明體" w:hAnsi="Times New Roman" w:cs="Times New Roman"/>
                <w:color w:val="000000"/>
                <w:vertAlign w:val="superscript"/>
              </w:rPr>
              <w:t>-9</w:t>
            </w:r>
          </w:p>
        </w:tc>
      </w:tr>
      <w:tr w:rsidR="003D1A8C" w:rsidRPr="00EE7C35" w14:paraId="2892CFA3" w14:textId="77777777" w:rsidTr="00350F41">
        <w:trPr>
          <w:trHeight w:val="336"/>
          <w:jc w:val="center"/>
        </w:trPr>
        <w:tc>
          <w:tcPr>
            <w:tcW w:w="1245" w:type="pct"/>
            <w:tcBorders>
              <w:top w:val="nil"/>
              <w:left w:val="single" w:sz="8" w:space="0" w:color="auto"/>
              <w:bottom w:val="single" w:sz="8" w:space="0" w:color="auto"/>
              <w:right w:val="single" w:sz="8" w:space="0" w:color="auto"/>
            </w:tcBorders>
            <w:vAlign w:val="center"/>
            <w:hideMark/>
          </w:tcPr>
          <w:p w14:paraId="0EBC25F1" w14:textId="77777777" w:rsidR="003D1A8C" w:rsidRPr="00EE7C35" w:rsidRDefault="003D1A8C" w:rsidP="003D1A8C">
            <w:pPr>
              <w:spacing w:line="480" w:lineRule="auto"/>
              <w:jc w:val="both"/>
              <w:rPr>
                <w:rFonts w:ascii="Times New Roman" w:eastAsia="新細明體" w:hAnsi="Times New Roman" w:cs="Times New Roman"/>
                <w:b/>
                <w:bCs/>
                <w:color w:val="000000"/>
              </w:rPr>
            </w:pPr>
            <w:r w:rsidRPr="00EE7C35">
              <w:rPr>
                <w:rFonts w:ascii="Times New Roman" w:eastAsia="新細明體" w:hAnsi="Times New Roman" w:cs="Times New Roman"/>
                <w:b/>
                <w:bCs/>
                <w:color w:val="000000"/>
              </w:rPr>
              <w:t>Average</w:t>
            </w:r>
          </w:p>
        </w:tc>
        <w:tc>
          <w:tcPr>
            <w:tcW w:w="1252" w:type="pct"/>
            <w:tcBorders>
              <w:top w:val="nil"/>
              <w:left w:val="nil"/>
              <w:bottom w:val="single" w:sz="8" w:space="0" w:color="auto"/>
              <w:right w:val="single" w:sz="8" w:space="0" w:color="auto"/>
            </w:tcBorders>
            <w:vAlign w:val="center"/>
            <w:hideMark/>
          </w:tcPr>
          <w:p w14:paraId="63085A60" w14:textId="77777777" w:rsidR="003D1A8C" w:rsidRPr="00EE7C35" w:rsidRDefault="003D1A8C" w:rsidP="003D1A8C">
            <w:pPr>
              <w:spacing w:line="480" w:lineRule="auto"/>
              <w:jc w:val="both"/>
              <w:rPr>
                <w:rFonts w:ascii="Times New Roman" w:eastAsia="新細明體" w:hAnsi="Times New Roman" w:cs="Times New Roman"/>
                <w:color w:val="000000"/>
              </w:rPr>
            </w:pPr>
            <w:r w:rsidRPr="00EE7C35">
              <w:rPr>
                <w:rFonts w:ascii="Times New Roman" w:eastAsia="新細明體" w:hAnsi="Times New Roman" w:cs="Times New Roman"/>
                <w:color w:val="000000"/>
              </w:rPr>
              <w:t>6.54 ×10</w:t>
            </w:r>
            <w:r w:rsidRPr="00EE7C35">
              <w:rPr>
                <w:rFonts w:ascii="Times New Roman" w:eastAsia="新細明體" w:hAnsi="Times New Roman" w:cs="Times New Roman"/>
                <w:color w:val="000000"/>
                <w:vertAlign w:val="superscript"/>
              </w:rPr>
              <w:t>5</w:t>
            </w:r>
          </w:p>
        </w:tc>
        <w:tc>
          <w:tcPr>
            <w:tcW w:w="1252" w:type="pct"/>
            <w:tcBorders>
              <w:top w:val="nil"/>
              <w:left w:val="nil"/>
              <w:bottom w:val="single" w:sz="8" w:space="0" w:color="auto"/>
              <w:right w:val="single" w:sz="8" w:space="0" w:color="auto"/>
            </w:tcBorders>
            <w:vAlign w:val="center"/>
            <w:hideMark/>
          </w:tcPr>
          <w:p w14:paraId="52800E2F" w14:textId="77777777" w:rsidR="003D1A8C" w:rsidRPr="00EE7C35" w:rsidRDefault="003D1A8C" w:rsidP="003D1A8C">
            <w:pPr>
              <w:spacing w:line="480" w:lineRule="auto"/>
              <w:jc w:val="both"/>
              <w:rPr>
                <w:rFonts w:ascii="Times New Roman" w:eastAsia="新細明體" w:hAnsi="Times New Roman" w:cs="Times New Roman"/>
                <w:color w:val="000000"/>
              </w:rPr>
            </w:pPr>
            <w:proofErr w:type="gramStart"/>
            <w:r w:rsidRPr="00EE7C35">
              <w:rPr>
                <w:rFonts w:ascii="Times New Roman" w:eastAsia="新細明體" w:hAnsi="Times New Roman" w:cs="Times New Roman"/>
                <w:color w:val="000000"/>
              </w:rPr>
              <w:t>3.68×10</w:t>
            </w:r>
            <w:proofErr w:type="gramEnd"/>
            <w:r w:rsidRPr="00EE7C35">
              <w:rPr>
                <w:rFonts w:ascii="Times New Roman" w:eastAsia="新細明體" w:hAnsi="Times New Roman" w:cs="Times New Roman"/>
                <w:color w:val="000000"/>
                <w:vertAlign w:val="superscript"/>
              </w:rPr>
              <w:t>-4</w:t>
            </w:r>
          </w:p>
        </w:tc>
        <w:tc>
          <w:tcPr>
            <w:tcW w:w="1252" w:type="pct"/>
            <w:tcBorders>
              <w:top w:val="nil"/>
              <w:left w:val="nil"/>
              <w:bottom w:val="single" w:sz="8" w:space="0" w:color="auto"/>
              <w:right w:val="single" w:sz="8" w:space="0" w:color="auto"/>
            </w:tcBorders>
            <w:vAlign w:val="center"/>
            <w:hideMark/>
          </w:tcPr>
          <w:p w14:paraId="15ACFDD7" w14:textId="77777777" w:rsidR="003D1A8C" w:rsidRPr="00EE7C35" w:rsidRDefault="003D1A8C" w:rsidP="003D1A8C">
            <w:pPr>
              <w:spacing w:line="480" w:lineRule="auto"/>
              <w:jc w:val="both"/>
              <w:rPr>
                <w:rFonts w:ascii="Times New Roman" w:eastAsia="新細明體" w:hAnsi="Times New Roman" w:cs="Times New Roman"/>
                <w:color w:val="000000"/>
              </w:rPr>
            </w:pPr>
            <w:proofErr w:type="gramStart"/>
            <w:r w:rsidRPr="00EE7C35">
              <w:rPr>
                <w:rFonts w:ascii="Times New Roman" w:eastAsia="新細明體" w:hAnsi="Times New Roman" w:cs="Times New Roman"/>
                <w:color w:val="000000"/>
              </w:rPr>
              <w:t>5.62×10</w:t>
            </w:r>
            <w:proofErr w:type="gramEnd"/>
            <w:r w:rsidRPr="00EE7C35">
              <w:rPr>
                <w:rFonts w:ascii="Times New Roman" w:eastAsia="新細明體" w:hAnsi="Times New Roman" w:cs="Times New Roman"/>
                <w:color w:val="000000"/>
                <w:vertAlign w:val="superscript"/>
              </w:rPr>
              <w:t>-9</w:t>
            </w:r>
          </w:p>
        </w:tc>
      </w:tr>
    </w:tbl>
    <w:p w14:paraId="1459842D" w14:textId="77777777" w:rsidR="00EE7C35" w:rsidRDefault="00EE7C35" w:rsidP="003D1A8C">
      <w:pPr>
        <w:pStyle w:val="Caption"/>
        <w:keepNext/>
        <w:rPr>
          <w:rFonts w:ascii="Times New Roman" w:hAnsi="Times New Roman" w:cs="Times New Roman"/>
          <w:b/>
          <w:bCs/>
          <w:sz w:val="24"/>
          <w:szCs w:val="24"/>
          <w:lang w:eastAsia="zh-TW"/>
        </w:rPr>
      </w:pPr>
    </w:p>
    <w:p w14:paraId="70DEB22D" w14:textId="5BD4F8CC" w:rsidR="003D1A8C" w:rsidRPr="00EE7C35" w:rsidRDefault="003D1A8C" w:rsidP="003D1A8C">
      <w:pPr>
        <w:pStyle w:val="Caption"/>
        <w:keepNext/>
        <w:rPr>
          <w:rFonts w:ascii="Times New Roman" w:hAnsi="Times New Roman" w:cs="Times New Roman"/>
          <w:color w:val="000000" w:themeColor="text1"/>
          <w:sz w:val="24"/>
          <w:szCs w:val="24"/>
          <w:lang w:val="en-US"/>
        </w:rPr>
      </w:pPr>
      <w:r w:rsidRPr="00EE7C35">
        <w:rPr>
          <w:rFonts w:ascii="Times New Roman" w:hAnsi="Times New Roman" w:cs="Times New Roman"/>
          <w:b/>
          <w:bCs/>
          <w:sz w:val="24"/>
          <w:szCs w:val="24"/>
          <w:lang w:eastAsia="zh-TW"/>
        </w:rPr>
        <w:t>S</w:t>
      </w:r>
      <w:r w:rsidRPr="00EE7C35">
        <w:rPr>
          <w:rFonts w:ascii="Times New Roman" w:hAnsi="Times New Roman" w:cs="Times New Roman"/>
          <w:b/>
          <w:bCs/>
          <w:sz w:val="24"/>
          <w:szCs w:val="24"/>
        </w:rPr>
        <w:t xml:space="preserve">upplementary Table S3. </w:t>
      </w:r>
      <w:r w:rsidRPr="00EE7C35">
        <w:rPr>
          <w:rFonts w:ascii="Times New Roman" w:eastAsia="新細明體" w:hAnsi="Times New Roman" w:cs="Times New Roman"/>
          <w:color w:val="000000" w:themeColor="text1"/>
          <w:sz w:val="24"/>
          <w:szCs w:val="24"/>
          <w:lang w:val="en-US" w:eastAsia="zh-TW"/>
        </w:rPr>
        <w:t>Binding kinetics of HCB101 to cynomolgus monkey CD47_ECD</w:t>
      </w:r>
    </w:p>
    <w:tbl>
      <w:tblPr>
        <w:tblW w:w="5000" w:type="pct"/>
        <w:jc w:val="center"/>
        <w:tblLayout w:type="fixed"/>
        <w:tblCellMar>
          <w:left w:w="28" w:type="dxa"/>
          <w:right w:w="28" w:type="dxa"/>
        </w:tblCellMar>
        <w:tblLook w:val="04A0" w:firstRow="1" w:lastRow="0" w:firstColumn="1" w:lastColumn="0" w:noHBand="0" w:noVBand="1"/>
      </w:tblPr>
      <w:tblGrid>
        <w:gridCol w:w="1891"/>
        <w:gridCol w:w="2131"/>
        <w:gridCol w:w="2131"/>
        <w:gridCol w:w="2133"/>
      </w:tblGrid>
      <w:tr w:rsidR="003D1A8C" w:rsidRPr="00EE7C35" w14:paraId="3B287D8C" w14:textId="77777777" w:rsidTr="00350F41">
        <w:trPr>
          <w:trHeight w:val="336"/>
          <w:jc w:val="center"/>
        </w:trPr>
        <w:tc>
          <w:tcPr>
            <w:tcW w:w="1141" w:type="pct"/>
            <w:vMerge w:val="restart"/>
            <w:tcBorders>
              <w:top w:val="single" w:sz="8" w:space="0" w:color="auto"/>
              <w:left w:val="single" w:sz="8" w:space="0" w:color="auto"/>
              <w:bottom w:val="single" w:sz="8" w:space="0" w:color="000000"/>
              <w:right w:val="single" w:sz="8" w:space="0" w:color="auto"/>
            </w:tcBorders>
            <w:vAlign w:val="center"/>
            <w:hideMark/>
          </w:tcPr>
          <w:p w14:paraId="2A6655E5" w14:textId="77777777" w:rsidR="003D1A8C" w:rsidRPr="00EE7C35" w:rsidRDefault="003D1A8C" w:rsidP="00350F41">
            <w:pPr>
              <w:spacing w:line="360" w:lineRule="auto"/>
              <w:jc w:val="both"/>
              <w:rPr>
                <w:rFonts w:ascii="Times New Roman" w:eastAsia="新細明體" w:hAnsi="Times New Roman" w:cs="Times New Roman"/>
                <w:b/>
                <w:bCs/>
                <w:color w:val="000000"/>
              </w:rPr>
            </w:pPr>
            <w:r w:rsidRPr="00EE7C35">
              <w:rPr>
                <w:rFonts w:ascii="Times New Roman" w:eastAsia="新細明體" w:hAnsi="Times New Roman" w:cs="Times New Roman"/>
                <w:b/>
                <w:bCs/>
                <w:color w:val="000000"/>
              </w:rPr>
              <w:t>Experiment No.</w:t>
            </w:r>
          </w:p>
        </w:tc>
        <w:tc>
          <w:tcPr>
            <w:tcW w:w="3859" w:type="pct"/>
            <w:gridSpan w:val="3"/>
            <w:tcBorders>
              <w:top w:val="single" w:sz="8" w:space="0" w:color="auto"/>
              <w:left w:val="nil"/>
              <w:bottom w:val="single" w:sz="8" w:space="0" w:color="auto"/>
              <w:right w:val="single" w:sz="8" w:space="0" w:color="000000"/>
            </w:tcBorders>
            <w:vAlign w:val="center"/>
            <w:hideMark/>
          </w:tcPr>
          <w:p w14:paraId="32F9FB3F" w14:textId="77777777" w:rsidR="003D1A8C" w:rsidRPr="00EE7C35" w:rsidRDefault="003D1A8C" w:rsidP="00350F41">
            <w:pPr>
              <w:spacing w:line="360" w:lineRule="auto"/>
              <w:jc w:val="both"/>
              <w:rPr>
                <w:rFonts w:ascii="Times New Roman" w:eastAsia="新細明體" w:hAnsi="Times New Roman" w:cs="Times New Roman"/>
                <w:b/>
                <w:bCs/>
                <w:color w:val="000000"/>
              </w:rPr>
            </w:pPr>
            <w:r w:rsidRPr="00EE7C35">
              <w:rPr>
                <w:rFonts w:ascii="Times New Roman" w:eastAsia="新細明體" w:hAnsi="Times New Roman" w:cs="Times New Roman"/>
                <w:b/>
                <w:bCs/>
                <w:color w:val="000000"/>
              </w:rPr>
              <w:t>Cynomolgus CD47_ECD</w:t>
            </w:r>
          </w:p>
        </w:tc>
      </w:tr>
      <w:tr w:rsidR="003D1A8C" w:rsidRPr="00EE7C35" w14:paraId="3E04926E" w14:textId="77777777" w:rsidTr="00350F41">
        <w:trPr>
          <w:trHeight w:val="336"/>
          <w:jc w:val="center"/>
        </w:trPr>
        <w:tc>
          <w:tcPr>
            <w:tcW w:w="1141" w:type="pct"/>
            <w:vMerge/>
            <w:tcBorders>
              <w:top w:val="single" w:sz="8" w:space="0" w:color="auto"/>
              <w:left w:val="single" w:sz="8" w:space="0" w:color="auto"/>
              <w:bottom w:val="single" w:sz="8" w:space="0" w:color="000000"/>
              <w:right w:val="single" w:sz="8" w:space="0" w:color="auto"/>
            </w:tcBorders>
            <w:vAlign w:val="center"/>
            <w:hideMark/>
          </w:tcPr>
          <w:p w14:paraId="1B653FA6" w14:textId="77777777" w:rsidR="003D1A8C" w:rsidRPr="00EE7C35" w:rsidRDefault="003D1A8C" w:rsidP="00350F41">
            <w:pPr>
              <w:spacing w:line="360" w:lineRule="auto"/>
              <w:jc w:val="both"/>
              <w:rPr>
                <w:rFonts w:ascii="Times New Roman" w:eastAsia="新細明體" w:hAnsi="Times New Roman" w:cs="Times New Roman"/>
                <w:b/>
                <w:bCs/>
                <w:color w:val="000000"/>
              </w:rPr>
            </w:pPr>
          </w:p>
        </w:tc>
        <w:tc>
          <w:tcPr>
            <w:tcW w:w="1286" w:type="pct"/>
            <w:tcBorders>
              <w:top w:val="nil"/>
              <w:left w:val="nil"/>
              <w:bottom w:val="single" w:sz="8" w:space="0" w:color="auto"/>
              <w:right w:val="single" w:sz="8" w:space="0" w:color="auto"/>
            </w:tcBorders>
            <w:vAlign w:val="center"/>
            <w:hideMark/>
          </w:tcPr>
          <w:p w14:paraId="16478A57" w14:textId="77777777" w:rsidR="003D1A8C" w:rsidRPr="00EE7C35" w:rsidRDefault="003D1A8C" w:rsidP="00350F41">
            <w:pPr>
              <w:spacing w:line="360" w:lineRule="auto"/>
              <w:jc w:val="both"/>
              <w:rPr>
                <w:rFonts w:ascii="Times New Roman" w:eastAsia="新細明體" w:hAnsi="Times New Roman" w:cs="Times New Roman"/>
                <w:b/>
                <w:bCs/>
                <w:color w:val="000000"/>
              </w:rPr>
            </w:pPr>
            <w:r w:rsidRPr="00EE7C35">
              <w:rPr>
                <w:rFonts w:ascii="Times New Roman" w:eastAsia="新細明體" w:hAnsi="Times New Roman" w:cs="Times New Roman"/>
                <w:b/>
                <w:bCs/>
                <w:color w:val="000000"/>
              </w:rPr>
              <w:t>ka [1</w:t>
            </w:r>
            <w:proofErr w:type="gramStart"/>
            <w:r w:rsidRPr="00EE7C35">
              <w:rPr>
                <w:rFonts w:ascii="Times New Roman" w:eastAsia="新細明體" w:hAnsi="Times New Roman" w:cs="Times New Roman"/>
                <w:b/>
                <w:bCs/>
                <w:color w:val="000000"/>
              </w:rPr>
              <w:t>/(</w:t>
            </w:r>
            <w:proofErr w:type="gramEnd"/>
            <w:r w:rsidRPr="00EE7C35">
              <w:rPr>
                <w:rFonts w:ascii="Times New Roman" w:eastAsia="新細明體" w:hAnsi="Times New Roman" w:cs="Times New Roman"/>
                <w:b/>
                <w:bCs/>
                <w:color w:val="000000"/>
              </w:rPr>
              <w:t>M s)]</w:t>
            </w:r>
          </w:p>
        </w:tc>
        <w:tc>
          <w:tcPr>
            <w:tcW w:w="1286" w:type="pct"/>
            <w:tcBorders>
              <w:top w:val="nil"/>
              <w:left w:val="nil"/>
              <w:bottom w:val="single" w:sz="8" w:space="0" w:color="auto"/>
              <w:right w:val="single" w:sz="8" w:space="0" w:color="auto"/>
            </w:tcBorders>
            <w:vAlign w:val="center"/>
            <w:hideMark/>
          </w:tcPr>
          <w:p w14:paraId="5192E693" w14:textId="77777777" w:rsidR="003D1A8C" w:rsidRPr="00EE7C35" w:rsidRDefault="003D1A8C" w:rsidP="00350F41">
            <w:pPr>
              <w:spacing w:line="360" w:lineRule="auto"/>
              <w:jc w:val="both"/>
              <w:rPr>
                <w:rFonts w:ascii="Times New Roman" w:eastAsia="新細明體" w:hAnsi="Times New Roman" w:cs="Times New Roman"/>
                <w:b/>
                <w:bCs/>
                <w:color w:val="000000"/>
              </w:rPr>
            </w:pPr>
            <w:proofErr w:type="spellStart"/>
            <w:r w:rsidRPr="00EE7C35">
              <w:rPr>
                <w:rFonts w:ascii="Times New Roman" w:eastAsia="新細明體" w:hAnsi="Times New Roman" w:cs="Times New Roman"/>
                <w:b/>
                <w:bCs/>
                <w:color w:val="000000"/>
              </w:rPr>
              <w:t>kd</w:t>
            </w:r>
            <w:proofErr w:type="spellEnd"/>
            <w:r w:rsidRPr="00EE7C35">
              <w:rPr>
                <w:rFonts w:ascii="Times New Roman" w:eastAsia="新細明體" w:hAnsi="Times New Roman" w:cs="Times New Roman"/>
                <w:b/>
                <w:bCs/>
                <w:color w:val="000000"/>
              </w:rPr>
              <w:t xml:space="preserve"> [1/s]</w:t>
            </w:r>
          </w:p>
        </w:tc>
        <w:tc>
          <w:tcPr>
            <w:tcW w:w="1287" w:type="pct"/>
            <w:tcBorders>
              <w:top w:val="nil"/>
              <w:left w:val="nil"/>
              <w:bottom w:val="single" w:sz="8" w:space="0" w:color="auto"/>
              <w:right w:val="single" w:sz="8" w:space="0" w:color="auto"/>
            </w:tcBorders>
            <w:vAlign w:val="center"/>
            <w:hideMark/>
          </w:tcPr>
          <w:p w14:paraId="0BA46D5F" w14:textId="77777777" w:rsidR="003D1A8C" w:rsidRPr="00EE7C35" w:rsidRDefault="003D1A8C" w:rsidP="00350F41">
            <w:pPr>
              <w:spacing w:line="360" w:lineRule="auto"/>
              <w:jc w:val="both"/>
              <w:rPr>
                <w:rFonts w:ascii="Times New Roman" w:eastAsia="新細明體" w:hAnsi="Times New Roman" w:cs="Times New Roman"/>
                <w:b/>
                <w:bCs/>
                <w:color w:val="000000"/>
              </w:rPr>
            </w:pPr>
            <w:r w:rsidRPr="00EE7C35">
              <w:rPr>
                <w:rFonts w:ascii="Times New Roman" w:eastAsia="新細明體" w:hAnsi="Times New Roman" w:cs="Times New Roman"/>
                <w:b/>
                <w:bCs/>
                <w:color w:val="000000"/>
              </w:rPr>
              <w:t>KD [M]</w:t>
            </w:r>
          </w:p>
        </w:tc>
      </w:tr>
      <w:tr w:rsidR="003D1A8C" w:rsidRPr="00EE7C35" w14:paraId="17738184" w14:textId="77777777" w:rsidTr="00350F41">
        <w:trPr>
          <w:trHeight w:val="336"/>
          <w:jc w:val="center"/>
        </w:trPr>
        <w:tc>
          <w:tcPr>
            <w:tcW w:w="1141" w:type="pct"/>
            <w:tcBorders>
              <w:top w:val="nil"/>
              <w:left w:val="single" w:sz="8" w:space="0" w:color="auto"/>
              <w:bottom w:val="single" w:sz="8" w:space="0" w:color="auto"/>
              <w:right w:val="single" w:sz="8" w:space="0" w:color="auto"/>
            </w:tcBorders>
            <w:vAlign w:val="center"/>
            <w:hideMark/>
          </w:tcPr>
          <w:p w14:paraId="50725349" w14:textId="77777777" w:rsidR="003D1A8C" w:rsidRPr="00EE7C35" w:rsidRDefault="003D1A8C" w:rsidP="00350F41">
            <w:pPr>
              <w:spacing w:line="360" w:lineRule="auto"/>
              <w:jc w:val="both"/>
              <w:rPr>
                <w:rFonts w:ascii="Times New Roman" w:eastAsia="新細明體" w:hAnsi="Times New Roman" w:cs="Times New Roman"/>
                <w:color w:val="000000"/>
              </w:rPr>
            </w:pPr>
            <w:r w:rsidRPr="00EE7C35">
              <w:rPr>
                <w:rFonts w:ascii="Times New Roman" w:eastAsia="新細明體" w:hAnsi="Times New Roman" w:cs="Times New Roman"/>
                <w:color w:val="000000"/>
              </w:rPr>
              <w:t>Experiment 1</w:t>
            </w:r>
          </w:p>
        </w:tc>
        <w:tc>
          <w:tcPr>
            <w:tcW w:w="1286" w:type="pct"/>
            <w:tcBorders>
              <w:top w:val="nil"/>
              <w:left w:val="nil"/>
              <w:bottom w:val="single" w:sz="8" w:space="0" w:color="auto"/>
              <w:right w:val="single" w:sz="8" w:space="0" w:color="auto"/>
            </w:tcBorders>
            <w:vAlign w:val="center"/>
            <w:hideMark/>
          </w:tcPr>
          <w:p w14:paraId="4CF202BE" w14:textId="77777777" w:rsidR="003D1A8C" w:rsidRPr="00EE7C35" w:rsidRDefault="003D1A8C" w:rsidP="00350F41">
            <w:pPr>
              <w:spacing w:line="360" w:lineRule="auto"/>
              <w:jc w:val="both"/>
              <w:rPr>
                <w:rFonts w:ascii="Times New Roman" w:eastAsia="新細明體" w:hAnsi="Times New Roman" w:cs="Times New Roman"/>
                <w:color w:val="000000"/>
              </w:rPr>
            </w:pPr>
            <w:r w:rsidRPr="00EE7C35">
              <w:rPr>
                <w:rFonts w:ascii="Times New Roman" w:eastAsia="新細明體" w:hAnsi="Times New Roman" w:cs="Times New Roman"/>
                <w:color w:val="000000"/>
              </w:rPr>
              <w:t>2.78 ± 0.10×10</w:t>
            </w:r>
            <w:r w:rsidRPr="00EE7C35">
              <w:rPr>
                <w:rFonts w:ascii="Times New Roman" w:eastAsia="新細明體" w:hAnsi="Times New Roman" w:cs="Times New Roman"/>
                <w:color w:val="000000"/>
                <w:vertAlign w:val="superscript"/>
              </w:rPr>
              <w:t>5</w:t>
            </w:r>
          </w:p>
        </w:tc>
        <w:tc>
          <w:tcPr>
            <w:tcW w:w="1286" w:type="pct"/>
            <w:tcBorders>
              <w:top w:val="nil"/>
              <w:left w:val="nil"/>
              <w:bottom w:val="single" w:sz="8" w:space="0" w:color="auto"/>
              <w:right w:val="single" w:sz="8" w:space="0" w:color="auto"/>
            </w:tcBorders>
            <w:vAlign w:val="center"/>
            <w:hideMark/>
          </w:tcPr>
          <w:p w14:paraId="7B600A16" w14:textId="77777777" w:rsidR="003D1A8C" w:rsidRPr="00EE7C35" w:rsidRDefault="003D1A8C" w:rsidP="00350F41">
            <w:pPr>
              <w:spacing w:line="360" w:lineRule="auto"/>
              <w:jc w:val="both"/>
              <w:rPr>
                <w:rFonts w:ascii="Times New Roman" w:eastAsia="新細明體" w:hAnsi="Times New Roman" w:cs="Times New Roman"/>
                <w:color w:val="000000"/>
              </w:rPr>
            </w:pPr>
            <w:r w:rsidRPr="00EE7C35">
              <w:rPr>
                <w:rFonts w:ascii="Times New Roman" w:eastAsia="新細明體" w:hAnsi="Times New Roman" w:cs="Times New Roman"/>
                <w:color w:val="000000"/>
              </w:rPr>
              <w:t>4.00 ± 0.08×10</w:t>
            </w:r>
            <w:r w:rsidRPr="00EE7C35">
              <w:rPr>
                <w:rFonts w:ascii="Times New Roman" w:eastAsia="新細明體" w:hAnsi="Times New Roman" w:cs="Times New Roman"/>
                <w:color w:val="000000"/>
                <w:vertAlign w:val="superscript"/>
              </w:rPr>
              <w:t>-3</w:t>
            </w:r>
          </w:p>
        </w:tc>
        <w:tc>
          <w:tcPr>
            <w:tcW w:w="1287" w:type="pct"/>
            <w:tcBorders>
              <w:top w:val="nil"/>
              <w:left w:val="nil"/>
              <w:bottom w:val="single" w:sz="8" w:space="0" w:color="auto"/>
              <w:right w:val="single" w:sz="8" w:space="0" w:color="auto"/>
            </w:tcBorders>
            <w:vAlign w:val="center"/>
            <w:hideMark/>
          </w:tcPr>
          <w:p w14:paraId="2E6FF0BE" w14:textId="77777777" w:rsidR="003D1A8C" w:rsidRPr="00EE7C35" w:rsidRDefault="003D1A8C" w:rsidP="00350F41">
            <w:pPr>
              <w:spacing w:line="360" w:lineRule="auto"/>
              <w:jc w:val="both"/>
              <w:rPr>
                <w:rFonts w:ascii="Times New Roman" w:eastAsia="新細明體" w:hAnsi="Times New Roman" w:cs="Times New Roman"/>
                <w:color w:val="000000"/>
              </w:rPr>
            </w:pPr>
            <w:r w:rsidRPr="00EE7C35">
              <w:rPr>
                <w:rFonts w:ascii="Times New Roman" w:eastAsia="新細明體" w:hAnsi="Times New Roman" w:cs="Times New Roman"/>
                <w:color w:val="000000"/>
              </w:rPr>
              <w:t>14.4 ± 0.42×10</w:t>
            </w:r>
            <w:r w:rsidRPr="00EE7C35">
              <w:rPr>
                <w:rFonts w:ascii="Times New Roman" w:eastAsia="新細明體" w:hAnsi="Times New Roman" w:cs="Times New Roman"/>
                <w:color w:val="000000"/>
                <w:vertAlign w:val="superscript"/>
              </w:rPr>
              <w:t>-9</w:t>
            </w:r>
          </w:p>
        </w:tc>
      </w:tr>
      <w:tr w:rsidR="003D1A8C" w:rsidRPr="00EE7C35" w14:paraId="5F6BB349" w14:textId="77777777" w:rsidTr="00350F41">
        <w:trPr>
          <w:trHeight w:val="336"/>
          <w:jc w:val="center"/>
        </w:trPr>
        <w:tc>
          <w:tcPr>
            <w:tcW w:w="1141" w:type="pct"/>
            <w:tcBorders>
              <w:top w:val="nil"/>
              <w:left w:val="single" w:sz="8" w:space="0" w:color="auto"/>
              <w:bottom w:val="single" w:sz="8" w:space="0" w:color="auto"/>
              <w:right w:val="single" w:sz="8" w:space="0" w:color="auto"/>
            </w:tcBorders>
            <w:vAlign w:val="center"/>
            <w:hideMark/>
          </w:tcPr>
          <w:p w14:paraId="453C6C49" w14:textId="77777777" w:rsidR="003D1A8C" w:rsidRPr="00EE7C35" w:rsidRDefault="003D1A8C" w:rsidP="00350F41">
            <w:pPr>
              <w:spacing w:line="360" w:lineRule="auto"/>
              <w:jc w:val="both"/>
              <w:rPr>
                <w:rFonts w:ascii="Times New Roman" w:eastAsia="新細明體" w:hAnsi="Times New Roman" w:cs="Times New Roman"/>
                <w:color w:val="000000"/>
              </w:rPr>
            </w:pPr>
            <w:r w:rsidRPr="00EE7C35">
              <w:rPr>
                <w:rFonts w:ascii="Times New Roman" w:eastAsia="新細明體" w:hAnsi="Times New Roman" w:cs="Times New Roman"/>
                <w:color w:val="000000"/>
              </w:rPr>
              <w:t>Experiment 2</w:t>
            </w:r>
          </w:p>
        </w:tc>
        <w:tc>
          <w:tcPr>
            <w:tcW w:w="1286" w:type="pct"/>
            <w:tcBorders>
              <w:top w:val="nil"/>
              <w:left w:val="nil"/>
              <w:bottom w:val="single" w:sz="8" w:space="0" w:color="auto"/>
              <w:right w:val="single" w:sz="8" w:space="0" w:color="auto"/>
            </w:tcBorders>
            <w:vAlign w:val="center"/>
            <w:hideMark/>
          </w:tcPr>
          <w:p w14:paraId="3A13035D" w14:textId="77777777" w:rsidR="003D1A8C" w:rsidRPr="00EE7C35" w:rsidRDefault="003D1A8C" w:rsidP="00350F41">
            <w:pPr>
              <w:spacing w:line="360" w:lineRule="auto"/>
              <w:jc w:val="both"/>
              <w:rPr>
                <w:rFonts w:ascii="Times New Roman" w:eastAsia="新細明體" w:hAnsi="Times New Roman" w:cs="Times New Roman"/>
                <w:color w:val="000000"/>
              </w:rPr>
            </w:pPr>
            <w:r w:rsidRPr="00EE7C35">
              <w:rPr>
                <w:rFonts w:ascii="Times New Roman" w:eastAsia="新細明體" w:hAnsi="Times New Roman" w:cs="Times New Roman"/>
                <w:color w:val="000000"/>
              </w:rPr>
              <w:t>2.96 ± 0.16×10</w:t>
            </w:r>
            <w:r w:rsidRPr="00EE7C35">
              <w:rPr>
                <w:rFonts w:ascii="Times New Roman" w:eastAsia="新細明體" w:hAnsi="Times New Roman" w:cs="Times New Roman"/>
                <w:color w:val="000000"/>
                <w:vertAlign w:val="superscript"/>
              </w:rPr>
              <w:t>5</w:t>
            </w:r>
          </w:p>
        </w:tc>
        <w:tc>
          <w:tcPr>
            <w:tcW w:w="1286" w:type="pct"/>
            <w:tcBorders>
              <w:top w:val="nil"/>
              <w:left w:val="nil"/>
              <w:bottom w:val="single" w:sz="8" w:space="0" w:color="auto"/>
              <w:right w:val="single" w:sz="8" w:space="0" w:color="auto"/>
            </w:tcBorders>
            <w:vAlign w:val="center"/>
            <w:hideMark/>
          </w:tcPr>
          <w:p w14:paraId="0674CE45" w14:textId="77777777" w:rsidR="003D1A8C" w:rsidRPr="00EE7C35" w:rsidRDefault="003D1A8C" w:rsidP="00350F41">
            <w:pPr>
              <w:spacing w:line="360" w:lineRule="auto"/>
              <w:jc w:val="both"/>
              <w:rPr>
                <w:rFonts w:ascii="Times New Roman" w:eastAsia="新細明體" w:hAnsi="Times New Roman" w:cs="Times New Roman"/>
                <w:color w:val="000000"/>
              </w:rPr>
            </w:pPr>
            <w:r w:rsidRPr="00EE7C35">
              <w:rPr>
                <w:rFonts w:ascii="Times New Roman" w:eastAsia="新細明體" w:hAnsi="Times New Roman" w:cs="Times New Roman"/>
                <w:color w:val="000000"/>
              </w:rPr>
              <w:t>4.29 ± 0.25×10</w:t>
            </w:r>
            <w:r w:rsidRPr="00EE7C35">
              <w:rPr>
                <w:rFonts w:ascii="Times New Roman" w:eastAsia="新細明體" w:hAnsi="Times New Roman" w:cs="Times New Roman"/>
                <w:color w:val="000000"/>
                <w:vertAlign w:val="superscript"/>
              </w:rPr>
              <w:t>-3</w:t>
            </w:r>
          </w:p>
        </w:tc>
        <w:tc>
          <w:tcPr>
            <w:tcW w:w="1287" w:type="pct"/>
            <w:tcBorders>
              <w:top w:val="nil"/>
              <w:left w:val="nil"/>
              <w:bottom w:val="single" w:sz="8" w:space="0" w:color="auto"/>
              <w:right w:val="single" w:sz="8" w:space="0" w:color="auto"/>
            </w:tcBorders>
            <w:vAlign w:val="center"/>
            <w:hideMark/>
          </w:tcPr>
          <w:p w14:paraId="4A19EB7B" w14:textId="77777777" w:rsidR="003D1A8C" w:rsidRPr="00EE7C35" w:rsidRDefault="003D1A8C" w:rsidP="00350F41">
            <w:pPr>
              <w:spacing w:line="360" w:lineRule="auto"/>
              <w:jc w:val="both"/>
              <w:rPr>
                <w:rFonts w:ascii="Times New Roman" w:eastAsia="新細明體" w:hAnsi="Times New Roman" w:cs="Times New Roman"/>
                <w:color w:val="000000"/>
              </w:rPr>
            </w:pPr>
            <w:r w:rsidRPr="00EE7C35">
              <w:rPr>
                <w:rFonts w:ascii="Times New Roman" w:eastAsia="新細明體" w:hAnsi="Times New Roman" w:cs="Times New Roman"/>
                <w:color w:val="000000"/>
              </w:rPr>
              <w:t>14.6 ± 0.21×10</w:t>
            </w:r>
            <w:r w:rsidRPr="00EE7C35">
              <w:rPr>
                <w:rFonts w:ascii="Times New Roman" w:eastAsia="新細明體" w:hAnsi="Times New Roman" w:cs="Times New Roman"/>
                <w:color w:val="000000"/>
                <w:vertAlign w:val="superscript"/>
              </w:rPr>
              <w:t>-9</w:t>
            </w:r>
          </w:p>
        </w:tc>
      </w:tr>
      <w:tr w:rsidR="003D1A8C" w:rsidRPr="00EE7C35" w14:paraId="0CDA5C3F" w14:textId="77777777" w:rsidTr="00350F41">
        <w:trPr>
          <w:trHeight w:val="336"/>
          <w:jc w:val="center"/>
        </w:trPr>
        <w:tc>
          <w:tcPr>
            <w:tcW w:w="1141" w:type="pct"/>
            <w:tcBorders>
              <w:top w:val="nil"/>
              <w:left w:val="single" w:sz="8" w:space="0" w:color="auto"/>
              <w:bottom w:val="single" w:sz="8" w:space="0" w:color="auto"/>
              <w:right w:val="single" w:sz="8" w:space="0" w:color="auto"/>
            </w:tcBorders>
            <w:vAlign w:val="center"/>
            <w:hideMark/>
          </w:tcPr>
          <w:p w14:paraId="41C9DD0C" w14:textId="77777777" w:rsidR="003D1A8C" w:rsidRPr="00EE7C35" w:rsidRDefault="003D1A8C" w:rsidP="00350F41">
            <w:pPr>
              <w:spacing w:line="360" w:lineRule="auto"/>
              <w:jc w:val="both"/>
              <w:rPr>
                <w:rFonts w:ascii="Times New Roman" w:eastAsia="新細明體" w:hAnsi="Times New Roman" w:cs="Times New Roman"/>
                <w:b/>
                <w:bCs/>
                <w:color w:val="000000"/>
              </w:rPr>
            </w:pPr>
            <w:r w:rsidRPr="00EE7C35">
              <w:rPr>
                <w:rFonts w:ascii="Times New Roman" w:eastAsia="新細明體" w:hAnsi="Times New Roman" w:cs="Times New Roman"/>
                <w:b/>
                <w:bCs/>
                <w:color w:val="000000"/>
              </w:rPr>
              <w:t>Average</w:t>
            </w:r>
          </w:p>
        </w:tc>
        <w:tc>
          <w:tcPr>
            <w:tcW w:w="1286" w:type="pct"/>
            <w:tcBorders>
              <w:top w:val="nil"/>
              <w:left w:val="nil"/>
              <w:bottom w:val="single" w:sz="8" w:space="0" w:color="auto"/>
              <w:right w:val="single" w:sz="8" w:space="0" w:color="auto"/>
            </w:tcBorders>
            <w:vAlign w:val="center"/>
            <w:hideMark/>
          </w:tcPr>
          <w:p w14:paraId="7831F3EA" w14:textId="77777777" w:rsidR="003D1A8C" w:rsidRPr="00EE7C35" w:rsidRDefault="003D1A8C" w:rsidP="00350F41">
            <w:pPr>
              <w:spacing w:line="360" w:lineRule="auto"/>
              <w:jc w:val="both"/>
              <w:rPr>
                <w:rFonts w:ascii="Times New Roman" w:eastAsia="新細明體" w:hAnsi="Times New Roman" w:cs="Times New Roman"/>
                <w:color w:val="000000"/>
              </w:rPr>
            </w:pPr>
            <w:r w:rsidRPr="00EE7C35">
              <w:rPr>
                <w:rFonts w:ascii="Times New Roman" w:eastAsia="新細明體" w:hAnsi="Times New Roman" w:cs="Times New Roman"/>
                <w:color w:val="000000"/>
              </w:rPr>
              <w:t>2.87×10</w:t>
            </w:r>
            <w:r w:rsidRPr="00EE7C35">
              <w:rPr>
                <w:rFonts w:ascii="Times New Roman" w:eastAsia="新細明體" w:hAnsi="Times New Roman" w:cs="Times New Roman"/>
                <w:color w:val="000000"/>
                <w:vertAlign w:val="superscript"/>
              </w:rPr>
              <w:t>5</w:t>
            </w:r>
          </w:p>
        </w:tc>
        <w:tc>
          <w:tcPr>
            <w:tcW w:w="1286" w:type="pct"/>
            <w:tcBorders>
              <w:top w:val="nil"/>
              <w:left w:val="nil"/>
              <w:bottom w:val="single" w:sz="8" w:space="0" w:color="auto"/>
              <w:right w:val="single" w:sz="8" w:space="0" w:color="auto"/>
            </w:tcBorders>
            <w:vAlign w:val="center"/>
            <w:hideMark/>
          </w:tcPr>
          <w:p w14:paraId="2F67610E" w14:textId="77777777" w:rsidR="003D1A8C" w:rsidRPr="00EE7C35" w:rsidRDefault="003D1A8C" w:rsidP="00350F41">
            <w:pPr>
              <w:spacing w:line="360" w:lineRule="auto"/>
              <w:jc w:val="both"/>
              <w:rPr>
                <w:rFonts w:ascii="Times New Roman" w:eastAsia="新細明體" w:hAnsi="Times New Roman" w:cs="Times New Roman"/>
                <w:color w:val="000000"/>
              </w:rPr>
            </w:pPr>
            <w:proofErr w:type="gramStart"/>
            <w:r w:rsidRPr="00EE7C35">
              <w:rPr>
                <w:rFonts w:ascii="Times New Roman" w:eastAsia="新細明體" w:hAnsi="Times New Roman" w:cs="Times New Roman"/>
                <w:color w:val="000000"/>
              </w:rPr>
              <w:t>4.15×10</w:t>
            </w:r>
            <w:proofErr w:type="gramEnd"/>
            <w:r w:rsidRPr="00EE7C35">
              <w:rPr>
                <w:rFonts w:ascii="Times New Roman" w:eastAsia="新細明體" w:hAnsi="Times New Roman" w:cs="Times New Roman"/>
                <w:color w:val="000000"/>
                <w:vertAlign w:val="superscript"/>
              </w:rPr>
              <w:t>-3</w:t>
            </w:r>
          </w:p>
        </w:tc>
        <w:tc>
          <w:tcPr>
            <w:tcW w:w="1287" w:type="pct"/>
            <w:tcBorders>
              <w:top w:val="nil"/>
              <w:left w:val="nil"/>
              <w:bottom w:val="single" w:sz="8" w:space="0" w:color="auto"/>
              <w:right w:val="single" w:sz="8" w:space="0" w:color="auto"/>
            </w:tcBorders>
            <w:vAlign w:val="center"/>
            <w:hideMark/>
          </w:tcPr>
          <w:p w14:paraId="2C03121B" w14:textId="77777777" w:rsidR="003D1A8C" w:rsidRPr="00EE7C35" w:rsidRDefault="003D1A8C" w:rsidP="00350F41">
            <w:pPr>
              <w:spacing w:line="360" w:lineRule="auto"/>
              <w:jc w:val="both"/>
              <w:rPr>
                <w:rFonts w:ascii="Times New Roman" w:eastAsia="新細明體" w:hAnsi="Times New Roman" w:cs="Times New Roman"/>
                <w:color w:val="000000"/>
              </w:rPr>
            </w:pPr>
            <w:proofErr w:type="gramStart"/>
            <w:r w:rsidRPr="00EE7C35">
              <w:rPr>
                <w:rFonts w:ascii="Times New Roman" w:eastAsia="新細明體" w:hAnsi="Times New Roman" w:cs="Times New Roman"/>
                <w:color w:val="000000"/>
              </w:rPr>
              <w:t>14.5×10</w:t>
            </w:r>
            <w:proofErr w:type="gramEnd"/>
            <w:r w:rsidRPr="00EE7C35">
              <w:rPr>
                <w:rFonts w:ascii="Times New Roman" w:eastAsia="新細明體" w:hAnsi="Times New Roman" w:cs="Times New Roman"/>
                <w:color w:val="000000"/>
                <w:vertAlign w:val="superscript"/>
              </w:rPr>
              <w:t>-9</w:t>
            </w:r>
          </w:p>
        </w:tc>
      </w:tr>
    </w:tbl>
    <w:p w14:paraId="30118679" w14:textId="77777777" w:rsidR="003D1A8C" w:rsidRPr="00EE7C35" w:rsidRDefault="003D1A8C" w:rsidP="003D1A8C">
      <w:pPr>
        <w:pStyle w:val="Caption"/>
        <w:rPr>
          <w:rFonts w:ascii="Times New Roman" w:eastAsia="新細明體" w:hAnsi="Times New Roman" w:cs="Times New Roman"/>
          <w:b/>
          <w:bCs/>
          <w:color w:val="C45911" w:themeColor="accent2" w:themeShade="BF"/>
          <w:sz w:val="24"/>
          <w:szCs w:val="24"/>
          <w:lang w:val="en-US" w:eastAsia="zh-TW"/>
        </w:rPr>
      </w:pPr>
    </w:p>
    <w:p w14:paraId="70B2B9CD" w14:textId="2B60A288" w:rsidR="003D1A8C" w:rsidRPr="00EE7C35" w:rsidRDefault="003D1A8C" w:rsidP="003D1A8C">
      <w:pPr>
        <w:spacing w:line="480" w:lineRule="auto"/>
        <w:rPr>
          <w:rFonts w:ascii="Times New Roman" w:hAnsi="Times New Roman" w:cs="Times New Roman"/>
        </w:rPr>
      </w:pPr>
    </w:p>
    <w:p w14:paraId="64E678F6" w14:textId="77777777" w:rsidR="003D1A8C" w:rsidRPr="00EE7C35" w:rsidRDefault="003D1A8C" w:rsidP="003D1A8C">
      <w:pPr>
        <w:pStyle w:val="Caption"/>
        <w:rPr>
          <w:rFonts w:ascii="Times New Roman" w:eastAsia="新細明體" w:hAnsi="Times New Roman" w:cs="Times New Roman"/>
          <w:color w:val="000000" w:themeColor="text1"/>
          <w:sz w:val="24"/>
          <w:szCs w:val="24"/>
          <w:lang w:val="en-US" w:eastAsia="zh-TW"/>
        </w:rPr>
      </w:pPr>
      <w:r w:rsidRPr="00EE7C35">
        <w:rPr>
          <w:rFonts w:ascii="Times New Roman" w:hAnsi="Times New Roman" w:cs="Times New Roman"/>
          <w:b/>
          <w:bCs/>
          <w:sz w:val="24"/>
          <w:szCs w:val="24"/>
          <w:lang w:eastAsia="zh-TW"/>
        </w:rPr>
        <w:t>S</w:t>
      </w:r>
      <w:r w:rsidRPr="00EE7C35">
        <w:rPr>
          <w:rFonts w:ascii="Times New Roman" w:hAnsi="Times New Roman" w:cs="Times New Roman"/>
          <w:b/>
          <w:bCs/>
          <w:sz w:val="24"/>
          <w:szCs w:val="24"/>
        </w:rPr>
        <w:t xml:space="preserve">upplementary Table S4. </w:t>
      </w:r>
      <w:r w:rsidRPr="00EE7C35">
        <w:rPr>
          <w:rFonts w:ascii="Times New Roman" w:eastAsia="新細明體" w:hAnsi="Times New Roman" w:cs="Times New Roman"/>
          <w:color w:val="000000" w:themeColor="text1"/>
          <w:sz w:val="24"/>
          <w:szCs w:val="24"/>
          <w:lang w:val="en-US" w:eastAsia="zh-TW"/>
        </w:rPr>
        <w:t>HCB101-mediated blocking of human CD47 binding to human SIRPα.</w:t>
      </w:r>
    </w:p>
    <w:tbl>
      <w:tblPr>
        <w:tblStyle w:val="TableGrid"/>
        <w:tblW w:w="6520" w:type="dxa"/>
        <w:tblLook w:val="04A0" w:firstRow="1" w:lastRow="0" w:firstColumn="1" w:lastColumn="0" w:noHBand="0" w:noVBand="1"/>
      </w:tblPr>
      <w:tblGrid>
        <w:gridCol w:w="2689"/>
        <w:gridCol w:w="1915"/>
        <w:gridCol w:w="1916"/>
      </w:tblGrid>
      <w:tr w:rsidR="003D1A8C" w:rsidRPr="00EE7C35" w14:paraId="27590C94" w14:textId="77777777" w:rsidTr="00350F41">
        <w:trPr>
          <w:trHeight w:val="283"/>
        </w:trPr>
        <w:tc>
          <w:tcPr>
            <w:tcW w:w="2689" w:type="dxa"/>
          </w:tcPr>
          <w:p w14:paraId="78BB59FE" w14:textId="77777777" w:rsidR="003D1A8C" w:rsidRPr="00EE7C35" w:rsidRDefault="003D1A8C" w:rsidP="00350F41">
            <w:pPr>
              <w:rPr>
                <w:rFonts w:ascii="Times New Roman" w:eastAsia="新細明體" w:hAnsi="Times New Roman" w:cs="Times New Roman"/>
                <w:b/>
                <w:bCs/>
                <w:lang w:val="en-US" w:eastAsia="zh-TW"/>
              </w:rPr>
            </w:pPr>
            <w:r w:rsidRPr="00EE7C35">
              <w:rPr>
                <w:rFonts w:ascii="Times New Roman" w:eastAsia="新細明體" w:hAnsi="Times New Roman" w:cs="Times New Roman"/>
                <w:b/>
                <w:bCs/>
                <w:lang w:val="en-US" w:eastAsia="zh-TW"/>
              </w:rPr>
              <w:t>IC</w:t>
            </w:r>
            <w:r w:rsidRPr="00EE7C35">
              <w:rPr>
                <w:rFonts w:ascii="Times New Roman" w:eastAsia="新細明體" w:hAnsi="Times New Roman" w:cs="Times New Roman"/>
                <w:b/>
                <w:bCs/>
                <w:vertAlign w:val="subscript"/>
                <w:lang w:val="en-US" w:eastAsia="zh-TW"/>
              </w:rPr>
              <w:t>50</w:t>
            </w:r>
            <w:r w:rsidRPr="00EE7C35">
              <w:rPr>
                <w:rFonts w:ascii="Times New Roman" w:eastAsia="新細明體" w:hAnsi="Times New Roman" w:cs="Times New Roman"/>
                <w:b/>
                <w:bCs/>
                <w:lang w:val="en-US" w:eastAsia="zh-TW"/>
              </w:rPr>
              <w:t xml:space="preserve"> (ng/mL)</w:t>
            </w:r>
          </w:p>
        </w:tc>
        <w:tc>
          <w:tcPr>
            <w:tcW w:w="1915" w:type="dxa"/>
          </w:tcPr>
          <w:p w14:paraId="4678634E" w14:textId="77777777" w:rsidR="003D1A8C" w:rsidRPr="00EE7C35" w:rsidRDefault="003D1A8C" w:rsidP="00350F41">
            <w:pPr>
              <w:jc w:val="center"/>
              <w:rPr>
                <w:rFonts w:ascii="Times New Roman" w:eastAsia="新細明體" w:hAnsi="Times New Roman" w:cs="Times New Roman"/>
                <w:b/>
                <w:bCs/>
                <w:lang w:val="en-US" w:eastAsia="zh-TW"/>
              </w:rPr>
            </w:pPr>
            <w:r w:rsidRPr="00EE7C35">
              <w:rPr>
                <w:rFonts w:ascii="Times New Roman" w:eastAsia="新細明體" w:hAnsi="Times New Roman" w:cs="Times New Roman"/>
                <w:b/>
                <w:bCs/>
                <w:lang w:val="en-US" w:eastAsia="zh-TW"/>
              </w:rPr>
              <w:t>Raji</w:t>
            </w:r>
          </w:p>
        </w:tc>
        <w:tc>
          <w:tcPr>
            <w:tcW w:w="1916" w:type="dxa"/>
          </w:tcPr>
          <w:p w14:paraId="13866EE5" w14:textId="77777777" w:rsidR="003D1A8C" w:rsidRPr="00EE7C35" w:rsidRDefault="003D1A8C" w:rsidP="00350F41">
            <w:pPr>
              <w:jc w:val="center"/>
              <w:rPr>
                <w:rFonts w:ascii="Times New Roman" w:eastAsia="新細明體" w:hAnsi="Times New Roman" w:cs="Times New Roman"/>
                <w:b/>
                <w:bCs/>
                <w:lang w:val="en-US" w:eastAsia="zh-TW"/>
              </w:rPr>
            </w:pPr>
            <w:proofErr w:type="spellStart"/>
            <w:r w:rsidRPr="00EE7C35">
              <w:rPr>
                <w:rFonts w:ascii="Times New Roman" w:eastAsia="新細明體" w:hAnsi="Times New Roman" w:cs="Times New Roman"/>
                <w:b/>
                <w:bCs/>
                <w:lang w:val="en-US" w:eastAsia="zh-TW"/>
              </w:rPr>
              <w:t>FaDu</w:t>
            </w:r>
            <w:proofErr w:type="spellEnd"/>
          </w:p>
        </w:tc>
      </w:tr>
      <w:tr w:rsidR="003D1A8C" w:rsidRPr="00EE7C35" w14:paraId="6FDCD27E" w14:textId="77777777" w:rsidTr="00350F41">
        <w:trPr>
          <w:trHeight w:val="283"/>
        </w:trPr>
        <w:tc>
          <w:tcPr>
            <w:tcW w:w="2689" w:type="dxa"/>
          </w:tcPr>
          <w:p w14:paraId="1E4444E3" w14:textId="77777777" w:rsidR="003D1A8C" w:rsidRPr="00EE7C35" w:rsidRDefault="003D1A8C" w:rsidP="00350F41">
            <w:pPr>
              <w:rPr>
                <w:rFonts w:ascii="Times New Roman" w:eastAsia="新細明體" w:hAnsi="Times New Roman" w:cs="Times New Roman"/>
                <w:lang w:val="en-US" w:eastAsia="zh-TW"/>
              </w:rPr>
            </w:pPr>
            <w:r w:rsidRPr="00EE7C35">
              <w:rPr>
                <w:rFonts w:ascii="Times New Roman" w:eastAsia="新細明體" w:hAnsi="Times New Roman" w:cs="Times New Roman"/>
                <w:lang w:val="en-US" w:eastAsia="zh-TW"/>
              </w:rPr>
              <w:t>HCB101</w:t>
            </w:r>
          </w:p>
        </w:tc>
        <w:tc>
          <w:tcPr>
            <w:tcW w:w="1915" w:type="dxa"/>
          </w:tcPr>
          <w:p w14:paraId="3C137801" w14:textId="77777777" w:rsidR="003D1A8C" w:rsidRPr="00EE7C35" w:rsidRDefault="003D1A8C" w:rsidP="00350F41">
            <w:pPr>
              <w:jc w:val="center"/>
              <w:rPr>
                <w:rFonts w:ascii="Times New Roman" w:eastAsia="新細明體" w:hAnsi="Times New Roman" w:cs="Times New Roman"/>
                <w:lang w:val="en-US" w:eastAsia="zh-TW"/>
              </w:rPr>
            </w:pPr>
            <w:r w:rsidRPr="00EE7C35">
              <w:rPr>
                <w:rFonts w:ascii="Times New Roman" w:eastAsia="新細明體" w:hAnsi="Times New Roman" w:cs="Times New Roman"/>
                <w:lang w:val="en-US" w:eastAsia="zh-TW"/>
              </w:rPr>
              <w:t>16.13</w:t>
            </w:r>
          </w:p>
        </w:tc>
        <w:tc>
          <w:tcPr>
            <w:tcW w:w="1916" w:type="dxa"/>
          </w:tcPr>
          <w:p w14:paraId="51EF9966" w14:textId="77777777" w:rsidR="003D1A8C" w:rsidRPr="00EE7C35" w:rsidRDefault="003D1A8C" w:rsidP="00350F41">
            <w:pPr>
              <w:jc w:val="center"/>
              <w:rPr>
                <w:rFonts w:ascii="Times New Roman" w:eastAsia="新細明體" w:hAnsi="Times New Roman" w:cs="Times New Roman"/>
                <w:lang w:val="en-US" w:eastAsia="zh-TW"/>
              </w:rPr>
            </w:pPr>
            <w:r w:rsidRPr="00EE7C35">
              <w:rPr>
                <w:rFonts w:ascii="Times New Roman" w:eastAsia="新細明體" w:hAnsi="Times New Roman" w:cs="Times New Roman"/>
                <w:lang w:val="en-US" w:eastAsia="zh-TW"/>
              </w:rPr>
              <w:t>12.94</w:t>
            </w:r>
          </w:p>
        </w:tc>
      </w:tr>
      <w:tr w:rsidR="003D1A8C" w:rsidRPr="00EE7C35" w14:paraId="47F4A58A" w14:textId="77777777" w:rsidTr="00350F41">
        <w:trPr>
          <w:trHeight w:val="283"/>
        </w:trPr>
        <w:tc>
          <w:tcPr>
            <w:tcW w:w="2689" w:type="dxa"/>
          </w:tcPr>
          <w:p w14:paraId="05840FF5" w14:textId="77777777" w:rsidR="003D1A8C" w:rsidRPr="00EE7C35" w:rsidRDefault="003D1A8C" w:rsidP="00350F41">
            <w:pPr>
              <w:rPr>
                <w:rFonts w:ascii="Times New Roman" w:eastAsia="新細明體" w:hAnsi="Times New Roman" w:cs="Times New Roman"/>
                <w:lang w:val="en-US" w:eastAsia="zh-TW"/>
              </w:rPr>
            </w:pPr>
            <w:r w:rsidRPr="00EE7C35">
              <w:rPr>
                <w:rFonts w:ascii="Times New Roman" w:eastAsia="新細明體" w:hAnsi="Times New Roman" w:cs="Times New Roman"/>
                <w:lang w:val="en-US" w:eastAsia="zh-TW"/>
              </w:rPr>
              <w:t>Hu5F9-G4 analog</w:t>
            </w:r>
          </w:p>
        </w:tc>
        <w:tc>
          <w:tcPr>
            <w:tcW w:w="1915" w:type="dxa"/>
          </w:tcPr>
          <w:p w14:paraId="3664D7F0" w14:textId="77777777" w:rsidR="003D1A8C" w:rsidRPr="00EE7C35" w:rsidRDefault="003D1A8C" w:rsidP="00350F41">
            <w:pPr>
              <w:jc w:val="center"/>
              <w:rPr>
                <w:rFonts w:ascii="Times New Roman" w:eastAsia="新細明體" w:hAnsi="Times New Roman" w:cs="Times New Roman"/>
                <w:lang w:val="en-US" w:eastAsia="zh-TW"/>
              </w:rPr>
            </w:pPr>
            <w:r w:rsidRPr="00EE7C35">
              <w:rPr>
                <w:rFonts w:ascii="Times New Roman" w:eastAsia="新細明體" w:hAnsi="Times New Roman" w:cs="Times New Roman"/>
                <w:lang w:val="en-US" w:eastAsia="zh-TW"/>
              </w:rPr>
              <w:t>48.4</w:t>
            </w:r>
          </w:p>
        </w:tc>
        <w:tc>
          <w:tcPr>
            <w:tcW w:w="1916" w:type="dxa"/>
          </w:tcPr>
          <w:p w14:paraId="55BCD2ED" w14:textId="77777777" w:rsidR="003D1A8C" w:rsidRPr="00EE7C35" w:rsidRDefault="003D1A8C" w:rsidP="00350F41">
            <w:pPr>
              <w:jc w:val="center"/>
              <w:rPr>
                <w:rFonts w:ascii="Times New Roman" w:eastAsia="新細明體" w:hAnsi="Times New Roman" w:cs="Times New Roman"/>
                <w:lang w:val="en-US" w:eastAsia="zh-TW"/>
              </w:rPr>
            </w:pPr>
            <w:r w:rsidRPr="00EE7C35">
              <w:rPr>
                <w:rFonts w:ascii="Times New Roman" w:eastAsia="新細明體" w:hAnsi="Times New Roman" w:cs="Times New Roman"/>
                <w:lang w:val="en-US" w:eastAsia="zh-TW"/>
              </w:rPr>
              <w:t>N.D.*</w:t>
            </w:r>
          </w:p>
        </w:tc>
      </w:tr>
      <w:tr w:rsidR="003D1A8C" w:rsidRPr="00EE7C35" w14:paraId="70880DD3" w14:textId="77777777" w:rsidTr="00350F41">
        <w:trPr>
          <w:trHeight w:val="283"/>
        </w:trPr>
        <w:tc>
          <w:tcPr>
            <w:tcW w:w="2689" w:type="dxa"/>
          </w:tcPr>
          <w:p w14:paraId="0F7F7800" w14:textId="77777777" w:rsidR="003D1A8C" w:rsidRPr="00EE7C35" w:rsidRDefault="003D1A8C" w:rsidP="00350F41">
            <w:pPr>
              <w:rPr>
                <w:rFonts w:ascii="Times New Roman" w:eastAsia="新細明體" w:hAnsi="Times New Roman" w:cs="Times New Roman"/>
                <w:lang w:val="en-US" w:eastAsia="zh-TW"/>
              </w:rPr>
            </w:pPr>
            <w:r w:rsidRPr="00EE7C35">
              <w:rPr>
                <w:rFonts w:ascii="Times New Roman" w:eastAsia="新細明體" w:hAnsi="Times New Roman" w:cs="Times New Roman"/>
                <w:lang w:val="en-US" w:eastAsia="zh-TW"/>
              </w:rPr>
              <w:t>TTI-622</w:t>
            </w:r>
          </w:p>
        </w:tc>
        <w:tc>
          <w:tcPr>
            <w:tcW w:w="1915" w:type="dxa"/>
          </w:tcPr>
          <w:p w14:paraId="282B5BD0" w14:textId="77777777" w:rsidR="003D1A8C" w:rsidRPr="00EE7C35" w:rsidRDefault="003D1A8C" w:rsidP="00350F41">
            <w:pPr>
              <w:jc w:val="center"/>
              <w:rPr>
                <w:rFonts w:ascii="Times New Roman" w:eastAsia="新細明體" w:hAnsi="Times New Roman" w:cs="Times New Roman"/>
                <w:lang w:val="en-US" w:eastAsia="zh-TW"/>
              </w:rPr>
            </w:pPr>
            <w:r w:rsidRPr="00EE7C35">
              <w:rPr>
                <w:rFonts w:ascii="Times New Roman" w:eastAsia="新細明體" w:hAnsi="Times New Roman" w:cs="Times New Roman"/>
                <w:lang w:val="en-US" w:eastAsia="zh-TW"/>
              </w:rPr>
              <w:t>2360.0</w:t>
            </w:r>
          </w:p>
        </w:tc>
        <w:tc>
          <w:tcPr>
            <w:tcW w:w="1916" w:type="dxa"/>
          </w:tcPr>
          <w:p w14:paraId="226DFCCD" w14:textId="77777777" w:rsidR="003D1A8C" w:rsidRPr="00EE7C35" w:rsidRDefault="003D1A8C" w:rsidP="00350F41">
            <w:pPr>
              <w:jc w:val="center"/>
              <w:rPr>
                <w:rFonts w:ascii="Times New Roman" w:eastAsia="新細明體" w:hAnsi="Times New Roman" w:cs="Times New Roman"/>
                <w:lang w:val="en-US" w:eastAsia="zh-TW"/>
              </w:rPr>
            </w:pPr>
            <w:r w:rsidRPr="00EE7C35">
              <w:rPr>
                <w:rFonts w:ascii="Times New Roman" w:eastAsia="新細明體" w:hAnsi="Times New Roman" w:cs="Times New Roman"/>
                <w:lang w:val="en-US" w:eastAsia="zh-TW"/>
              </w:rPr>
              <w:t>N.D.*</w:t>
            </w:r>
          </w:p>
        </w:tc>
      </w:tr>
      <w:tr w:rsidR="003D1A8C" w:rsidRPr="00EE7C35" w14:paraId="3AB9E60E" w14:textId="77777777" w:rsidTr="00350F41">
        <w:trPr>
          <w:trHeight w:val="283"/>
        </w:trPr>
        <w:tc>
          <w:tcPr>
            <w:tcW w:w="2689" w:type="dxa"/>
          </w:tcPr>
          <w:p w14:paraId="2E875130" w14:textId="77777777" w:rsidR="003D1A8C" w:rsidRPr="00EE7C35" w:rsidRDefault="003D1A8C" w:rsidP="00350F41">
            <w:pPr>
              <w:rPr>
                <w:rFonts w:ascii="Times New Roman" w:eastAsia="新細明體" w:hAnsi="Times New Roman" w:cs="Times New Roman"/>
                <w:lang w:val="en-US" w:eastAsia="zh-TW"/>
              </w:rPr>
            </w:pPr>
            <w:r w:rsidRPr="00EE7C35">
              <w:rPr>
                <w:rFonts w:ascii="Times New Roman" w:eastAsia="新細明體" w:hAnsi="Times New Roman" w:cs="Times New Roman"/>
                <w:lang w:val="en-US" w:eastAsia="zh-TW"/>
              </w:rPr>
              <w:t>PD1_ECD_IgG4</w:t>
            </w:r>
          </w:p>
          <w:p w14:paraId="184269E5" w14:textId="77777777" w:rsidR="003D1A8C" w:rsidRPr="00EE7C35" w:rsidRDefault="003D1A8C" w:rsidP="00350F41">
            <w:pPr>
              <w:rPr>
                <w:rFonts w:ascii="Times New Roman" w:eastAsia="新細明體" w:hAnsi="Times New Roman" w:cs="Times New Roman"/>
                <w:lang w:val="en-US" w:eastAsia="zh-TW"/>
              </w:rPr>
            </w:pPr>
            <w:r w:rsidRPr="00EE7C35">
              <w:rPr>
                <w:rFonts w:ascii="Times New Roman" w:eastAsia="新細明體" w:hAnsi="Times New Roman" w:cs="Times New Roman"/>
                <w:lang w:val="en-US" w:eastAsia="zh-TW"/>
              </w:rPr>
              <w:t>(Negative Control)</w:t>
            </w:r>
          </w:p>
        </w:tc>
        <w:tc>
          <w:tcPr>
            <w:tcW w:w="1915" w:type="dxa"/>
          </w:tcPr>
          <w:p w14:paraId="46E5264C" w14:textId="77777777" w:rsidR="003D1A8C" w:rsidRPr="00EE7C35" w:rsidRDefault="003D1A8C" w:rsidP="00350F41">
            <w:pPr>
              <w:jc w:val="center"/>
              <w:rPr>
                <w:rFonts w:ascii="Times New Roman" w:eastAsia="新細明體" w:hAnsi="Times New Roman" w:cs="Times New Roman"/>
                <w:lang w:val="en-US" w:eastAsia="zh-TW"/>
              </w:rPr>
            </w:pPr>
            <w:r w:rsidRPr="00EE7C35">
              <w:rPr>
                <w:rFonts w:ascii="Times New Roman" w:eastAsia="新細明體" w:hAnsi="Times New Roman" w:cs="Times New Roman"/>
                <w:lang w:val="en-US" w:eastAsia="zh-TW"/>
              </w:rPr>
              <w:t>N.D.</w:t>
            </w:r>
          </w:p>
        </w:tc>
        <w:tc>
          <w:tcPr>
            <w:tcW w:w="1916" w:type="dxa"/>
          </w:tcPr>
          <w:p w14:paraId="5FFAFC9C" w14:textId="77777777" w:rsidR="003D1A8C" w:rsidRPr="00EE7C35" w:rsidRDefault="003D1A8C" w:rsidP="00350F41">
            <w:pPr>
              <w:jc w:val="center"/>
              <w:rPr>
                <w:rFonts w:ascii="Times New Roman" w:eastAsia="新細明體" w:hAnsi="Times New Roman" w:cs="Times New Roman"/>
                <w:lang w:val="en-US" w:eastAsia="zh-TW"/>
              </w:rPr>
            </w:pPr>
            <w:r w:rsidRPr="00EE7C35">
              <w:rPr>
                <w:rFonts w:ascii="Times New Roman" w:eastAsia="新細明體" w:hAnsi="Times New Roman" w:cs="Times New Roman"/>
                <w:lang w:val="en-US" w:eastAsia="zh-TW"/>
              </w:rPr>
              <w:t>N.D.</w:t>
            </w:r>
          </w:p>
        </w:tc>
      </w:tr>
    </w:tbl>
    <w:p w14:paraId="08BB8AD2" w14:textId="77777777" w:rsidR="003D1A8C" w:rsidRPr="00EE7C35" w:rsidRDefault="003D1A8C" w:rsidP="003D1A8C">
      <w:pPr>
        <w:jc w:val="both"/>
        <w:rPr>
          <w:rFonts w:ascii="Times New Roman" w:eastAsia="新細明體" w:hAnsi="Times New Roman" w:cs="Times New Roman"/>
        </w:rPr>
      </w:pPr>
      <w:r w:rsidRPr="00EE7C35">
        <w:rPr>
          <w:rFonts w:ascii="Times New Roman" w:eastAsia="新細明體" w:hAnsi="Times New Roman" w:cs="Times New Roman"/>
        </w:rPr>
        <w:t>N.D.*: Not Detected</w:t>
      </w:r>
    </w:p>
    <w:p w14:paraId="61916E82" w14:textId="77777777" w:rsidR="003D1A8C" w:rsidRPr="00EE7C35" w:rsidRDefault="003D1A8C" w:rsidP="003D1A8C">
      <w:pPr>
        <w:spacing w:line="480" w:lineRule="auto"/>
        <w:rPr>
          <w:rFonts w:ascii="Times New Roman" w:hAnsi="Times New Roman" w:cs="Times New Roman"/>
        </w:rPr>
      </w:pPr>
    </w:p>
    <w:p w14:paraId="2403D198" w14:textId="41365D80" w:rsidR="003D1A8C" w:rsidRPr="00EE7C35" w:rsidRDefault="003D1A8C" w:rsidP="003D1A8C">
      <w:pPr>
        <w:jc w:val="both"/>
        <w:rPr>
          <w:rFonts w:ascii="Times New Roman" w:hAnsi="Times New Roman" w:cs="Times New Roman"/>
          <w:color w:val="000000" w:themeColor="text1"/>
        </w:rPr>
      </w:pPr>
      <w:bookmarkStart w:id="2" w:name="_Hlk206686570"/>
      <w:r w:rsidRPr="00EE7C35">
        <w:rPr>
          <w:rFonts w:ascii="Times New Roman" w:hAnsi="Times New Roman" w:cs="Times New Roman"/>
          <w:b/>
          <w:bCs/>
        </w:rPr>
        <w:t>Supplementary</w:t>
      </w:r>
      <w:r w:rsidRPr="00EE7C35">
        <w:rPr>
          <w:rFonts w:ascii="Times New Roman" w:hAnsi="Times New Roman" w:cs="Times New Roman"/>
          <w:b/>
          <w:bCs/>
          <w:color w:val="000000" w:themeColor="text1"/>
        </w:rPr>
        <w:t xml:space="preserve"> Table S</w:t>
      </w:r>
      <w:r w:rsidRPr="00EE7C35">
        <w:rPr>
          <w:rFonts w:ascii="Times New Roman" w:hAnsi="Times New Roman" w:cs="Times New Roman"/>
          <w:b/>
          <w:bCs/>
          <w:noProof/>
          <w:color w:val="000000" w:themeColor="text1"/>
        </w:rPr>
        <w:t>5</w:t>
      </w:r>
      <w:bookmarkEnd w:id="2"/>
      <w:r w:rsidRPr="00EE7C35">
        <w:rPr>
          <w:rFonts w:ascii="Times New Roman" w:hAnsi="Times New Roman" w:cs="Times New Roman"/>
          <w:b/>
          <w:bCs/>
          <w:noProof/>
          <w:color w:val="000000" w:themeColor="text1"/>
        </w:rPr>
        <w:t>.</w:t>
      </w:r>
      <w:r w:rsidRPr="00EE7C35">
        <w:rPr>
          <w:rFonts w:ascii="Times New Roman" w:hAnsi="Times New Roman" w:cs="Times New Roman"/>
          <w:b/>
          <w:bCs/>
          <w:color w:val="000000" w:themeColor="text1"/>
        </w:rPr>
        <w:t xml:space="preserve"> </w:t>
      </w:r>
      <w:r w:rsidRPr="00EE7C35">
        <w:rPr>
          <w:rFonts w:ascii="Times New Roman" w:hAnsi="Times New Roman" w:cs="Times New Roman"/>
          <w:color w:val="000000" w:themeColor="text1"/>
        </w:rPr>
        <w:t xml:space="preserve">The </w:t>
      </w:r>
      <w:r w:rsidR="0020085B" w:rsidRPr="00EE7C35">
        <w:rPr>
          <w:rFonts w:ascii="Times New Roman" w:hAnsi="Times New Roman" w:cs="Times New Roman"/>
          <w:color w:val="000000" w:themeColor="text1"/>
        </w:rPr>
        <w:t>%</w:t>
      </w:r>
      <w:r w:rsidRPr="00EE7C35">
        <w:rPr>
          <w:rFonts w:ascii="Times New Roman" w:hAnsi="Times New Roman" w:cs="Times New Roman"/>
          <w:color w:val="000000" w:themeColor="text1"/>
        </w:rPr>
        <w:t xml:space="preserve">TGI </w:t>
      </w:r>
      <w:r w:rsidR="0020085B" w:rsidRPr="00EE7C35">
        <w:rPr>
          <w:rFonts w:ascii="Times New Roman" w:hAnsi="Times New Roman" w:cs="Times New Roman"/>
          <w:color w:val="000000" w:themeColor="text1"/>
        </w:rPr>
        <w:t xml:space="preserve">value </w:t>
      </w:r>
      <w:r w:rsidRPr="00EE7C35">
        <w:rPr>
          <w:rFonts w:ascii="Times New Roman" w:hAnsi="Times New Roman" w:cs="Times New Roman"/>
          <w:color w:val="000000" w:themeColor="text1"/>
        </w:rPr>
        <w:t>of HCB101 and ALX148 in combination with trastuzumab</w:t>
      </w:r>
    </w:p>
    <w:tbl>
      <w:tblPr>
        <w:tblW w:w="7140" w:type="dxa"/>
        <w:tblCellMar>
          <w:left w:w="0" w:type="dxa"/>
          <w:right w:w="0" w:type="dxa"/>
        </w:tblCellMar>
        <w:tblLook w:val="04A0" w:firstRow="1" w:lastRow="0" w:firstColumn="1" w:lastColumn="0" w:noHBand="0" w:noVBand="1"/>
      </w:tblPr>
      <w:tblGrid>
        <w:gridCol w:w="2684"/>
        <w:gridCol w:w="1696"/>
        <w:gridCol w:w="1140"/>
        <w:gridCol w:w="1620"/>
      </w:tblGrid>
      <w:tr w:rsidR="003D1A8C" w:rsidRPr="00EE7C35" w14:paraId="4BC8310B" w14:textId="77777777" w:rsidTr="0008358D">
        <w:trPr>
          <w:trHeight w:val="378"/>
        </w:trPr>
        <w:tc>
          <w:tcPr>
            <w:tcW w:w="268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18C8691" w14:textId="77777777" w:rsidR="003D1A8C" w:rsidRPr="00EE7C35" w:rsidRDefault="003D1A8C" w:rsidP="00350F41">
            <w:pPr>
              <w:pStyle w:val="NormalWeb"/>
              <w:spacing w:before="0" w:beforeAutospacing="0" w:after="0" w:afterAutospacing="0"/>
              <w:jc w:val="both"/>
              <w:rPr>
                <w:rFonts w:ascii="Times New Roman" w:hAnsi="Times New Roman" w:cs="Times New Roman"/>
              </w:rPr>
            </w:pPr>
            <w:r w:rsidRPr="00EE7C35">
              <w:rPr>
                <w:rFonts w:ascii="Times New Roman" w:hAnsi="Times New Roman" w:cs="Times New Roman"/>
                <w:b/>
                <w:bCs/>
                <w:color w:val="191919"/>
                <w:kern w:val="24"/>
              </w:rPr>
              <w:t>Day 35 after incubation</w:t>
            </w:r>
          </w:p>
        </w:tc>
        <w:tc>
          <w:tcPr>
            <w:tcW w:w="169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713340E" w14:textId="77777777" w:rsidR="003D1A8C" w:rsidRPr="00EE7C35" w:rsidRDefault="003D1A8C" w:rsidP="00350F41">
            <w:pPr>
              <w:pStyle w:val="NormalWeb"/>
              <w:spacing w:before="0" w:beforeAutospacing="0" w:after="0" w:afterAutospacing="0"/>
              <w:jc w:val="center"/>
              <w:rPr>
                <w:rFonts w:ascii="Times New Roman" w:hAnsi="Times New Roman" w:cs="Times New Roman"/>
              </w:rPr>
            </w:pPr>
            <w:r w:rsidRPr="00EE7C35">
              <w:rPr>
                <w:rFonts w:ascii="Times New Roman" w:hAnsi="Times New Roman" w:cs="Times New Roman"/>
                <w:b/>
                <w:bCs/>
                <w:color w:val="191919"/>
                <w:kern w:val="24"/>
              </w:rPr>
              <w:t xml:space="preserve">Mean </w:t>
            </w:r>
            <w:r w:rsidRPr="00EE7C35">
              <w:rPr>
                <w:rFonts w:ascii="Times New Roman" w:eastAsia="微軟正黑體" w:hAnsi="Times New Roman" w:cs="Times New Roman"/>
                <w:b/>
                <w:bCs/>
                <w:color w:val="191919"/>
                <w:kern w:val="24"/>
              </w:rPr>
              <w:t>± SEM</w:t>
            </w:r>
          </w:p>
        </w:tc>
        <w:tc>
          <w:tcPr>
            <w:tcW w:w="114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6C0CC96" w14:textId="0B6EFB13" w:rsidR="003D1A8C" w:rsidRPr="00EE7C35" w:rsidRDefault="0020085B" w:rsidP="00350F41">
            <w:pPr>
              <w:pStyle w:val="NormalWeb"/>
              <w:spacing w:before="0" w:beforeAutospacing="0" w:after="0" w:afterAutospacing="0"/>
              <w:jc w:val="center"/>
              <w:rPr>
                <w:rFonts w:ascii="Times New Roman" w:hAnsi="Times New Roman" w:cs="Times New Roman"/>
              </w:rPr>
            </w:pPr>
            <w:r w:rsidRPr="00EE7C35">
              <w:rPr>
                <w:rFonts w:ascii="Times New Roman" w:hAnsi="Times New Roman" w:cs="Times New Roman"/>
                <w:b/>
                <w:bCs/>
                <w:color w:val="191919"/>
                <w:kern w:val="24"/>
              </w:rPr>
              <w:t>%</w:t>
            </w:r>
            <w:r w:rsidR="003D1A8C" w:rsidRPr="00EE7C35">
              <w:rPr>
                <w:rFonts w:ascii="Times New Roman" w:hAnsi="Times New Roman" w:cs="Times New Roman"/>
                <w:b/>
                <w:bCs/>
                <w:color w:val="191919"/>
                <w:kern w:val="24"/>
              </w:rPr>
              <w:t>TGI</w:t>
            </w:r>
          </w:p>
        </w:tc>
        <w:tc>
          <w:tcPr>
            <w:tcW w:w="16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D75659D" w14:textId="77777777" w:rsidR="003D1A8C" w:rsidRPr="00EE7C35" w:rsidRDefault="003D1A8C" w:rsidP="00350F41">
            <w:pPr>
              <w:pStyle w:val="NormalWeb"/>
              <w:spacing w:before="0" w:beforeAutospacing="0" w:after="0" w:afterAutospacing="0"/>
              <w:jc w:val="center"/>
              <w:rPr>
                <w:rFonts w:ascii="Times New Roman" w:hAnsi="Times New Roman" w:cs="Times New Roman"/>
              </w:rPr>
            </w:pPr>
            <w:r w:rsidRPr="00EE7C35">
              <w:rPr>
                <w:rFonts w:ascii="Times New Roman" w:eastAsia="微軟正黑體" w:hAnsi="Times New Roman" w:cs="Times New Roman"/>
                <w:b/>
                <w:bCs/>
                <w:i/>
                <w:iCs/>
                <w:color w:val="191919"/>
                <w:kern w:val="24"/>
              </w:rPr>
              <w:t>P</w:t>
            </w:r>
            <w:r w:rsidRPr="00EE7C35">
              <w:rPr>
                <w:rFonts w:ascii="Times New Roman" w:eastAsia="微軟正黑體" w:hAnsi="Times New Roman" w:cs="Times New Roman"/>
                <w:b/>
                <w:bCs/>
                <w:color w:val="191919"/>
                <w:kern w:val="24"/>
              </w:rPr>
              <w:t xml:space="preserve"> value¹</w:t>
            </w:r>
          </w:p>
        </w:tc>
      </w:tr>
      <w:tr w:rsidR="003D1A8C" w:rsidRPr="00EE7C35" w14:paraId="25C571B3" w14:textId="77777777" w:rsidTr="0008358D">
        <w:trPr>
          <w:trHeight w:val="378"/>
        </w:trPr>
        <w:tc>
          <w:tcPr>
            <w:tcW w:w="268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A0E5A52" w14:textId="77777777" w:rsidR="003D1A8C" w:rsidRPr="00EE7C35" w:rsidRDefault="003D1A8C" w:rsidP="003D1A8C">
            <w:pPr>
              <w:pStyle w:val="NormalWeb"/>
              <w:spacing w:before="0" w:beforeAutospacing="0" w:after="0" w:afterAutospacing="0"/>
              <w:rPr>
                <w:rFonts w:ascii="Times New Roman" w:hAnsi="Times New Roman" w:cs="Times New Roman"/>
              </w:rPr>
            </w:pPr>
            <w:r w:rsidRPr="00EE7C35">
              <w:rPr>
                <w:rFonts w:ascii="Times New Roman" w:hAnsi="Times New Roman" w:cs="Times New Roman"/>
                <w:color w:val="191919"/>
                <w:kern w:val="24"/>
              </w:rPr>
              <w:t>HCB101 3 mg/kg</w:t>
            </w:r>
          </w:p>
        </w:tc>
        <w:tc>
          <w:tcPr>
            <w:tcW w:w="169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3ABE822" w14:textId="77777777" w:rsidR="003D1A8C" w:rsidRPr="00EE7C35" w:rsidRDefault="003D1A8C" w:rsidP="00350F41">
            <w:pPr>
              <w:pStyle w:val="NormalWeb"/>
              <w:spacing w:before="0" w:beforeAutospacing="0" w:after="0" w:afterAutospacing="0"/>
              <w:jc w:val="center"/>
              <w:rPr>
                <w:rFonts w:ascii="Times New Roman" w:hAnsi="Times New Roman" w:cs="Times New Roman"/>
              </w:rPr>
            </w:pPr>
            <w:r w:rsidRPr="00EE7C35">
              <w:rPr>
                <w:rFonts w:ascii="Times New Roman" w:hAnsi="Times New Roman" w:cs="Times New Roman"/>
                <w:color w:val="191919"/>
                <w:kern w:val="24"/>
              </w:rPr>
              <w:t>851.8</w:t>
            </w:r>
            <w:r w:rsidRPr="00EE7C35">
              <w:rPr>
                <w:rFonts w:ascii="Times New Roman" w:eastAsia="微軟正黑體" w:hAnsi="Times New Roman" w:cs="Times New Roman"/>
                <w:color w:val="191919"/>
                <w:kern w:val="24"/>
              </w:rPr>
              <w:t>±</w:t>
            </w:r>
            <w:r w:rsidRPr="00EE7C35">
              <w:rPr>
                <w:rFonts w:ascii="Times New Roman" w:hAnsi="Times New Roman" w:cs="Times New Roman"/>
                <w:color w:val="191919"/>
                <w:kern w:val="24"/>
              </w:rPr>
              <w:t xml:space="preserve"> 93.92</w:t>
            </w:r>
          </w:p>
        </w:tc>
        <w:tc>
          <w:tcPr>
            <w:tcW w:w="114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4F55338" w14:textId="77777777" w:rsidR="003D1A8C" w:rsidRPr="00EE7C35" w:rsidRDefault="003D1A8C" w:rsidP="00350F41">
            <w:pPr>
              <w:pStyle w:val="NormalWeb"/>
              <w:spacing w:before="0" w:beforeAutospacing="0" w:after="0" w:afterAutospacing="0"/>
              <w:jc w:val="center"/>
              <w:rPr>
                <w:rFonts w:ascii="Times New Roman" w:hAnsi="Times New Roman" w:cs="Times New Roman"/>
              </w:rPr>
            </w:pPr>
            <w:r w:rsidRPr="00EE7C35">
              <w:rPr>
                <w:rFonts w:ascii="Times New Roman" w:hAnsi="Times New Roman" w:cs="Times New Roman"/>
                <w:color w:val="191919"/>
                <w:kern w:val="24"/>
              </w:rPr>
              <w:t>17%</w:t>
            </w:r>
          </w:p>
        </w:tc>
        <w:tc>
          <w:tcPr>
            <w:tcW w:w="16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286505A" w14:textId="77777777" w:rsidR="003D1A8C" w:rsidRPr="00EE7C35" w:rsidRDefault="003D1A8C" w:rsidP="00350F41">
            <w:pPr>
              <w:pStyle w:val="NormalWeb"/>
              <w:spacing w:before="0" w:beforeAutospacing="0" w:after="0" w:afterAutospacing="0"/>
              <w:jc w:val="center"/>
              <w:rPr>
                <w:rFonts w:ascii="Times New Roman" w:hAnsi="Times New Roman" w:cs="Times New Roman"/>
              </w:rPr>
            </w:pPr>
            <w:r w:rsidRPr="00EE7C35">
              <w:rPr>
                <w:rFonts w:ascii="Times New Roman" w:eastAsia="DengXian" w:hAnsi="Times New Roman" w:cs="Times New Roman"/>
                <w:color w:val="191919"/>
                <w:kern w:val="24"/>
              </w:rPr>
              <w:t>&gt; 0.9999</w:t>
            </w:r>
          </w:p>
        </w:tc>
      </w:tr>
      <w:tr w:rsidR="003D1A8C" w:rsidRPr="00EE7C35" w14:paraId="6A0B6EE5" w14:textId="77777777" w:rsidTr="0008358D">
        <w:trPr>
          <w:trHeight w:val="378"/>
        </w:trPr>
        <w:tc>
          <w:tcPr>
            <w:tcW w:w="268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2A7B42D" w14:textId="54E11421" w:rsidR="003D1A8C" w:rsidRPr="00EE7C35" w:rsidRDefault="003D1A8C" w:rsidP="003D1A8C">
            <w:pPr>
              <w:pStyle w:val="NormalWeb"/>
              <w:spacing w:before="0" w:beforeAutospacing="0" w:after="0" w:afterAutospacing="0"/>
              <w:rPr>
                <w:rFonts w:ascii="Times New Roman" w:hAnsi="Times New Roman" w:cs="Times New Roman"/>
              </w:rPr>
            </w:pPr>
            <w:r w:rsidRPr="00EE7C35">
              <w:rPr>
                <w:rFonts w:ascii="Times New Roman" w:hAnsi="Times New Roman" w:cs="Times New Roman"/>
                <w:color w:val="191919"/>
                <w:kern w:val="24"/>
              </w:rPr>
              <w:t xml:space="preserve">HCB101 </w:t>
            </w:r>
            <w:r w:rsidR="0008358D" w:rsidRPr="0076391C">
              <w:rPr>
                <w:rFonts w:ascii="Times New Roman" w:hAnsi="Times New Roman" w:cs="Times New Roman"/>
                <w:kern w:val="24"/>
              </w:rPr>
              <w:t>3 mg/kg</w:t>
            </w:r>
            <w:r w:rsidRPr="00EE7C35">
              <w:rPr>
                <w:rFonts w:ascii="Times New Roman" w:hAnsi="Times New Roman" w:cs="Times New Roman"/>
                <w:color w:val="191919"/>
                <w:kern w:val="24"/>
              </w:rPr>
              <w:t>+ Trastuzumab</w:t>
            </w:r>
            <w:r w:rsidR="0008358D" w:rsidRPr="00EE7C35">
              <w:rPr>
                <w:rFonts w:ascii="Times New Roman" w:hAnsi="Times New Roman" w:cs="Times New Roman"/>
                <w:color w:val="191919"/>
                <w:kern w:val="24"/>
              </w:rPr>
              <w:t xml:space="preserve"> </w:t>
            </w:r>
            <w:r w:rsidR="0008358D" w:rsidRPr="0076391C">
              <w:rPr>
                <w:rFonts w:ascii="Times New Roman" w:hAnsi="Times New Roman" w:cs="Times New Roman"/>
                <w:kern w:val="24"/>
              </w:rPr>
              <w:t>3 mg/kg</w:t>
            </w:r>
          </w:p>
        </w:tc>
        <w:tc>
          <w:tcPr>
            <w:tcW w:w="169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6B7D527" w14:textId="77777777" w:rsidR="003D1A8C" w:rsidRPr="00EE7C35" w:rsidRDefault="003D1A8C" w:rsidP="00350F41">
            <w:pPr>
              <w:pStyle w:val="NormalWeb"/>
              <w:spacing w:before="0" w:beforeAutospacing="0" w:after="0" w:afterAutospacing="0"/>
              <w:jc w:val="center"/>
              <w:rPr>
                <w:rFonts w:ascii="Times New Roman" w:hAnsi="Times New Roman" w:cs="Times New Roman"/>
              </w:rPr>
            </w:pPr>
            <w:r w:rsidRPr="00EE7C35">
              <w:rPr>
                <w:rFonts w:ascii="Times New Roman" w:hAnsi="Times New Roman" w:cs="Times New Roman"/>
                <w:color w:val="191919"/>
                <w:kern w:val="24"/>
              </w:rPr>
              <w:t>398</w:t>
            </w:r>
            <w:r w:rsidRPr="00EE7C35">
              <w:rPr>
                <w:rFonts w:ascii="Times New Roman" w:eastAsia="微軟正黑體" w:hAnsi="Times New Roman" w:cs="Times New Roman"/>
                <w:color w:val="191919"/>
                <w:kern w:val="24"/>
              </w:rPr>
              <w:t>±39.47</w:t>
            </w:r>
          </w:p>
        </w:tc>
        <w:tc>
          <w:tcPr>
            <w:tcW w:w="114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578F27D" w14:textId="77777777" w:rsidR="003D1A8C" w:rsidRPr="00EE7C35" w:rsidRDefault="003D1A8C" w:rsidP="00350F41">
            <w:pPr>
              <w:pStyle w:val="NormalWeb"/>
              <w:spacing w:before="0" w:beforeAutospacing="0" w:after="0" w:afterAutospacing="0"/>
              <w:jc w:val="center"/>
              <w:rPr>
                <w:rFonts w:ascii="Times New Roman" w:hAnsi="Times New Roman" w:cs="Times New Roman"/>
              </w:rPr>
            </w:pPr>
            <w:r w:rsidRPr="00EE7C35">
              <w:rPr>
                <w:rFonts w:ascii="Times New Roman" w:hAnsi="Times New Roman" w:cs="Times New Roman"/>
                <w:color w:val="191919"/>
                <w:kern w:val="24"/>
              </w:rPr>
              <w:t>71%</w:t>
            </w:r>
          </w:p>
        </w:tc>
        <w:tc>
          <w:tcPr>
            <w:tcW w:w="16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BFB7D87" w14:textId="77777777" w:rsidR="003D1A8C" w:rsidRPr="00EE7C35" w:rsidRDefault="003D1A8C" w:rsidP="00350F41">
            <w:pPr>
              <w:pStyle w:val="NormalWeb"/>
              <w:spacing w:before="0" w:beforeAutospacing="0" w:after="0" w:afterAutospacing="0"/>
              <w:jc w:val="center"/>
              <w:rPr>
                <w:rFonts w:ascii="Times New Roman" w:hAnsi="Times New Roman" w:cs="Times New Roman"/>
              </w:rPr>
            </w:pPr>
            <w:r w:rsidRPr="00EE7C35">
              <w:rPr>
                <w:rFonts w:ascii="Times New Roman" w:eastAsia="DengXian" w:hAnsi="Times New Roman" w:cs="Times New Roman"/>
                <w:color w:val="191919"/>
                <w:kern w:val="24"/>
              </w:rPr>
              <w:t>0.0021**</w:t>
            </w:r>
          </w:p>
        </w:tc>
      </w:tr>
      <w:tr w:rsidR="003D1A8C" w:rsidRPr="00EE7C35" w14:paraId="5C2931F1" w14:textId="77777777" w:rsidTr="0008358D">
        <w:trPr>
          <w:trHeight w:val="378"/>
        </w:trPr>
        <w:tc>
          <w:tcPr>
            <w:tcW w:w="268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3AA32A3" w14:textId="77777777" w:rsidR="003D1A8C" w:rsidRPr="00EE7C35" w:rsidRDefault="003D1A8C" w:rsidP="003D1A8C">
            <w:pPr>
              <w:pStyle w:val="NormalWeb"/>
              <w:spacing w:before="0" w:beforeAutospacing="0" w:after="0" w:afterAutospacing="0"/>
              <w:rPr>
                <w:rFonts w:ascii="Times New Roman" w:hAnsi="Times New Roman" w:cs="Times New Roman"/>
              </w:rPr>
            </w:pPr>
            <w:r w:rsidRPr="00EE7C35">
              <w:rPr>
                <w:rFonts w:ascii="Times New Roman" w:hAnsi="Times New Roman" w:cs="Times New Roman"/>
                <w:color w:val="191919"/>
                <w:kern w:val="24"/>
              </w:rPr>
              <w:t>ALX148 3 mg/kg</w:t>
            </w:r>
          </w:p>
        </w:tc>
        <w:tc>
          <w:tcPr>
            <w:tcW w:w="169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3658330" w14:textId="77777777" w:rsidR="003D1A8C" w:rsidRPr="00EE7C35" w:rsidRDefault="003D1A8C" w:rsidP="00350F41">
            <w:pPr>
              <w:pStyle w:val="NormalWeb"/>
              <w:spacing w:before="0" w:beforeAutospacing="0" w:after="0" w:afterAutospacing="0"/>
              <w:jc w:val="center"/>
              <w:rPr>
                <w:rFonts w:ascii="Times New Roman" w:hAnsi="Times New Roman" w:cs="Times New Roman"/>
              </w:rPr>
            </w:pPr>
            <w:r w:rsidRPr="00EE7C35">
              <w:rPr>
                <w:rFonts w:ascii="Times New Roman" w:hAnsi="Times New Roman" w:cs="Times New Roman"/>
                <w:color w:val="191919"/>
                <w:kern w:val="24"/>
              </w:rPr>
              <w:t>1047</w:t>
            </w:r>
            <w:r w:rsidRPr="00EE7C35">
              <w:rPr>
                <w:rFonts w:ascii="Times New Roman" w:eastAsia="微軟正黑體" w:hAnsi="Times New Roman" w:cs="Times New Roman"/>
                <w:color w:val="191919"/>
                <w:kern w:val="24"/>
              </w:rPr>
              <w:t>±108.1</w:t>
            </w:r>
          </w:p>
        </w:tc>
        <w:tc>
          <w:tcPr>
            <w:tcW w:w="114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8669876" w14:textId="77777777" w:rsidR="003D1A8C" w:rsidRPr="00EE7C35" w:rsidRDefault="003D1A8C" w:rsidP="00350F41">
            <w:pPr>
              <w:pStyle w:val="NormalWeb"/>
              <w:spacing w:before="0" w:beforeAutospacing="0" w:after="0" w:afterAutospacing="0"/>
              <w:jc w:val="center"/>
              <w:rPr>
                <w:rFonts w:ascii="Times New Roman" w:hAnsi="Times New Roman" w:cs="Times New Roman"/>
              </w:rPr>
            </w:pPr>
            <w:r w:rsidRPr="00EE7C35">
              <w:rPr>
                <w:rFonts w:ascii="Times New Roman" w:hAnsi="Times New Roman" w:cs="Times New Roman"/>
                <w:color w:val="191919"/>
                <w:kern w:val="24"/>
              </w:rPr>
              <w:t>-7%</w:t>
            </w:r>
          </w:p>
        </w:tc>
        <w:tc>
          <w:tcPr>
            <w:tcW w:w="16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2F3C069" w14:textId="77777777" w:rsidR="003D1A8C" w:rsidRPr="00EE7C35" w:rsidRDefault="003D1A8C" w:rsidP="00350F41">
            <w:pPr>
              <w:pStyle w:val="NormalWeb"/>
              <w:spacing w:before="0" w:beforeAutospacing="0" w:after="0" w:afterAutospacing="0"/>
              <w:jc w:val="center"/>
              <w:rPr>
                <w:rFonts w:ascii="Times New Roman" w:hAnsi="Times New Roman" w:cs="Times New Roman"/>
              </w:rPr>
            </w:pPr>
            <w:r w:rsidRPr="00EE7C35">
              <w:rPr>
                <w:rFonts w:ascii="Times New Roman" w:eastAsia="DengXian" w:hAnsi="Times New Roman" w:cs="Times New Roman"/>
                <w:color w:val="191919"/>
                <w:kern w:val="24"/>
              </w:rPr>
              <w:t>&gt; 0.9999</w:t>
            </w:r>
          </w:p>
        </w:tc>
      </w:tr>
      <w:tr w:rsidR="003D1A8C" w:rsidRPr="00EE7C35" w14:paraId="646E17A0" w14:textId="77777777" w:rsidTr="0008358D">
        <w:trPr>
          <w:trHeight w:val="378"/>
        </w:trPr>
        <w:tc>
          <w:tcPr>
            <w:tcW w:w="268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36DD46E" w14:textId="70F6757F" w:rsidR="003D1A8C" w:rsidRPr="00EE7C35" w:rsidRDefault="003D1A8C" w:rsidP="003D1A8C">
            <w:pPr>
              <w:pStyle w:val="NormalWeb"/>
              <w:spacing w:before="0" w:beforeAutospacing="0" w:after="0" w:afterAutospacing="0"/>
              <w:rPr>
                <w:rFonts w:ascii="Times New Roman" w:eastAsiaTheme="minorEastAsia" w:hAnsi="Times New Roman" w:cs="Times New Roman"/>
              </w:rPr>
            </w:pPr>
            <w:r w:rsidRPr="00EE7C35">
              <w:rPr>
                <w:rFonts w:ascii="Times New Roman" w:eastAsia="DengXian" w:hAnsi="Times New Roman" w:cs="Times New Roman"/>
                <w:color w:val="191919"/>
                <w:kern w:val="24"/>
              </w:rPr>
              <w:t>ALX148</w:t>
            </w:r>
            <w:r w:rsidR="0008358D" w:rsidRPr="00EE7C35">
              <w:rPr>
                <w:rFonts w:ascii="Times New Roman" w:eastAsiaTheme="minorEastAsia" w:hAnsi="Times New Roman" w:cs="Times New Roman"/>
                <w:color w:val="191919"/>
                <w:kern w:val="24"/>
              </w:rPr>
              <w:t xml:space="preserve"> </w:t>
            </w:r>
            <w:r w:rsidR="0008358D" w:rsidRPr="0076391C">
              <w:rPr>
                <w:rFonts w:ascii="Times New Roman" w:eastAsiaTheme="minorEastAsia" w:hAnsi="Times New Roman" w:cs="Times New Roman"/>
                <w:kern w:val="24"/>
              </w:rPr>
              <w:t>3 mg/kg</w:t>
            </w:r>
            <w:r w:rsidRPr="0076391C">
              <w:rPr>
                <w:rFonts w:ascii="Times New Roman" w:eastAsia="DengXian" w:hAnsi="Times New Roman" w:cs="Times New Roman"/>
                <w:kern w:val="24"/>
              </w:rPr>
              <w:t xml:space="preserve"> </w:t>
            </w:r>
            <w:r w:rsidRPr="00EE7C35">
              <w:rPr>
                <w:rFonts w:ascii="Times New Roman" w:eastAsia="DengXian" w:hAnsi="Times New Roman" w:cs="Times New Roman"/>
                <w:color w:val="191919"/>
                <w:kern w:val="24"/>
              </w:rPr>
              <w:t>+ Trastuzumab</w:t>
            </w:r>
            <w:r w:rsidR="0008358D" w:rsidRPr="00EE7C35">
              <w:rPr>
                <w:rFonts w:ascii="Times New Roman" w:eastAsiaTheme="minorEastAsia" w:hAnsi="Times New Roman" w:cs="Times New Roman"/>
                <w:color w:val="191919"/>
                <w:kern w:val="24"/>
              </w:rPr>
              <w:t xml:space="preserve"> </w:t>
            </w:r>
            <w:r w:rsidR="0008358D" w:rsidRPr="0076391C">
              <w:rPr>
                <w:rFonts w:ascii="Times New Roman" w:eastAsiaTheme="minorEastAsia" w:hAnsi="Times New Roman" w:cs="Times New Roman"/>
                <w:kern w:val="24"/>
              </w:rPr>
              <w:t>3 mg/kg</w:t>
            </w:r>
          </w:p>
        </w:tc>
        <w:tc>
          <w:tcPr>
            <w:tcW w:w="169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77B3D54" w14:textId="77777777" w:rsidR="003D1A8C" w:rsidRPr="00EE7C35" w:rsidRDefault="003D1A8C" w:rsidP="00350F41">
            <w:pPr>
              <w:pStyle w:val="NormalWeb"/>
              <w:spacing w:before="0" w:beforeAutospacing="0" w:after="0" w:afterAutospacing="0"/>
              <w:jc w:val="center"/>
              <w:rPr>
                <w:rFonts w:ascii="Times New Roman" w:hAnsi="Times New Roman" w:cs="Times New Roman"/>
              </w:rPr>
            </w:pPr>
            <w:r w:rsidRPr="00EE7C35">
              <w:rPr>
                <w:rFonts w:ascii="Times New Roman" w:eastAsia="微軟正黑體" w:hAnsi="Times New Roman" w:cs="Times New Roman"/>
                <w:color w:val="191919"/>
                <w:kern w:val="24"/>
              </w:rPr>
              <w:t>603.3±43.32</w:t>
            </w:r>
          </w:p>
        </w:tc>
        <w:tc>
          <w:tcPr>
            <w:tcW w:w="114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DEC9049" w14:textId="77777777" w:rsidR="003D1A8C" w:rsidRPr="00EE7C35" w:rsidRDefault="003D1A8C" w:rsidP="00350F41">
            <w:pPr>
              <w:pStyle w:val="NormalWeb"/>
              <w:spacing w:before="0" w:beforeAutospacing="0" w:after="0" w:afterAutospacing="0"/>
              <w:jc w:val="center"/>
              <w:rPr>
                <w:rFonts w:ascii="Times New Roman" w:hAnsi="Times New Roman" w:cs="Times New Roman"/>
              </w:rPr>
            </w:pPr>
            <w:r w:rsidRPr="00EE7C35">
              <w:rPr>
                <w:rFonts w:ascii="Times New Roman" w:hAnsi="Times New Roman" w:cs="Times New Roman"/>
                <w:color w:val="191919"/>
                <w:kern w:val="24"/>
              </w:rPr>
              <w:t>47%</w:t>
            </w:r>
          </w:p>
        </w:tc>
        <w:tc>
          <w:tcPr>
            <w:tcW w:w="16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7683961" w14:textId="77777777" w:rsidR="003D1A8C" w:rsidRPr="00EE7C35" w:rsidRDefault="003D1A8C" w:rsidP="00350F41">
            <w:pPr>
              <w:pStyle w:val="NormalWeb"/>
              <w:spacing w:before="0" w:beforeAutospacing="0" w:after="0" w:afterAutospacing="0"/>
              <w:jc w:val="center"/>
              <w:rPr>
                <w:rFonts w:ascii="Times New Roman" w:hAnsi="Times New Roman" w:cs="Times New Roman"/>
              </w:rPr>
            </w:pPr>
            <w:r w:rsidRPr="00EE7C35">
              <w:rPr>
                <w:rFonts w:ascii="Times New Roman" w:eastAsia="DengXian" w:hAnsi="Times New Roman" w:cs="Times New Roman"/>
                <w:color w:val="191919"/>
                <w:kern w:val="24"/>
              </w:rPr>
              <w:t>0.1374</w:t>
            </w:r>
          </w:p>
        </w:tc>
      </w:tr>
      <w:tr w:rsidR="003D1A8C" w:rsidRPr="00EE7C35" w14:paraId="5E6FC7F9" w14:textId="77777777" w:rsidTr="0008358D">
        <w:trPr>
          <w:trHeight w:val="378"/>
        </w:trPr>
        <w:tc>
          <w:tcPr>
            <w:tcW w:w="268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E8D49B6" w14:textId="77777777" w:rsidR="003D1A8C" w:rsidRPr="00EE7C35" w:rsidRDefault="003D1A8C" w:rsidP="003D1A8C">
            <w:pPr>
              <w:pStyle w:val="NormalWeb"/>
              <w:spacing w:before="0" w:beforeAutospacing="0" w:after="0" w:afterAutospacing="0"/>
              <w:rPr>
                <w:rFonts w:ascii="Times New Roman" w:hAnsi="Times New Roman" w:cs="Times New Roman"/>
              </w:rPr>
            </w:pPr>
            <w:r w:rsidRPr="00EE7C35">
              <w:rPr>
                <w:rFonts w:ascii="Times New Roman" w:hAnsi="Times New Roman" w:cs="Times New Roman"/>
                <w:color w:val="191919"/>
                <w:kern w:val="24"/>
              </w:rPr>
              <w:t>Trastuzumab 3 mg/kg</w:t>
            </w:r>
          </w:p>
        </w:tc>
        <w:tc>
          <w:tcPr>
            <w:tcW w:w="169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D51BD3C" w14:textId="77777777" w:rsidR="003D1A8C" w:rsidRPr="00EE7C35" w:rsidRDefault="003D1A8C" w:rsidP="00350F41">
            <w:pPr>
              <w:pStyle w:val="NormalWeb"/>
              <w:spacing w:before="0" w:beforeAutospacing="0" w:after="0" w:afterAutospacing="0"/>
              <w:jc w:val="center"/>
              <w:rPr>
                <w:rFonts w:ascii="Times New Roman" w:hAnsi="Times New Roman" w:cs="Times New Roman"/>
              </w:rPr>
            </w:pPr>
            <w:r w:rsidRPr="00EE7C35">
              <w:rPr>
                <w:rFonts w:ascii="Times New Roman" w:eastAsia="微軟正黑體" w:hAnsi="Times New Roman" w:cs="Times New Roman"/>
                <w:color w:val="191919"/>
                <w:kern w:val="24"/>
              </w:rPr>
              <w:t>753.2±87.74</w:t>
            </w:r>
          </w:p>
        </w:tc>
        <w:tc>
          <w:tcPr>
            <w:tcW w:w="114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3D572DA" w14:textId="77777777" w:rsidR="003D1A8C" w:rsidRPr="00EE7C35" w:rsidRDefault="003D1A8C" w:rsidP="00350F41">
            <w:pPr>
              <w:pStyle w:val="NormalWeb"/>
              <w:spacing w:before="0" w:beforeAutospacing="0" w:after="0" w:afterAutospacing="0"/>
              <w:jc w:val="center"/>
              <w:rPr>
                <w:rFonts w:ascii="Times New Roman" w:hAnsi="Times New Roman" w:cs="Times New Roman"/>
              </w:rPr>
            </w:pPr>
            <w:r w:rsidRPr="00EE7C35">
              <w:rPr>
                <w:rFonts w:ascii="Times New Roman" w:eastAsia="DengXian" w:hAnsi="Times New Roman" w:cs="Times New Roman"/>
                <w:color w:val="191919"/>
                <w:kern w:val="24"/>
              </w:rPr>
              <w:t>29%</w:t>
            </w:r>
          </w:p>
        </w:tc>
        <w:tc>
          <w:tcPr>
            <w:tcW w:w="16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EA3D6AF" w14:textId="77777777" w:rsidR="003D1A8C" w:rsidRPr="00EE7C35" w:rsidRDefault="003D1A8C" w:rsidP="00350F41">
            <w:pPr>
              <w:pStyle w:val="NormalWeb"/>
              <w:spacing w:before="0" w:beforeAutospacing="0" w:after="0" w:afterAutospacing="0"/>
              <w:jc w:val="center"/>
              <w:rPr>
                <w:rFonts w:ascii="Times New Roman" w:hAnsi="Times New Roman" w:cs="Times New Roman"/>
              </w:rPr>
            </w:pPr>
            <w:r w:rsidRPr="00EE7C35">
              <w:rPr>
                <w:rFonts w:ascii="Times New Roman" w:eastAsia="DengXian" w:hAnsi="Times New Roman" w:cs="Times New Roman"/>
                <w:color w:val="191919"/>
                <w:kern w:val="24"/>
              </w:rPr>
              <w:t>&gt; 0.9999</w:t>
            </w:r>
          </w:p>
        </w:tc>
      </w:tr>
      <w:tr w:rsidR="003D1A8C" w:rsidRPr="00EE7C35" w14:paraId="081AFA31" w14:textId="77777777" w:rsidTr="0008358D">
        <w:trPr>
          <w:trHeight w:val="378"/>
        </w:trPr>
        <w:tc>
          <w:tcPr>
            <w:tcW w:w="268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157717B" w14:textId="77777777" w:rsidR="003D1A8C" w:rsidRPr="00EE7C35" w:rsidRDefault="003D1A8C" w:rsidP="003D1A8C">
            <w:pPr>
              <w:pStyle w:val="NormalWeb"/>
              <w:spacing w:before="0" w:beforeAutospacing="0" w:after="0" w:afterAutospacing="0"/>
              <w:rPr>
                <w:rFonts w:ascii="Times New Roman" w:hAnsi="Times New Roman" w:cs="Times New Roman"/>
              </w:rPr>
            </w:pPr>
            <w:r w:rsidRPr="00EE7C35">
              <w:rPr>
                <w:rFonts w:ascii="Times New Roman" w:eastAsia="DengXian" w:hAnsi="Times New Roman" w:cs="Times New Roman"/>
                <w:color w:val="191919"/>
                <w:kern w:val="24"/>
              </w:rPr>
              <w:t>Vehicle 10 mL/kg</w:t>
            </w:r>
          </w:p>
        </w:tc>
        <w:tc>
          <w:tcPr>
            <w:tcW w:w="169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2A91CE1" w14:textId="77777777" w:rsidR="003D1A8C" w:rsidRPr="00EE7C35" w:rsidRDefault="003D1A8C" w:rsidP="00350F41">
            <w:pPr>
              <w:pStyle w:val="NormalWeb"/>
              <w:spacing w:before="0" w:beforeAutospacing="0" w:after="0" w:afterAutospacing="0"/>
              <w:jc w:val="center"/>
              <w:rPr>
                <w:rFonts w:ascii="Times New Roman" w:hAnsi="Times New Roman" w:cs="Times New Roman"/>
              </w:rPr>
            </w:pPr>
            <w:r w:rsidRPr="00EE7C35">
              <w:rPr>
                <w:rFonts w:ascii="Times New Roman" w:eastAsia="微軟正黑體" w:hAnsi="Times New Roman" w:cs="Times New Roman"/>
                <w:color w:val="191919"/>
                <w:kern w:val="24"/>
              </w:rPr>
              <w:t>990.1±168.7</w:t>
            </w:r>
          </w:p>
        </w:tc>
        <w:tc>
          <w:tcPr>
            <w:tcW w:w="114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CC5A91F" w14:textId="77777777" w:rsidR="003D1A8C" w:rsidRPr="00EE7C35" w:rsidRDefault="003D1A8C" w:rsidP="00350F41">
            <w:pPr>
              <w:rPr>
                <w:rFonts w:ascii="Times New Roman" w:hAnsi="Times New Roman" w:cs="Times New Roman"/>
              </w:rPr>
            </w:pPr>
          </w:p>
        </w:tc>
        <w:tc>
          <w:tcPr>
            <w:tcW w:w="16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5F5F73F" w14:textId="77777777" w:rsidR="003D1A8C" w:rsidRPr="00EE7C35" w:rsidRDefault="003D1A8C" w:rsidP="00350F41">
            <w:pPr>
              <w:rPr>
                <w:rFonts w:ascii="Times New Roman" w:eastAsia="Times New Roman" w:hAnsi="Times New Roman" w:cs="Times New Roman"/>
              </w:rPr>
            </w:pPr>
          </w:p>
        </w:tc>
      </w:tr>
    </w:tbl>
    <w:p w14:paraId="6D138137" w14:textId="4E94DA4C" w:rsidR="00DB6F5D" w:rsidRPr="00EE7C35" w:rsidRDefault="003D1A8C" w:rsidP="003D1A8C">
      <w:pPr>
        <w:jc w:val="both"/>
        <w:rPr>
          <w:rFonts w:ascii="Times New Roman" w:hAnsi="Times New Roman" w:cs="Times New Roman"/>
          <w:color w:val="000000" w:themeColor="text1"/>
        </w:rPr>
      </w:pPr>
      <w:r w:rsidRPr="00EE7C35">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0F936903" wp14:editId="253042BA">
                <wp:simplePos x="0" y="0"/>
                <wp:positionH relativeFrom="column">
                  <wp:posOffset>-45720</wp:posOffset>
                </wp:positionH>
                <wp:positionV relativeFrom="paragraph">
                  <wp:posOffset>18415</wp:posOffset>
                </wp:positionV>
                <wp:extent cx="4760776" cy="246221"/>
                <wp:effectExtent l="0" t="0" r="0" b="0"/>
                <wp:wrapNone/>
                <wp:docPr id="8" name="文字方塊 7">
                  <a:extLst xmlns:a="http://schemas.openxmlformats.org/drawingml/2006/main">
                    <a:ext uri="{FF2B5EF4-FFF2-40B4-BE49-F238E27FC236}">
                      <a16:creationId xmlns:a16="http://schemas.microsoft.com/office/drawing/2014/main" id="{648A62E9-AD18-67C2-E8B0-498C51ED17DF}"/>
                    </a:ext>
                  </a:extLst>
                </wp:docPr>
                <wp:cNvGraphicFramePr/>
                <a:graphic xmlns:a="http://schemas.openxmlformats.org/drawingml/2006/main">
                  <a:graphicData uri="http://schemas.microsoft.com/office/word/2010/wordprocessingShape">
                    <wps:wsp>
                      <wps:cNvSpPr txBox="1"/>
                      <wps:spPr>
                        <a:xfrm>
                          <a:off x="0" y="0"/>
                          <a:ext cx="4760776" cy="246221"/>
                        </a:xfrm>
                        <a:prstGeom prst="rect">
                          <a:avLst/>
                        </a:prstGeom>
                        <a:noFill/>
                      </wps:spPr>
                      <wps:txbx>
                        <w:txbxContent>
                          <w:p w14:paraId="47C47F5F" w14:textId="77777777" w:rsidR="003D1A8C" w:rsidRDefault="003D1A8C" w:rsidP="003D1A8C">
                            <w:pPr>
                              <w:rPr>
                                <w:rFonts w:ascii="Calibri" w:eastAsia="微軟正黑體" w:hAnsi="Calibri" w:cs="+mn-cs"/>
                                <w:color w:val="191919"/>
                                <w:kern w:val="24"/>
                                <w:sz w:val="20"/>
                                <w:szCs w:val="20"/>
                              </w:rPr>
                            </w:pPr>
                            <w:r>
                              <w:rPr>
                                <w:rFonts w:ascii="Calibri" w:eastAsia="微軟正黑體" w:hAnsi="Calibri" w:cs="+mn-cs"/>
                                <w:color w:val="191919"/>
                                <w:kern w:val="24"/>
                                <w:sz w:val="20"/>
                                <w:szCs w:val="20"/>
                              </w:rPr>
                              <w:t xml:space="preserve">¹ </w:t>
                            </w:r>
                            <w:r>
                              <w:rPr>
                                <w:rFonts w:ascii="Calibri" w:eastAsia="微軟正黑體" w:hAnsi="Calibri" w:cs="+mn-cs"/>
                                <w:i/>
                                <w:iCs/>
                                <w:color w:val="191919"/>
                                <w:kern w:val="24"/>
                                <w:sz w:val="20"/>
                                <w:szCs w:val="20"/>
                              </w:rPr>
                              <w:t>P</w:t>
                            </w:r>
                            <w:r>
                              <w:rPr>
                                <w:rFonts w:ascii="Calibri" w:eastAsia="微軟正黑體" w:hAnsi="Calibri" w:cs="+mn-cs"/>
                                <w:color w:val="191919"/>
                                <w:kern w:val="24"/>
                                <w:sz w:val="20"/>
                                <w:szCs w:val="20"/>
                              </w:rPr>
                              <w:t xml:space="preserve"> values were calculated using one-way ANOVA followed by Bonferroni’s post hoc test.</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w:pict>
              <v:shapetype w14:anchorId="0F936903" id="_x0000_t202" coordsize="21600,21600" o:spt="202" path="m,l,21600r21600,l21600,xe">
                <v:stroke joinstyle="miter"/>
                <v:path gradientshapeok="t" o:connecttype="rect"/>
              </v:shapetype>
              <v:shape id="文字方塊 7" o:spid="_x0000_s1026" type="#_x0000_t202" style="position:absolute;left:0;text-align:left;margin-left:-3.6pt;margin-top:1.45pt;width:374.85pt;height:1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" filled="f" stroked="f">
                <v:textbox style="mso-fit-shape-to-text:t">
                  <w:txbxContent>
                    <w:p w14:paraId="47C47F5F" w14:textId="77777777" w:rsidR="003D1A8C" w:rsidRDefault="003D1A8C" w:rsidP="003D1A8C">
                      <w:pPr>
                        <w:rPr>
                          <w:rFonts w:ascii="Calibri" w:eastAsia="微軟正黑體" w:hAnsi="Calibri" w:cs="+mn-cs"/>
                          <w:color w:val="191919"/>
                          <w:kern w:val="24"/>
                          <w:sz w:val="20"/>
                          <w:szCs w:val="20"/>
                        </w:rPr>
                      </w:pPr>
                      <w:r>
                        <w:rPr>
                          <w:rFonts w:ascii="Calibri" w:eastAsia="微軟正黑體" w:hAnsi="Calibri" w:cs="+mn-cs"/>
                          <w:color w:val="191919"/>
                          <w:kern w:val="24"/>
                          <w:sz w:val="20"/>
                          <w:szCs w:val="20"/>
                        </w:rPr>
                        <w:t xml:space="preserve">¹ </w:t>
                      </w:r>
                      <w:r>
                        <w:rPr>
                          <w:rFonts w:ascii="Calibri" w:eastAsia="微軟正黑體" w:hAnsi="Calibri" w:cs="+mn-cs"/>
                          <w:i/>
                          <w:iCs/>
                          <w:color w:val="191919"/>
                          <w:kern w:val="24"/>
                          <w:sz w:val="20"/>
                          <w:szCs w:val="20"/>
                        </w:rPr>
                        <w:t>P</w:t>
                      </w:r>
                      <w:r>
                        <w:rPr>
                          <w:rFonts w:ascii="Calibri" w:eastAsia="微軟正黑體" w:hAnsi="Calibri" w:cs="+mn-cs"/>
                          <w:color w:val="191919"/>
                          <w:kern w:val="24"/>
                          <w:sz w:val="20"/>
                          <w:szCs w:val="20"/>
                        </w:rPr>
                        <w:t xml:space="preserve"> values were calculated using one-way ANOVA followed by Bonferroni’s post hoc test.</w:t>
                      </w:r>
                    </w:p>
                  </w:txbxContent>
                </v:textbox>
              </v:shape>
            </w:pict>
          </mc:Fallback>
        </mc:AlternateContent>
      </w:r>
    </w:p>
    <w:p w14:paraId="39C23708" w14:textId="77777777" w:rsidR="00EE7C35" w:rsidRDefault="00EE7C35" w:rsidP="00EE7C35">
      <w:pPr>
        <w:pStyle w:val="ListParagraph"/>
        <w:ind w:left="360"/>
        <w:jc w:val="both"/>
        <w:rPr>
          <w:rFonts w:ascii="Times New Roman" w:hAnsi="Times New Roman" w:cs="Times New Roman"/>
          <w:b/>
        </w:rPr>
      </w:pPr>
    </w:p>
    <w:p w14:paraId="48ED8A07" w14:textId="77777777" w:rsidR="00EE7C35" w:rsidRDefault="00EE7C35" w:rsidP="00EE7C35">
      <w:pPr>
        <w:pStyle w:val="ListParagraph"/>
        <w:ind w:left="360"/>
        <w:jc w:val="both"/>
        <w:rPr>
          <w:rFonts w:ascii="Times New Roman" w:hAnsi="Times New Roman" w:cs="Times New Roman"/>
          <w:b/>
        </w:rPr>
      </w:pPr>
    </w:p>
    <w:p w14:paraId="37B0AAC0" w14:textId="6AC5FFA7" w:rsidR="003D1A8C" w:rsidRPr="00EE7C35" w:rsidRDefault="00DB6F5D" w:rsidP="00EE7C35">
      <w:pPr>
        <w:pStyle w:val="ListParagraph"/>
        <w:numPr>
          <w:ilvl w:val="0"/>
          <w:numId w:val="2"/>
        </w:numPr>
        <w:jc w:val="both"/>
        <w:rPr>
          <w:rFonts w:ascii="Times New Roman" w:hAnsi="Times New Roman" w:cs="Times New Roman"/>
          <w:b/>
        </w:rPr>
      </w:pPr>
      <w:r w:rsidRPr="00EE7C35">
        <w:rPr>
          <w:rFonts w:ascii="Times New Roman" w:hAnsi="Times New Roman" w:cs="Times New Roman"/>
          <w:b/>
        </w:rPr>
        <w:t xml:space="preserve">Supplementary Figure Legends </w:t>
      </w:r>
    </w:p>
    <w:p w14:paraId="29CB0043" w14:textId="77777777" w:rsidR="00EE7C35" w:rsidRPr="00EE7C35" w:rsidRDefault="00EE7C35" w:rsidP="00EE7C35">
      <w:pPr>
        <w:pStyle w:val="ListParagraph"/>
        <w:ind w:left="360"/>
        <w:jc w:val="both"/>
        <w:rPr>
          <w:rFonts w:ascii="Times New Roman" w:hAnsi="Times New Roman" w:cs="Times New Roman"/>
          <w:b/>
        </w:rPr>
      </w:pPr>
    </w:p>
    <w:p w14:paraId="044FBED7" w14:textId="78850B99" w:rsidR="00DB6F5D" w:rsidRPr="00EE7C35" w:rsidRDefault="00DB6F5D" w:rsidP="00DB6F5D">
      <w:pPr>
        <w:pStyle w:val="Caption"/>
        <w:spacing w:line="480" w:lineRule="auto"/>
        <w:jc w:val="both"/>
        <w:rPr>
          <w:rFonts w:ascii="Times New Roman" w:eastAsia="新細明體" w:hAnsi="Times New Roman" w:cs="Times New Roman"/>
          <w:b/>
          <w:bCs/>
          <w:color w:val="000000" w:themeColor="text1"/>
          <w:sz w:val="24"/>
          <w:szCs w:val="24"/>
          <w:lang w:val="en-US" w:eastAsia="zh-TW"/>
        </w:rPr>
      </w:pPr>
      <w:r w:rsidRPr="00EE7C35">
        <w:rPr>
          <w:rFonts w:ascii="Times New Roman" w:hAnsi="Times New Roman" w:cs="Times New Roman"/>
          <w:b/>
          <w:sz w:val="24"/>
          <w:szCs w:val="24"/>
        </w:rPr>
        <w:t xml:space="preserve">Figure S1. </w:t>
      </w:r>
      <w:r w:rsidR="00D71A1A" w:rsidRPr="00EE7C35">
        <w:rPr>
          <w:rFonts w:ascii="Times New Roman" w:hAnsi="Times New Roman" w:cs="Times New Roman"/>
          <w:b/>
          <w:sz w:val="24"/>
          <w:szCs w:val="24"/>
        </w:rPr>
        <w:t>Schematic diagram of possible mechanism of action of HCB101 and CD47 binding affinity.</w:t>
      </w:r>
      <w:r w:rsidR="00D71A1A" w:rsidRPr="00EE7C35">
        <w:rPr>
          <w:rFonts w:ascii="Times New Roman" w:hAnsi="Times New Roman" w:cs="Times New Roman"/>
          <w:bCs/>
          <w:sz w:val="24"/>
          <w:szCs w:val="24"/>
        </w:rPr>
        <w:t xml:space="preserve"> </w:t>
      </w:r>
      <w:r w:rsidRPr="00EE7C35">
        <w:rPr>
          <w:rFonts w:ascii="Times New Roman" w:eastAsia="新細明體" w:hAnsi="Times New Roman" w:cs="Times New Roman"/>
          <w:b/>
          <w:bCs/>
          <w:color w:val="000000" w:themeColor="text1"/>
          <w:sz w:val="24"/>
          <w:szCs w:val="24"/>
          <w:lang w:val="en-US" w:eastAsia="zh-TW"/>
        </w:rPr>
        <w:t>(</w:t>
      </w:r>
      <w:r w:rsidRPr="00EE7C35">
        <w:rPr>
          <w:rFonts w:ascii="Times New Roman" w:eastAsia="新細明體" w:hAnsi="Times New Roman" w:cs="Times New Roman"/>
          <w:color w:val="000000" w:themeColor="text1"/>
          <w:sz w:val="24"/>
          <w:szCs w:val="24"/>
          <w:lang w:val="en-US" w:eastAsia="zh-TW"/>
        </w:rPr>
        <w:t xml:space="preserve">A) </w:t>
      </w:r>
      <w:r w:rsidRPr="00EE7C35">
        <w:rPr>
          <w:rFonts w:ascii="Times New Roman" w:eastAsia="新細明體" w:hAnsi="Times New Roman" w:cs="Times New Roman"/>
          <w:sz w:val="24"/>
          <w:szCs w:val="24"/>
          <w:lang w:val="en-US" w:eastAsia="zh-TW"/>
        </w:rPr>
        <w:t xml:space="preserve">Schematic diagram of possible mechanism of action of HCB101. (B) The binding affinity of serially diluted HCB101 or control molecules to </w:t>
      </w:r>
      <w:r w:rsidRPr="00EE7C35">
        <w:rPr>
          <w:rFonts w:ascii="Times New Roman" w:eastAsia="新細明體" w:hAnsi="Times New Roman" w:cs="Times New Roman"/>
          <w:sz w:val="24"/>
          <w:szCs w:val="24"/>
          <w:lang w:val="en-US" w:eastAsia="zh-TW"/>
        </w:rPr>
        <w:lastRenderedPageBreak/>
        <w:t>human CD47_ECD proteins was determined by ELISA. Hu5F9-G4 analog was used as the positive control. PD1_ECD_IgG4 served as the negative control. All data points are shown as mean ± SD for the triplicate determinations.</w:t>
      </w:r>
    </w:p>
    <w:p w14:paraId="0258FAA7" w14:textId="77777777" w:rsidR="00DB6F5D" w:rsidRPr="00EE7C35" w:rsidRDefault="00DB6F5D" w:rsidP="00DB6F5D">
      <w:pPr>
        <w:spacing w:line="480" w:lineRule="auto"/>
        <w:jc w:val="both"/>
        <w:rPr>
          <w:rFonts w:ascii="Times New Roman" w:hAnsi="Times New Roman" w:cs="Times New Roman"/>
          <w:bCs/>
        </w:rPr>
      </w:pPr>
    </w:p>
    <w:p w14:paraId="0476CDCE" w14:textId="2C7E59B1" w:rsidR="00DB6F5D" w:rsidRDefault="00DB6F5D" w:rsidP="00DB6F5D">
      <w:pPr>
        <w:spacing w:line="480" w:lineRule="auto"/>
        <w:jc w:val="both"/>
        <w:rPr>
          <w:rFonts w:ascii="Times New Roman" w:hAnsi="Times New Roman" w:cs="Times New Roman"/>
          <w:color w:val="000000" w:themeColor="text1"/>
        </w:rPr>
      </w:pPr>
      <w:r w:rsidRPr="00EE7C35">
        <w:rPr>
          <w:rFonts w:ascii="Times New Roman" w:hAnsi="Times New Roman" w:cs="Times New Roman"/>
          <w:b/>
        </w:rPr>
        <w:t>Figure S2.</w:t>
      </w:r>
      <w:r w:rsidRPr="00EE7C35">
        <w:rPr>
          <w:rFonts w:ascii="Times New Roman" w:hAnsi="Times New Roman" w:cs="Times New Roman"/>
          <w:color w:val="000000" w:themeColor="text1"/>
        </w:rPr>
        <w:t xml:space="preserve"> </w:t>
      </w:r>
      <w:r w:rsidRPr="00EE7C35">
        <w:rPr>
          <w:rFonts w:ascii="Times New Roman" w:hAnsi="Times New Roman" w:cs="Times New Roman"/>
          <w:b/>
          <w:bCs/>
          <w:color w:val="000000" w:themeColor="text1"/>
        </w:rPr>
        <w:t>Binding activity of HCB101 to RBCs.</w:t>
      </w:r>
      <w:r w:rsidRPr="00EE7C35">
        <w:rPr>
          <w:rFonts w:ascii="Times New Roman" w:hAnsi="Times New Roman" w:cs="Times New Roman"/>
          <w:color w:val="000000" w:themeColor="text1"/>
        </w:rPr>
        <w:t xml:space="preserve"> </w:t>
      </w:r>
      <w:r w:rsidRPr="00EE7C35">
        <w:rPr>
          <w:rFonts w:ascii="Times New Roman" w:hAnsi="Times New Roman" w:cs="Times New Roman"/>
        </w:rPr>
        <w:t xml:space="preserve">Serial diluted HCB101 and test articles were incubated with RBCs </w:t>
      </w:r>
      <w:hyperlink w:anchor="_ENREF_10" w:tooltip="Arrieta, 2020 #30" w:history="1">
        <w:r w:rsidRPr="00EE7C35">
          <w:rPr>
            <w:rFonts w:ascii="Times New Roman" w:hAnsi="Times New Roman" w:cs="Times New Roman"/>
            <w:noProof/>
          </w:rPr>
          <w:fldChar w:fldCharType="begin">
            <w:fldData xml:space="preserve">PEVuZE5vdGU+PENpdGUgRXhjbHVkZVllYXI9IjEiPjxBdXRob3I+QXJyaWV0YTwvQXV0aG9yPjxZ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</w:fldData>
          </w:fldChar>
        </w:r>
        <w:r w:rsidRPr="00EE7C35">
          <w:rPr>
            <w:rFonts w:ascii="Times New Roman" w:hAnsi="Times New Roman" w:cs="Times New Roman"/>
            <w:noProof/>
          </w:rPr>
          <w:instrText xml:space="preserve"> ADDIN EN.CITE </w:instrText>
        </w:r>
        <w:r w:rsidRPr="00EE7C35">
          <w:rPr>
            <w:rFonts w:ascii="Times New Roman" w:hAnsi="Times New Roman" w:cs="Times New Roman"/>
            <w:noProof/>
          </w:rPr>
          <w:fldChar w:fldCharType="begin">
            <w:fldData xml:space="preserve">PEVuZE5vdGU+PENpdGUgRXhjbHVkZVllYXI9IjEiPjxBdXRob3I+QXJyaWV0YTwvQXV0aG9yPjxZ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</w:fldData>
          </w:fldChar>
        </w:r>
        <w:r w:rsidRPr="00EE7C35">
          <w:rPr>
            <w:rFonts w:ascii="Times New Roman" w:hAnsi="Times New Roman" w:cs="Times New Roman"/>
            <w:noProof/>
          </w:rPr>
          <w:instrText xml:space="preserve"> ADDIN EN.CITE.DATA </w:instrText>
        </w:r>
        <w:r w:rsidRPr="00EE7C35">
          <w:rPr>
            <w:rFonts w:ascii="Times New Roman" w:hAnsi="Times New Roman" w:cs="Times New Roman"/>
            <w:noProof/>
          </w:rPr>
        </w:r>
        <w:r w:rsidRPr="00EE7C35">
          <w:rPr>
            <w:rFonts w:ascii="Times New Roman" w:hAnsi="Times New Roman" w:cs="Times New Roman"/>
            <w:noProof/>
          </w:rPr>
          <w:fldChar w:fldCharType="end"/>
        </w:r>
        <w:r w:rsidRPr="00EE7C35">
          <w:rPr>
            <w:rFonts w:ascii="Times New Roman" w:hAnsi="Times New Roman" w:cs="Times New Roman"/>
            <w:noProof/>
          </w:rPr>
        </w:r>
        <w:r w:rsidRPr="00EE7C35">
          <w:rPr>
            <w:rFonts w:ascii="Times New Roman" w:hAnsi="Times New Roman" w:cs="Times New Roman"/>
            <w:noProof/>
          </w:rPr>
          <w:fldChar w:fldCharType="separate"/>
        </w:r>
        <w:r w:rsidRPr="00EE7C35">
          <w:rPr>
            <w:rFonts w:ascii="Times New Roman" w:hAnsi="Times New Roman" w:cs="Times New Roman"/>
            <w:noProof/>
            <w:vertAlign w:val="superscript"/>
          </w:rPr>
          <w:t>10</w:t>
        </w:r>
        <w:r w:rsidRPr="00EE7C35">
          <w:rPr>
            <w:rFonts w:ascii="Times New Roman" w:hAnsi="Times New Roman" w:cs="Times New Roman"/>
            <w:noProof/>
          </w:rPr>
          <w:fldChar w:fldCharType="end"/>
        </w:r>
      </w:hyperlink>
      <w:r w:rsidRPr="00EE7C35">
        <w:rPr>
          <w:rFonts w:ascii="Times New Roman" w:hAnsi="Times New Roman" w:cs="Times New Roman"/>
        </w:rPr>
        <w:t xml:space="preserve"> at 4°C for 30 min. PE-conjugated goat anti-human IgG </w:t>
      </w:r>
      <w:proofErr w:type="spellStart"/>
      <w:r w:rsidRPr="00EE7C35">
        <w:rPr>
          <w:rFonts w:ascii="Times New Roman" w:hAnsi="Times New Roman" w:cs="Times New Roman"/>
        </w:rPr>
        <w:t>Fcγ</w:t>
      </w:r>
      <w:proofErr w:type="spellEnd"/>
      <w:r w:rsidRPr="00EE7C35">
        <w:rPr>
          <w:rFonts w:ascii="Times New Roman" w:hAnsi="Times New Roman" w:cs="Times New Roman"/>
        </w:rPr>
        <w:t xml:space="preserve"> was used to detect the binding activity. Human RBCs bound with test articles were analyzed by flow cytometry. The Hu5F9-G4 analog was used as the comparator. The PD1_ECD_IgG4 or h1G4 served as the negative control. All data points are shown as mean ± SD for the triplicate determinations.</w:t>
      </w:r>
    </w:p>
    <w:p w14:paraId="6AAF041B" w14:textId="77777777" w:rsidR="00EE7C35" w:rsidRPr="00EE7C35" w:rsidRDefault="00EE7C35" w:rsidP="00DB6F5D">
      <w:pPr>
        <w:spacing w:line="480" w:lineRule="auto"/>
        <w:jc w:val="both"/>
        <w:rPr>
          <w:rFonts w:ascii="Times New Roman" w:hAnsi="Times New Roman" w:cs="Times New Roman"/>
          <w:color w:val="000000" w:themeColor="text1"/>
        </w:rPr>
      </w:pPr>
    </w:p>
    <w:p w14:paraId="431E0F5D" w14:textId="5376FE94" w:rsidR="00DB6F5D" w:rsidRPr="00EE7C35" w:rsidRDefault="00DB6F5D" w:rsidP="00DB6F5D">
      <w:pPr>
        <w:pStyle w:val="Caption"/>
        <w:spacing w:line="480" w:lineRule="auto"/>
        <w:jc w:val="both"/>
        <w:rPr>
          <w:rFonts w:ascii="Times New Roman" w:eastAsia="新細明體" w:hAnsi="Times New Roman" w:cs="Times New Roman"/>
          <w:color w:val="000000" w:themeColor="text1"/>
          <w:sz w:val="24"/>
          <w:szCs w:val="24"/>
          <w:lang w:val="en-US" w:eastAsia="zh-TW"/>
        </w:rPr>
      </w:pPr>
      <w:r w:rsidRPr="00EE7C35">
        <w:rPr>
          <w:rFonts w:ascii="Times New Roman" w:hAnsi="Times New Roman" w:cs="Times New Roman"/>
          <w:b/>
          <w:sz w:val="24"/>
          <w:szCs w:val="24"/>
        </w:rPr>
        <w:t xml:space="preserve">Figure S3. </w:t>
      </w:r>
      <w:r w:rsidRPr="00EE7C35">
        <w:rPr>
          <w:rFonts w:ascii="Times New Roman" w:eastAsia="新細明體" w:hAnsi="Times New Roman" w:cs="Times New Roman"/>
          <w:b/>
          <w:bCs/>
          <w:color w:val="000000" w:themeColor="text1"/>
          <w:sz w:val="24"/>
          <w:szCs w:val="24"/>
          <w:lang w:val="en-US" w:eastAsia="zh-TW"/>
        </w:rPr>
        <w:t xml:space="preserve">Numeration of M1 and M2 macrophages isolated from </w:t>
      </w:r>
      <w:proofErr w:type="spellStart"/>
      <w:r w:rsidRPr="00EE7C35">
        <w:rPr>
          <w:rFonts w:ascii="Times New Roman" w:eastAsia="新細明體" w:hAnsi="Times New Roman" w:cs="Times New Roman"/>
          <w:b/>
          <w:bCs/>
          <w:color w:val="000000" w:themeColor="text1"/>
          <w:sz w:val="24"/>
          <w:szCs w:val="24"/>
          <w:lang w:val="en-US" w:eastAsia="zh-TW"/>
        </w:rPr>
        <w:t>WiDr</w:t>
      </w:r>
      <w:proofErr w:type="spellEnd"/>
      <w:r w:rsidRPr="00EE7C35">
        <w:rPr>
          <w:rFonts w:ascii="Times New Roman" w:eastAsia="新細明體" w:hAnsi="Times New Roman" w:cs="Times New Roman"/>
          <w:b/>
          <w:bCs/>
          <w:color w:val="000000" w:themeColor="text1"/>
          <w:sz w:val="24"/>
          <w:szCs w:val="24"/>
          <w:lang w:val="en-US" w:eastAsia="zh-TW"/>
        </w:rPr>
        <w:t xml:space="preserve"> tumors treated with HCB101 and other CD47 blocking agents.</w:t>
      </w:r>
      <w:r w:rsidRPr="00EE7C35">
        <w:rPr>
          <w:rFonts w:ascii="Times New Roman" w:eastAsia="新細明體" w:hAnsi="Times New Roman" w:cs="Times New Roman"/>
          <w:color w:val="000000" w:themeColor="text1"/>
          <w:sz w:val="24"/>
          <w:szCs w:val="24"/>
          <w:lang w:val="en-US" w:eastAsia="zh-TW"/>
        </w:rPr>
        <w:t xml:space="preserve"> </w:t>
      </w:r>
      <w:r w:rsidRPr="00EE7C35">
        <w:rPr>
          <w:rFonts w:ascii="Times New Roman" w:eastAsia="新細明體" w:hAnsi="Times New Roman" w:cs="Times New Roman"/>
          <w:sz w:val="24"/>
          <w:szCs w:val="24"/>
          <w:lang w:val="en-US" w:eastAsia="zh-TW"/>
        </w:rPr>
        <w:t xml:space="preserve">(A~D) point chart demonstrated that the changes in the numbers of hematopoietic cells, total macrophage, M1 macrophage, and M2 macrophage after treatment of </w:t>
      </w:r>
      <w:proofErr w:type="spellStart"/>
      <w:r w:rsidRPr="00EE7C35">
        <w:rPr>
          <w:rFonts w:ascii="Times New Roman" w:eastAsia="新細明體" w:hAnsi="Times New Roman" w:cs="Times New Roman"/>
          <w:sz w:val="24"/>
          <w:szCs w:val="24"/>
          <w:lang w:val="en-US" w:eastAsia="zh-TW"/>
        </w:rPr>
        <w:t>WiDr</w:t>
      </w:r>
      <w:proofErr w:type="spellEnd"/>
      <w:r w:rsidRPr="00EE7C35">
        <w:rPr>
          <w:rFonts w:ascii="Times New Roman" w:eastAsia="新細明體" w:hAnsi="Times New Roman" w:cs="Times New Roman"/>
          <w:sz w:val="24"/>
          <w:szCs w:val="24"/>
          <w:lang w:val="en-US" w:eastAsia="zh-TW"/>
        </w:rPr>
        <w:t xml:space="preserve">-bearing mice with HCB101, TTI-622, ALX148, and </w:t>
      </w:r>
      <w:r w:rsidR="00E65634" w:rsidRPr="00EE7C35">
        <w:rPr>
          <w:rFonts w:ascii="Times New Roman" w:eastAsia="新細明體" w:hAnsi="Times New Roman" w:cs="Times New Roman"/>
          <w:sz w:val="24"/>
          <w:szCs w:val="24"/>
          <w:lang w:val="en-US" w:eastAsia="zh-TW"/>
        </w:rPr>
        <w:t>Hu5F9-G4</w:t>
      </w:r>
      <w:r w:rsidR="00707945" w:rsidRPr="00EE7C35">
        <w:rPr>
          <w:rFonts w:ascii="Times New Roman" w:eastAsia="新細明體" w:hAnsi="Times New Roman" w:cs="Times New Roman"/>
          <w:sz w:val="24"/>
          <w:szCs w:val="24"/>
          <w:lang w:val="en-US" w:eastAsia="zh-TW"/>
        </w:rPr>
        <w:t xml:space="preserve"> analog</w:t>
      </w:r>
      <w:r w:rsidR="00201BE5" w:rsidRPr="00EE7C35">
        <w:rPr>
          <w:rFonts w:ascii="Times New Roman" w:eastAsia="新細明體" w:hAnsi="Times New Roman" w:cs="Times New Roman"/>
          <w:sz w:val="24"/>
          <w:szCs w:val="24"/>
          <w:lang w:val="en-US" w:eastAsia="zh-TW"/>
        </w:rPr>
        <w:t>s</w:t>
      </w:r>
      <w:r w:rsidRPr="00EE7C35">
        <w:rPr>
          <w:rFonts w:ascii="Times New Roman" w:eastAsia="新細明體" w:hAnsi="Times New Roman" w:cs="Times New Roman"/>
          <w:sz w:val="24"/>
          <w:szCs w:val="24"/>
          <w:lang w:val="en-US" w:eastAsia="zh-TW"/>
        </w:rPr>
        <w:t xml:space="preserve"> (8 mice per group). (E) </w:t>
      </w:r>
      <w:r w:rsidR="00E65634" w:rsidRPr="00EE7C35">
        <w:rPr>
          <w:rFonts w:ascii="Times New Roman" w:eastAsia="新細明體" w:hAnsi="Times New Roman" w:cs="Times New Roman"/>
          <w:color w:val="0000FF"/>
          <w:sz w:val="24"/>
          <w:szCs w:val="24"/>
          <w:lang w:val="en-US" w:eastAsia="zh-TW"/>
        </w:rPr>
        <w:t>T</w:t>
      </w:r>
      <w:r w:rsidRPr="00EE7C35">
        <w:rPr>
          <w:rFonts w:ascii="Times New Roman" w:eastAsia="新細明體" w:hAnsi="Times New Roman" w:cs="Times New Roman"/>
          <w:sz w:val="24"/>
          <w:szCs w:val="24"/>
          <w:lang w:val="en-US" w:eastAsia="zh-TW"/>
        </w:rPr>
        <w:t xml:space="preserve">he ratio of M1 and M2 after treatment of </w:t>
      </w:r>
      <w:proofErr w:type="spellStart"/>
      <w:r w:rsidRPr="00EE7C35">
        <w:rPr>
          <w:rFonts w:ascii="Times New Roman" w:eastAsia="新細明體" w:hAnsi="Times New Roman" w:cs="Times New Roman"/>
          <w:sz w:val="24"/>
          <w:szCs w:val="24"/>
          <w:lang w:val="en-US" w:eastAsia="zh-TW"/>
        </w:rPr>
        <w:t>WiDr</w:t>
      </w:r>
      <w:proofErr w:type="spellEnd"/>
      <w:r w:rsidRPr="00EE7C35">
        <w:rPr>
          <w:rFonts w:ascii="Times New Roman" w:eastAsia="新細明體" w:hAnsi="Times New Roman" w:cs="Times New Roman"/>
          <w:sz w:val="24"/>
          <w:szCs w:val="24"/>
          <w:lang w:val="en-US" w:eastAsia="zh-TW"/>
        </w:rPr>
        <w:t xml:space="preserve">-bearing mice with HCB101, TTI-622 analog, </w:t>
      </w:r>
      <w:r w:rsidRPr="00EE7C35">
        <w:rPr>
          <w:rFonts w:ascii="Times New Roman" w:eastAsia="新細明體" w:hAnsi="Times New Roman" w:cs="Times New Roman"/>
          <w:sz w:val="24"/>
          <w:szCs w:val="24"/>
          <w:lang w:val="en-US" w:eastAsia="zh-TW"/>
        </w:rPr>
        <w:lastRenderedPageBreak/>
        <w:t>ALX148 analog, and Hu5F9-G4 analog (8 mice per group). All data points are shown as mean ± SEM for the triplicate determinations.</w:t>
      </w:r>
    </w:p>
    <w:p w14:paraId="6FF75972" w14:textId="042E831C" w:rsidR="00DB6F5D" w:rsidRPr="00EE7C35" w:rsidRDefault="00DB6F5D" w:rsidP="00DB6F5D">
      <w:pPr>
        <w:spacing w:line="480" w:lineRule="auto"/>
        <w:jc w:val="both"/>
        <w:rPr>
          <w:rFonts w:ascii="Times New Roman" w:hAnsi="Times New Roman" w:cs="Times New Roman"/>
          <w:b/>
          <w:color w:val="EE0000"/>
        </w:rPr>
      </w:pPr>
    </w:p>
    <w:p w14:paraId="0B83200B" w14:textId="1C5ACB17" w:rsidR="00DB6F5D" w:rsidRPr="00EE7C35" w:rsidRDefault="00DB6F5D" w:rsidP="00DB6F5D">
      <w:pPr>
        <w:keepNext/>
        <w:spacing w:line="480" w:lineRule="auto"/>
        <w:jc w:val="both"/>
        <w:rPr>
          <w:rFonts w:ascii="Times New Roman" w:hAnsi="Times New Roman" w:cs="Times New Roman"/>
          <w:b/>
          <w:bCs/>
          <w:color w:val="000000" w:themeColor="text1"/>
        </w:rPr>
      </w:pPr>
      <w:r w:rsidRPr="00EE7C35">
        <w:rPr>
          <w:rFonts w:ascii="Times New Roman" w:hAnsi="Times New Roman" w:cs="Times New Roman"/>
          <w:b/>
        </w:rPr>
        <w:t>Figure S4.</w:t>
      </w:r>
      <w:r w:rsidRPr="00EE7C35">
        <w:rPr>
          <w:rFonts w:ascii="Times New Roman" w:hAnsi="Times New Roman" w:cs="Times New Roman"/>
          <w:b/>
          <w:color w:val="000000" w:themeColor="text1"/>
        </w:rPr>
        <w:t xml:space="preserve"> IgG effector function is essential for HCB101-facilited phagocytosis. </w:t>
      </w:r>
      <w:r w:rsidRPr="00EE7C35">
        <w:rPr>
          <w:rFonts w:ascii="Times New Roman" w:hAnsi="Times New Roman" w:cs="Times New Roman"/>
          <w:bCs/>
        </w:rPr>
        <w:t>(A) The binding affinity of HCB101 and other CD47 blocking agents to CD47 on Raji cells was assessed by flow cytometry. (B) The ability of HCB101 and other agents to inhibit ligand binding was evaluated using CD47-expressing Raji cells via FACS analysis. (C) Phagocytic activity was measured by co-culturing Raji cells (target) with RAW264.7 cells (effector)</w:t>
      </w:r>
      <w:r w:rsidR="000E45A8" w:rsidRPr="00EE7C35">
        <w:rPr>
          <w:rFonts w:ascii="Times New Roman" w:hAnsi="Times New Roman" w:cs="Times New Roman"/>
          <w:bCs/>
        </w:rPr>
        <w:t xml:space="preserve"> </w:t>
      </w:r>
      <w:r w:rsidR="000E45A8" w:rsidRPr="00952742">
        <w:rPr>
          <w:rFonts w:ascii="Times New Roman" w:hAnsi="Times New Roman" w:cs="Times New Roman"/>
          <w:bCs/>
        </w:rPr>
        <w:t>at a 1</w:t>
      </w:r>
      <w:r w:rsidR="009E2DC0" w:rsidRPr="00952742">
        <w:rPr>
          <w:rFonts w:ascii="Times New Roman" w:hAnsi="Times New Roman" w:cs="Times New Roman"/>
          <w:bCs/>
        </w:rPr>
        <w:t>:</w:t>
      </w:r>
      <w:r w:rsidR="000E45A8" w:rsidRPr="00952742">
        <w:rPr>
          <w:rFonts w:ascii="Times New Roman" w:hAnsi="Times New Roman" w:cs="Times New Roman"/>
          <w:bCs/>
        </w:rPr>
        <w:t>1</w:t>
      </w:r>
      <w:r w:rsidRPr="00952742">
        <w:rPr>
          <w:rFonts w:ascii="Times New Roman" w:hAnsi="Times New Roman" w:cs="Times New Roman"/>
          <w:bCs/>
        </w:rPr>
        <w:t xml:space="preserve"> </w:t>
      </w:r>
      <w:r w:rsidR="009E2DC0" w:rsidRPr="00952742">
        <w:rPr>
          <w:rFonts w:ascii="Times New Roman" w:hAnsi="Times New Roman" w:cs="Times New Roman"/>
          <w:bCs/>
        </w:rPr>
        <w:t xml:space="preserve">ratio </w:t>
      </w:r>
      <w:r w:rsidRPr="00EE7C35">
        <w:rPr>
          <w:rFonts w:ascii="Times New Roman" w:hAnsi="Times New Roman" w:cs="Times New Roman"/>
          <w:bCs/>
        </w:rPr>
        <w:t xml:space="preserve">and quantified as the percentage of </w:t>
      </w:r>
      <w:proofErr w:type="spellStart"/>
      <w:r w:rsidRPr="00EE7C35">
        <w:rPr>
          <w:rFonts w:ascii="Times New Roman" w:hAnsi="Times New Roman" w:cs="Times New Roman"/>
          <w:bCs/>
        </w:rPr>
        <w:t>CellTrace</w:t>
      </w:r>
      <w:proofErr w:type="spellEnd"/>
      <w:r w:rsidRPr="00EE7C35">
        <w:rPr>
          <w:rFonts w:ascii="Times New Roman" w:hAnsi="Times New Roman" w:cs="Times New Roman"/>
          <w:bCs/>
        </w:rPr>
        <w:t xml:space="preserve">™ Violet+ F4/80+ cells within F4/80+ macrophages. hIgG4 (anti-PD1 Ab) was used as the negative control.  (D) </w:t>
      </w:r>
      <w:r w:rsidRPr="00EE7C35">
        <w:rPr>
          <w:rFonts w:ascii="Times New Roman" w:hAnsi="Times New Roman" w:cs="Times New Roman"/>
          <w:bCs/>
          <w:i/>
          <w:iCs/>
        </w:rPr>
        <w:t>In vivo</w:t>
      </w:r>
      <w:r w:rsidRPr="00EE7C35">
        <w:rPr>
          <w:rFonts w:ascii="Times New Roman" w:hAnsi="Times New Roman" w:cs="Times New Roman"/>
          <w:bCs/>
        </w:rPr>
        <w:t xml:space="preserve"> anti-tumor activity was assessed in </w:t>
      </w:r>
      <w:proofErr w:type="spellStart"/>
      <w:r w:rsidRPr="00EE7C35">
        <w:rPr>
          <w:rFonts w:ascii="Times New Roman" w:hAnsi="Times New Roman" w:cs="Times New Roman"/>
          <w:bCs/>
        </w:rPr>
        <w:t>WiDr</w:t>
      </w:r>
      <w:proofErr w:type="spellEnd"/>
      <w:r w:rsidRPr="00EE7C35">
        <w:rPr>
          <w:rFonts w:ascii="Times New Roman" w:hAnsi="Times New Roman" w:cs="Times New Roman"/>
          <w:bCs/>
        </w:rPr>
        <w:t>-bearing mice treated with HCB101, TTI-622 analog, ALX148 analog, and Hu5F9-G4 analog. (E) Phagocytosis activity was assayed in the presence of HCB101 and the HCB101_N197A mutant, where the N297A mutation refers to the substitution of asparagine (</w:t>
      </w:r>
      <w:proofErr w:type="spellStart"/>
      <w:r w:rsidRPr="00EE7C35">
        <w:rPr>
          <w:rFonts w:ascii="Times New Roman" w:hAnsi="Times New Roman" w:cs="Times New Roman"/>
          <w:bCs/>
        </w:rPr>
        <w:t>Asn</w:t>
      </w:r>
      <w:proofErr w:type="spellEnd"/>
      <w:r w:rsidRPr="00EE7C35">
        <w:rPr>
          <w:rFonts w:ascii="Times New Roman" w:hAnsi="Times New Roman" w:cs="Times New Roman"/>
          <w:bCs/>
        </w:rPr>
        <w:t xml:space="preserve">, N) with alanine (Ala, A) at position 297 in the constant region (Fc domain) of the IgG heavy chain, according to the EU numbering scheme. hIgG4 was used as the negative control. All data points are expressed as the </w:t>
      </w:r>
      <w:proofErr w:type="gramStart"/>
      <w:r w:rsidRPr="00EE7C35">
        <w:rPr>
          <w:rFonts w:ascii="Times New Roman" w:hAnsi="Times New Roman" w:cs="Times New Roman"/>
          <w:bCs/>
        </w:rPr>
        <w:t>mean ±</w:t>
      </w:r>
      <w:proofErr w:type="gramEnd"/>
      <w:r w:rsidRPr="00EE7C35">
        <w:rPr>
          <w:rFonts w:ascii="Times New Roman" w:hAnsi="Times New Roman" w:cs="Times New Roman"/>
          <w:bCs/>
        </w:rPr>
        <w:t xml:space="preserve"> SEM from triplicate determinations.</w:t>
      </w:r>
      <w:r w:rsidRPr="00EE7C35" w:rsidDel="00747325">
        <w:rPr>
          <w:rFonts w:ascii="Times New Roman" w:hAnsi="Times New Roman" w:cs="Times New Roman"/>
          <w:bCs/>
        </w:rPr>
        <w:t xml:space="preserve"> </w:t>
      </w:r>
    </w:p>
    <w:p w14:paraId="247ECE52" w14:textId="40710503" w:rsidR="00DB6F5D" w:rsidRPr="00EE7C35" w:rsidRDefault="00DB6F5D" w:rsidP="00DB6F5D">
      <w:pPr>
        <w:spacing w:line="480" w:lineRule="auto"/>
        <w:jc w:val="both"/>
        <w:rPr>
          <w:rFonts w:ascii="Times New Roman" w:hAnsi="Times New Roman" w:cs="Times New Roman"/>
          <w:b/>
        </w:rPr>
      </w:pPr>
    </w:p>
    <w:p w14:paraId="609E0F08" w14:textId="77777777" w:rsidR="003E6CCD" w:rsidRDefault="009E2DC0" w:rsidP="003E6CCD">
      <w:pPr>
        <w:pStyle w:val="Caption"/>
        <w:adjustRightInd w:val="0"/>
        <w:snapToGrid w:val="0"/>
        <w:spacing w:before="100" w:beforeAutospacing="1" w:afterLines="200" w:after="720" w:line="480" w:lineRule="auto"/>
        <w:jc w:val="both"/>
        <w:rPr>
          <w:rFonts w:ascii="Times New Roman" w:hAnsi="Times New Roman" w:cs="Times New Roman"/>
          <w:bCs/>
          <w:kern w:val="2"/>
          <w:sz w:val="24"/>
          <w:szCs w:val="24"/>
          <w:lang w:val="en-US" w:eastAsia="zh-TW"/>
          <w14:ligatures w14:val="standardContextual"/>
        </w:rPr>
      </w:pPr>
      <w:r w:rsidRPr="00952742">
        <w:rPr>
          <w:rFonts w:ascii="Times New Roman" w:hAnsi="Times New Roman" w:cs="Times New Roman"/>
          <w:b/>
          <w:kern w:val="2"/>
          <w:sz w:val="24"/>
          <w:szCs w:val="24"/>
          <w:lang w:val="en-US" w:eastAsia="zh-TW"/>
          <w14:ligatures w14:val="standardContextual"/>
        </w:rPr>
        <w:lastRenderedPageBreak/>
        <w:t xml:space="preserve">Figure S5. Representative images </w:t>
      </w:r>
      <w:r w:rsidR="00107B27" w:rsidRPr="00952742">
        <w:rPr>
          <w:rFonts w:ascii="Times New Roman" w:hAnsi="Times New Roman" w:cs="Times New Roman"/>
          <w:b/>
          <w:kern w:val="2"/>
          <w:sz w:val="24"/>
          <w:szCs w:val="24"/>
          <w:lang w:val="en-US" w:eastAsia="zh-TW"/>
          <w14:ligatures w14:val="standardContextual"/>
        </w:rPr>
        <w:t>of</w:t>
      </w:r>
      <w:r w:rsidRPr="00952742">
        <w:rPr>
          <w:rFonts w:ascii="Times New Roman" w:hAnsi="Times New Roman" w:cs="Times New Roman"/>
          <w:b/>
          <w:kern w:val="2"/>
          <w:sz w:val="24"/>
          <w:szCs w:val="24"/>
          <w:lang w:val="en-US" w:eastAsia="zh-TW"/>
          <w14:ligatures w14:val="standardContextual"/>
        </w:rPr>
        <w:t xml:space="preserve"> NOD/SCID mice bearing Raji (A), </w:t>
      </w:r>
      <w:proofErr w:type="spellStart"/>
      <w:r w:rsidRPr="00952742">
        <w:rPr>
          <w:rFonts w:ascii="Times New Roman" w:hAnsi="Times New Roman" w:cs="Times New Roman"/>
          <w:b/>
          <w:kern w:val="2"/>
          <w:sz w:val="24"/>
          <w:szCs w:val="24"/>
          <w:lang w:val="en-US" w:eastAsia="zh-TW"/>
          <w14:ligatures w14:val="standardContextual"/>
        </w:rPr>
        <w:t>WiDr</w:t>
      </w:r>
      <w:proofErr w:type="spellEnd"/>
      <w:r w:rsidRPr="00952742">
        <w:rPr>
          <w:rFonts w:ascii="Times New Roman" w:hAnsi="Times New Roman" w:cs="Times New Roman"/>
          <w:b/>
          <w:kern w:val="2"/>
          <w:sz w:val="24"/>
          <w:szCs w:val="24"/>
          <w:lang w:val="en-US" w:eastAsia="zh-TW"/>
          <w14:ligatures w14:val="standardContextual"/>
        </w:rPr>
        <w:t xml:space="preserve"> (B), and NCI-N87 (C) </w:t>
      </w:r>
      <w:r w:rsidR="0020085B" w:rsidRPr="00952742">
        <w:rPr>
          <w:rFonts w:ascii="Times New Roman" w:hAnsi="Times New Roman" w:cs="Times New Roman"/>
          <w:b/>
          <w:kern w:val="2"/>
          <w:sz w:val="24"/>
          <w:szCs w:val="24"/>
          <w:lang w:val="en-US" w:eastAsia="zh-TW"/>
          <w14:ligatures w14:val="standardContextual"/>
        </w:rPr>
        <w:t>tumors</w:t>
      </w:r>
      <w:r w:rsidR="00107B27" w:rsidRPr="00952742">
        <w:rPr>
          <w:rFonts w:ascii="Times New Roman" w:hAnsi="Times New Roman" w:cs="Times New Roman"/>
          <w:b/>
          <w:kern w:val="2"/>
          <w:sz w:val="24"/>
          <w:szCs w:val="24"/>
          <w:lang w:val="en-US" w:eastAsia="zh-TW"/>
          <w14:ligatures w14:val="standardContextual"/>
        </w:rPr>
        <w:t xml:space="preserve"> after indicated treatments</w:t>
      </w:r>
      <w:r w:rsidRPr="00952742">
        <w:rPr>
          <w:rFonts w:ascii="Times New Roman" w:hAnsi="Times New Roman" w:cs="Times New Roman"/>
          <w:b/>
          <w:kern w:val="2"/>
          <w:sz w:val="24"/>
          <w:szCs w:val="24"/>
          <w:lang w:val="en-US" w:eastAsia="zh-TW"/>
          <w14:ligatures w14:val="standardContextual"/>
        </w:rPr>
        <w:t xml:space="preserve">. </w:t>
      </w:r>
      <w:r w:rsidRPr="00952742">
        <w:rPr>
          <w:rFonts w:ascii="Times New Roman" w:hAnsi="Times New Roman" w:cs="Times New Roman"/>
          <w:bCs/>
          <w:kern w:val="2"/>
          <w:sz w:val="24"/>
          <w:szCs w:val="24"/>
          <w:lang w:val="en-US" w:eastAsia="zh-TW"/>
          <w14:ligatures w14:val="standardContextual"/>
        </w:rPr>
        <w:t>Experimental procedures are detailed in the Materials and Methods section.</w:t>
      </w:r>
    </w:p>
    <w:p w14:paraId="77FABDA8" w14:textId="4DF8E60B" w:rsidR="00E26933" w:rsidRPr="00952742" w:rsidRDefault="007F18A0" w:rsidP="003E6CCD">
      <w:pPr>
        <w:pStyle w:val="Caption"/>
        <w:adjustRightInd w:val="0"/>
        <w:snapToGrid w:val="0"/>
        <w:spacing w:before="100" w:beforeAutospacing="1" w:afterLines="200" w:after="720" w:line="480" w:lineRule="auto"/>
        <w:jc w:val="both"/>
        <w:rPr>
          <w:rFonts w:ascii="Times New Roman" w:hAnsi="Times New Roman" w:cs="Times New Roman"/>
          <w:bCs/>
          <w:kern w:val="2"/>
          <w:sz w:val="24"/>
          <w:szCs w:val="24"/>
          <w:lang w:val="en-US" w:eastAsia="zh-TW"/>
          <w14:ligatures w14:val="standardContextual"/>
        </w:rPr>
      </w:pPr>
      <w:r w:rsidRPr="00952742">
        <w:rPr>
          <w:rFonts w:ascii="Times New Roman" w:hAnsi="Times New Roman" w:cs="Times New Roman"/>
          <w:b/>
          <w:kern w:val="2"/>
          <w:sz w:val="24"/>
          <w:szCs w:val="24"/>
          <w:lang w:val="en-US" w:eastAsia="zh-TW"/>
          <w14:ligatures w14:val="standardContextual"/>
        </w:rPr>
        <w:t>Figure S6. Effect of HCB101 in the hCD47-CT26 syngeneic BALB/c model.</w:t>
      </w:r>
      <w:r w:rsidRPr="00952742">
        <w:rPr>
          <w:rFonts w:ascii="Times New Roman" w:hAnsi="Times New Roman" w:cs="Times New Roman"/>
          <w:bCs/>
          <w:kern w:val="2"/>
          <w:sz w:val="24"/>
          <w:szCs w:val="24"/>
          <w:lang w:val="en-US" w:eastAsia="zh-TW"/>
          <w14:ligatures w14:val="standardContextual"/>
        </w:rPr>
        <w:t xml:space="preserve"> </w:t>
      </w:r>
      <w:r w:rsidR="009D6BD1" w:rsidRPr="00952742">
        <w:rPr>
          <w:rFonts w:ascii="Times New Roman" w:hAnsi="Times New Roman" w:cs="Times New Roman"/>
          <w:b/>
          <w:kern w:val="2"/>
          <w:sz w:val="24"/>
          <w:szCs w:val="24"/>
          <w:lang w:val="en-US" w:eastAsia="zh-TW"/>
          <w14:ligatures w14:val="standardContextual"/>
        </w:rPr>
        <w:t>(</w:t>
      </w:r>
      <w:r w:rsidRPr="00952742">
        <w:rPr>
          <w:rFonts w:ascii="Times New Roman" w:hAnsi="Times New Roman" w:cs="Times New Roman"/>
          <w:b/>
          <w:kern w:val="2"/>
          <w:sz w:val="24"/>
          <w:szCs w:val="24"/>
          <w:lang w:val="en-US" w:eastAsia="zh-TW"/>
          <w14:ligatures w14:val="standardContextual"/>
        </w:rPr>
        <w:t>A</w:t>
      </w:r>
      <w:r w:rsidR="009D6BD1" w:rsidRPr="00952742">
        <w:rPr>
          <w:rFonts w:ascii="Times New Roman" w:hAnsi="Times New Roman" w:cs="Times New Roman"/>
          <w:b/>
          <w:kern w:val="2"/>
          <w:sz w:val="24"/>
          <w:szCs w:val="24"/>
          <w:lang w:val="en-US" w:eastAsia="zh-TW"/>
          <w14:ligatures w14:val="standardContextual"/>
        </w:rPr>
        <w:t>)</w:t>
      </w:r>
      <w:r w:rsidRPr="00952742">
        <w:rPr>
          <w:rFonts w:ascii="Times New Roman" w:hAnsi="Times New Roman" w:cs="Times New Roman"/>
          <w:b/>
          <w:kern w:val="2"/>
          <w:sz w:val="24"/>
          <w:szCs w:val="24"/>
          <w:lang w:val="en-US" w:eastAsia="zh-TW"/>
          <w14:ligatures w14:val="standardContextual"/>
        </w:rPr>
        <w:t xml:space="preserve"> </w:t>
      </w:r>
      <w:r w:rsidRPr="00952742">
        <w:rPr>
          <w:rFonts w:ascii="Times New Roman" w:hAnsi="Times New Roman" w:cs="Times New Roman"/>
          <w:bCs/>
          <w:kern w:val="2"/>
          <w:sz w:val="24"/>
          <w:szCs w:val="24"/>
          <w:lang w:val="en-US" w:eastAsia="zh-TW"/>
          <w14:ligatures w14:val="standardContextual"/>
        </w:rPr>
        <w:t xml:space="preserve">Anti-tumor efficacy of HCB101. </w:t>
      </w:r>
      <w:r w:rsidR="009D6BD1" w:rsidRPr="00952742">
        <w:rPr>
          <w:rFonts w:ascii="Times New Roman" w:hAnsi="Times New Roman" w:cs="Times New Roman"/>
          <w:b/>
          <w:kern w:val="2"/>
          <w:sz w:val="24"/>
          <w:szCs w:val="24"/>
          <w:lang w:val="en-US" w:eastAsia="zh-TW"/>
          <w14:ligatures w14:val="standardContextual"/>
        </w:rPr>
        <w:t>(</w:t>
      </w:r>
      <w:r w:rsidRPr="00952742">
        <w:rPr>
          <w:rFonts w:ascii="Times New Roman" w:hAnsi="Times New Roman" w:cs="Times New Roman"/>
          <w:b/>
          <w:kern w:val="2"/>
          <w:sz w:val="24"/>
          <w:szCs w:val="24"/>
          <w:lang w:val="en-US" w:eastAsia="zh-TW"/>
          <w14:ligatures w14:val="standardContextual"/>
        </w:rPr>
        <w:t>B</w:t>
      </w:r>
      <w:r w:rsidR="009D6BD1" w:rsidRPr="00952742">
        <w:rPr>
          <w:rFonts w:ascii="Times New Roman" w:hAnsi="Times New Roman" w:cs="Times New Roman"/>
          <w:b/>
          <w:kern w:val="2"/>
          <w:sz w:val="24"/>
          <w:szCs w:val="24"/>
          <w:lang w:val="en-US" w:eastAsia="zh-TW"/>
          <w14:ligatures w14:val="standardContextual"/>
        </w:rPr>
        <w:t>)</w:t>
      </w:r>
      <w:r w:rsidR="009E2DC0" w:rsidRPr="00952742">
        <w:rPr>
          <w:rFonts w:ascii="Times New Roman" w:hAnsi="Times New Roman" w:cs="Times New Roman"/>
          <w:bCs/>
          <w:kern w:val="2"/>
          <w:sz w:val="24"/>
          <w:szCs w:val="24"/>
          <w:lang w:val="en-US" w:eastAsia="zh-TW"/>
          <w14:ligatures w14:val="standardContextual"/>
        </w:rPr>
        <w:t xml:space="preserve"> </w:t>
      </w:r>
      <w:r w:rsidR="00E67452" w:rsidRPr="00952742">
        <w:rPr>
          <w:rFonts w:ascii="Times New Roman" w:hAnsi="Times New Roman" w:cs="Times New Roman"/>
          <w:bCs/>
          <w:kern w:val="2"/>
          <w:sz w:val="24"/>
          <w:szCs w:val="24"/>
          <w:lang w:val="en-US" w:eastAsia="zh-TW"/>
          <w14:ligatures w14:val="standardContextual"/>
        </w:rPr>
        <w:t>Profiling</w:t>
      </w:r>
      <w:r w:rsidRPr="00952742">
        <w:rPr>
          <w:rFonts w:ascii="Times New Roman" w:hAnsi="Times New Roman" w:cs="Times New Roman"/>
          <w:bCs/>
          <w:kern w:val="2"/>
          <w:sz w:val="24"/>
          <w:szCs w:val="24"/>
          <w:lang w:val="en-US" w:eastAsia="zh-TW"/>
          <w14:ligatures w14:val="standardContextual"/>
        </w:rPr>
        <w:t xml:space="preserve"> tumor-infiltrating immune cells.</w:t>
      </w:r>
      <w:r w:rsidR="009376CC" w:rsidRPr="00952742">
        <w:rPr>
          <w:rFonts w:ascii="Times New Roman" w:hAnsi="Times New Roman" w:cs="Times New Roman"/>
          <w:bCs/>
          <w:kern w:val="2"/>
          <w:sz w:val="24"/>
          <w:szCs w:val="24"/>
          <w:lang w:val="en-US" w:eastAsia="zh-TW"/>
          <w14:ligatures w14:val="standardContextual"/>
        </w:rPr>
        <w:t xml:space="preserve"> </w:t>
      </w:r>
      <w:r w:rsidR="00677CC3" w:rsidRPr="00952742">
        <w:rPr>
          <w:rFonts w:ascii="Times New Roman" w:hAnsi="Times New Roman" w:cs="Times New Roman"/>
          <w:bCs/>
          <w:kern w:val="2"/>
          <w:sz w:val="24"/>
          <w:szCs w:val="24"/>
          <w:lang w:val="en-US" w:eastAsia="zh-TW"/>
          <w14:ligatures w14:val="standardContextual"/>
        </w:rPr>
        <w:t>BALB</w:t>
      </w:r>
      <w:proofErr w:type="gramStart"/>
      <w:r w:rsidR="00677CC3" w:rsidRPr="00952742">
        <w:rPr>
          <w:rFonts w:ascii="Times New Roman" w:hAnsi="Times New Roman" w:cs="Times New Roman"/>
          <w:bCs/>
          <w:kern w:val="2"/>
          <w:sz w:val="24"/>
          <w:szCs w:val="24"/>
          <w:lang w:val="en-US" w:eastAsia="zh-TW"/>
          <w14:ligatures w14:val="standardContextual"/>
        </w:rPr>
        <w:t>/c</w:t>
      </w:r>
      <w:proofErr w:type="gramEnd"/>
      <w:r w:rsidR="00677CC3" w:rsidRPr="00952742">
        <w:rPr>
          <w:rFonts w:ascii="Times New Roman" w:hAnsi="Times New Roman" w:cs="Times New Roman"/>
          <w:bCs/>
          <w:kern w:val="2"/>
          <w:sz w:val="24"/>
          <w:szCs w:val="24"/>
          <w:lang w:val="en-US" w:eastAsia="zh-TW"/>
          <w14:ligatures w14:val="standardContextual"/>
        </w:rPr>
        <w:t xml:space="preserve"> mice were implanted subcutaneously with 1 × 10⁶ hCD47-CT26 cells. When tumors reached ~50 mm³, mice were randomized (n = 6/group) and treated with HCB101 (20 mg/kg, </w:t>
      </w:r>
      <w:proofErr w:type="spellStart"/>
      <w:r w:rsidR="00677CC3" w:rsidRPr="00952742">
        <w:rPr>
          <w:rFonts w:ascii="Times New Roman" w:hAnsi="Times New Roman" w:cs="Times New Roman"/>
          <w:bCs/>
          <w:kern w:val="2"/>
          <w:sz w:val="24"/>
          <w:szCs w:val="24"/>
          <w:lang w:val="en-US" w:eastAsia="zh-TW"/>
          <w14:ligatures w14:val="standardContextual"/>
        </w:rPr>
        <w:t>i.p.</w:t>
      </w:r>
      <w:proofErr w:type="spellEnd"/>
      <w:r w:rsidR="00677CC3" w:rsidRPr="00952742">
        <w:rPr>
          <w:rFonts w:ascii="Times New Roman" w:hAnsi="Times New Roman" w:cs="Times New Roman"/>
          <w:bCs/>
          <w:kern w:val="2"/>
          <w:sz w:val="24"/>
          <w:szCs w:val="24"/>
          <w:lang w:val="en-US" w:eastAsia="zh-TW"/>
          <w14:ligatures w14:val="standardContextual"/>
        </w:rPr>
        <w:t>) or vehicle twice weekly. Tumor volumes were monitored, and efficacy was expressed as tumor growth inhibition (TGI). At study end (vehicle, d29; HCB101, d34), tumors were dissociated and analyzed by flow cytometry for CD3⁺ T cells, CD8⁺ T cells, macrophages, conventional dendritic cells (</w:t>
      </w:r>
      <w:proofErr w:type="spellStart"/>
      <w:r w:rsidR="00677CC3" w:rsidRPr="00952742">
        <w:rPr>
          <w:rFonts w:ascii="Times New Roman" w:hAnsi="Times New Roman" w:cs="Times New Roman"/>
          <w:bCs/>
          <w:kern w:val="2"/>
          <w:sz w:val="24"/>
          <w:szCs w:val="24"/>
          <w:lang w:val="en-US" w:eastAsia="zh-TW"/>
          <w14:ligatures w14:val="standardContextual"/>
        </w:rPr>
        <w:t>cDCs</w:t>
      </w:r>
      <w:proofErr w:type="spellEnd"/>
      <w:r w:rsidR="00677CC3" w:rsidRPr="00952742">
        <w:rPr>
          <w:rFonts w:ascii="Times New Roman" w:hAnsi="Times New Roman" w:cs="Times New Roman"/>
          <w:bCs/>
          <w:kern w:val="2"/>
          <w:sz w:val="24"/>
          <w:szCs w:val="24"/>
          <w:lang w:val="en-US" w:eastAsia="zh-TW"/>
          <w14:ligatures w14:val="standardContextual"/>
        </w:rPr>
        <w:t>), and myeloid-derived suppressor cells (MDSCs). Data are shown as mean ± SEM; tumor growth was analyzed by one-way ANOVA with Bonferroni’s post hoc test (**p &lt; 0.01), and immune profiling by independent t-test (*p &lt; 0.05).</w:t>
      </w:r>
    </w:p>
    <w:p w14:paraId="06D1F432" w14:textId="4A63F6AA" w:rsidR="0003621D" w:rsidRPr="00952742" w:rsidRDefault="007F18A0" w:rsidP="00E26933">
      <w:pPr>
        <w:pStyle w:val="Caption"/>
        <w:adjustRightInd w:val="0"/>
        <w:snapToGrid w:val="0"/>
        <w:spacing w:before="100" w:beforeAutospacing="1" w:afterLines="800" w:after="2880" w:line="480" w:lineRule="auto"/>
        <w:jc w:val="both"/>
        <w:rPr>
          <w:rFonts w:ascii="Times New Roman" w:hAnsi="Times New Roman" w:cs="Times New Roman"/>
          <w:sz w:val="24"/>
          <w:szCs w:val="24"/>
          <w:lang w:val="en-US" w:eastAsia="zh-TW"/>
        </w:rPr>
      </w:pPr>
      <w:r w:rsidRPr="00952742">
        <w:rPr>
          <w:rFonts w:ascii="Times New Roman" w:hAnsi="Times New Roman" w:cs="Times New Roman"/>
          <w:b/>
          <w:bCs/>
          <w:sz w:val="24"/>
          <w:szCs w:val="24"/>
          <w:lang w:val="en-US" w:eastAsia="zh-TW"/>
        </w:rPr>
        <w:t>Figure S7.</w:t>
      </w:r>
      <w:r w:rsidR="009E2DC0" w:rsidRPr="00952742">
        <w:rPr>
          <w:rFonts w:ascii="Times New Roman" w:hAnsi="Times New Roman" w:cs="Times New Roman"/>
          <w:kern w:val="2"/>
          <w:sz w:val="24"/>
          <w:szCs w:val="24"/>
          <w:lang w:val="en-US" w:eastAsia="zh-TW"/>
          <w14:ligatures w14:val="standardContextual"/>
        </w:rPr>
        <w:t xml:space="preserve"> </w:t>
      </w:r>
      <w:r w:rsidR="009E2DC0" w:rsidRPr="00952742">
        <w:rPr>
          <w:rFonts w:ascii="Times New Roman" w:hAnsi="Times New Roman" w:cs="Times New Roman"/>
          <w:b/>
          <w:bCs/>
          <w:sz w:val="24"/>
          <w:szCs w:val="24"/>
          <w:lang w:val="en-US" w:eastAsia="zh-TW"/>
        </w:rPr>
        <w:t>Effect of HCB101, trastuzumab, or their combination on RAW264.7 macrophage-mediated phagocytosis of NCI-N87 cells.</w:t>
      </w:r>
      <w:r w:rsidR="009E2DC0" w:rsidRPr="00952742">
        <w:rPr>
          <w:rFonts w:ascii="Times New Roman" w:hAnsi="Times New Roman" w:cs="Times New Roman"/>
          <w:sz w:val="24"/>
          <w:szCs w:val="24"/>
          <w:lang w:val="en-US" w:eastAsia="zh-TW"/>
        </w:rPr>
        <w:t xml:space="preserve"> </w:t>
      </w:r>
      <w:r w:rsidR="00B84057" w:rsidRPr="00952742">
        <w:rPr>
          <w:rFonts w:ascii="Times New Roman" w:hAnsi="Times New Roman" w:cs="Times New Roman"/>
          <w:sz w:val="24"/>
          <w:szCs w:val="24"/>
          <w:lang w:val="en-US" w:eastAsia="zh-TW"/>
        </w:rPr>
        <w:t xml:space="preserve">Phagocytic activity was evaluated by co-culturing NCI-N87 target cells with RAW264.7 effector cells at a 2:1 ratio for 2 h at 37 °C and quantified as the percentage of </w:t>
      </w:r>
      <w:proofErr w:type="spellStart"/>
      <w:r w:rsidR="00B84057" w:rsidRPr="00952742">
        <w:rPr>
          <w:rFonts w:ascii="Times New Roman" w:hAnsi="Times New Roman" w:cs="Times New Roman"/>
          <w:sz w:val="24"/>
          <w:szCs w:val="24"/>
          <w:lang w:val="en-US" w:eastAsia="zh-TW"/>
        </w:rPr>
        <w:t>CellTrace</w:t>
      </w:r>
      <w:proofErr w:type="spellEnd"/>
      <w:r w:rsidR="00B84057" w:rsidRPr="00952742">
        <w:rPr>
          <w:rFonts w:ascii="Times New Roman" w:hAnsi="Times New Roman" w:cs="Times New Roman"/>
          <w:sz w:val="24"/>
          <w:szCs w:val="24"/>
          <w:lang w:val="en-US" w:eastAsia="zh-TW"/>
        </w:rPr>
        <w:t>™ CFSE⁺F4/80⁺ cells within the F4/80⁺ macrophage population. Human IgG4 isotype antibody was included as a negative control.</w:t>
      </w:r>
    </w:p>
    <w:p w14:paraId="1F2F661E" w14:textId="068D00FD" w:rsidR="00E65634" w:rsidRPr="00952742" w:rsidRDefault="007F18A0" w:rsidP="00A75ED6">
      <w:pPr>
        <w:tabs>
          <w:tab w:val="left" w:pos="-1200"/>
        </w:tabs>
        <w:spacing w:line="360" w:lineRule="auto"/>
        <w:jc w:val="both"/>
        <w:rPr>
          <w:rFonts w:ascii="Times New Roman" w:hAnsi="Times New Roman" w:cs="Times New Roman"/>
          <w:b/>
          <w:bCs/>
        </w:rPr>
      </w:pPr>
      <w:r w:rsidRPr="00952742">
        <w:rPr>
          <w:rFonts w:ascii="Times New Roman" w:hAnsi="Times New Roman" w:cs="Times New Roman"/>
          <w:b/>
          <w:bCs/>
        </w:rPr>
        <w:lastRenderedPageBreak/>
        <w:t>Figure S8. Pharmacokinetic and receptor occupancy profiles of HCB101</w:t>
      </w:r>
      <w:r w:rsidR="009A09C0" w:rsidRPr="00952742">
        <w:rPr>
          <w:rFonts w:ascii="Times New Roman" w:hAnsi="Times New Roman" w:cs="Times New Roman"/>
          <w:b/>
          <w:bCs/>
        </w:rPr>
        <w:t xml:space="preserve"> in Cynomolgus Monkeys</w:t>
      </w:r>
      <w:r w:rsidRPr="00952742">
        <w:rPr>
          <w:rFonts w:ascii="Times New Roman" w:hAnsi="Times New Roman" w:cs="Times New Roman"/>
          <w:b/>
          <w:bCs/>
        </w:rPr>
        <w:t>.</w:t>
      </w:r>
    </w:p>
    <w:p w14:paraId="410896DA" w14:textId="0F195ABC" w:rsidR="00A75ED6" w:rsidRPr="00952742" w:rsidRDefault="00E65634" w:rsidP="00A75ED6">
      <w:pPr>
        <w:tabs>
          <w:tab w:val="left" w:pos="-1200"/>
        </w:tabs>
        <w:spacing w:line="360" w:lineRule="auto"/>
        <w:jc w:val="both"/>
        <w:rPr>
          <w:rFonts w:ascii="Times New Roman" w:hAnsi="Times New Roman" w:cs="Times New Roman"/>
        </w:rPr>
      </w:pPr>
      <w:r w:rsidRPr="00952742">
        <w:rPr>
          <w:rFonts w:ascii="Times New Roman" w:hAnsi="Times New Roman" w:cs="Times New Roman"/>
          <w:b/>
          <w:bCs/>
        </w:rPr>
        <w:t>(A)</w:t>
      </w:r>
      <w:r w:rsidRPr="00952742">
        <w:rPr>
          <w:rFonts w:ascii="Times New Roman" w:hAnsi="Times New Roman" w:cs="Times New Roman"/>
        </w:rPr>
        <w:t xml:space="preserve"> Single-dose PK of HCB101 in cynomolgus monkeys at 3, 10, or 60 mg/kg. Serum concentrations were measured by ELISA at indicated time points; data are shown as mean ± SD. </w:t>
      </w:r>
      <w:r w:rsidRPr="00952742">
        <w:rPr>
          <w:rFonts w:ascii="Times New Roman" w:hAnsi="Times New Roman" w:cs="Times New Roman"/>
          <w:b/>
          <w:bCs/>
        </w:rPr>
        <w:t>(</w:t>
      </w:r>
      <w:r w:rsidR="0002432E" w:rsidRPr="00952742">
        <w:rPr>
          <w:rFonts w:ascii="Times New Roman" w:hAnsi="Times New Roman" w:cs="Times New Roman"/>
          <w:b/>
          <w:bCs/>
        </w:rPr>
        <w:t>B</w:t>
      </w:r>
      <w:r w:rsidRPr="00952742">
        <w:rPr>
          <w:rFonts w:ascii="Times New Roman" w:hAnsi="Times New Roman" w:cs="Times New Roman"/>
          <w:b/>
          <w:bCs/>
        </w:rPr>
        <w:t>)</w:t>
      </w:r>
      <w:r w:rsidRPr="00952742">
        <w:rPr>
          <w:rFonts w:ascii="Times New Roman" w:hAnsi="Times New Roman" w:cs="Times New Roman"/>
        </w:rPr>
        <w:t xml:space="preserve"> Receptor occupancy (RO) of HCB101 on CD3⁺ T cells in cynomolgus monkeys</w:t>
      </w:r>
      <w:r w:rsidR="009A09C0" w:rsidRPr="00952742">
        <w:rPr>
          <w:rFonts w:ascii="Times New Roman" w:hAnsi="Times New Roman" w:cs="Times New Roman"/>
        </w:rPr>
        <w:t>.</w:t>
      </w:r>
      <w:r w:rsidRPr="00952742">
        <w:rPr>
          <w:rFonts w:ascii="Times New Roman" w:hAnsi="Times New Roman" w:cs="Times New Roman"/>
        </w:rPr>
        <w:t xml:space="preserve"> </w:t>
      </w:r>
      <w:r w:rsidR="009A09C0" w:rsidRPr="00952742">
        <w:rPr>
          <w:rFonts w:ascii="Times New Roman" w:hAnsi="Times New Roman" w:cs="Times New Roman"/>
        </w:rPr>
        <w:t>The CD3</w:t>
      </w:r>
      <w:r w:rsidR="009A09C0" w:rsidRPr="00952742">
        <w:rPr>
          <w:rFonts w:ascii="Times New Roman" w:hAnsi="Times New Roman" w:cs="Times New Roman"/>
          <w:vertAlign w:val="superscript"/>
        </w:rPr>
        <w:t>+</w:t>
      </w:r>
      <w:r w:rsidR="009A09C0" w:rsidRPr="00952742">
        <w:rPr>
          <w:rFonts w:ascii="Times New Roman" w:hAnsi="Times New Roman" w:cs="Times New Roman"/>
        </w:rPr>
        <w:t xml:space="preserve"> T cells RO w</w:t>
      </w:r>
      <w:r w:rsidR="0002432E" w:rsidRPr="00952742">
        <w:rPr>
          <w:rFonts w:ascii="Times New Roman" w:hAnsi="Times New Roman" w:cs="Times New Roman"/>
        </w:rPr>
        <w:t>as</w:t>
      </w:r>
      <w:r w:rsidR="009A09C0" w:rsidRPr="00952742">
        <w:rPr>
          <w:rFonts w:ascii="Times New Roman" w:hAnsi="Times New Roman" w:cs="Times New Roman"/>
        </w:rPr>
        <w:t xml:space="preserve"> </w:t>
      </w:r>
      <w:r w:rsidRPr="00952742">
        <w:rPr>
          <w:rFonts w:ascii="Times New Roman" w:hAnsi="Times New Roman" w:cs="Times New Roman"/>
        </w:rPr>
        <w:t xml:space="preserve">assessed </w:t>
      </w:r>
      <w:r w:rsidR="009A09C0" w:rsidRPr="00952742">
        <w:rPr>
          <w:rFonts w:ascii="Times New Roman" w:hAnsi="Times New Roman" w:cs="Times New Roman"/>
        </w:rPr>
        <w:t xml:space="preserve">at </w:t>
      </w:r>
      <w:r w:rsidR="0002432E" w:rsidRPr="00952742">
        <w:rPr>
          <w:rFonts w:ascii="Times New Roman" w:hAnsi="Times New Roman" w:cs="Times New Roman"/>
        </w:rPr>
        <w:t xml:space="preserve">the </w:t>
      </w:r>
      <w:r w:rsidR="009A09C0" w:rsidRPr="00952742">
        <w:rPr>
          <w:rFonts w:ascii="Times New Roman" w:hAnsi="Times New Roman" w:cs="Times New Roman"/>
        </w:rPr>
        <w:t xml:space="preserve">indicated time points </w:t>
      </w:r>
      <w:r w:rsidR="0002432E" w:rsidRPr="00952742">
        <w:rPr>
          <w:rFonts w:ascii="Times New Roman" w:hAnsi="Times New Roman" w:cs="Times New Roman"/>
        </w:rPr>
        <w:t>using</w:t>
      </w:r>
      <w:r w:rsidRPr="00952742">
        <w:rPr>
          <w:rFonts w:ascii="Times New Roman" w:hAnsi="Times New Roman" w:cs="Times New Roman"/>
        </w:rPr>
        <w:t xml:space="preserve"> flow cytometry. </w:t>
      </w:r>
    </w:p>
    <w:p w14:paraId="453343D8" w14:textId="77777777" w:rsidR="003D1A8C" w:rsidRPr="00EE7C35" w:rsidRDefault="003D1A8C" w:rsidP="003D1A8C">
      <w:pPr>
        <w:spacing w:line="480" w:lineRule="auto"/>
        <w:rPr>
          <w:rFonts w:ascii="Times New Roman" w:hAnsi="Times New Roman" w:cs="Times New Roman"/>
        </w:rPr>
      </w:pPr>
    </w:p>
    <w:p w14:paraId="5E2D3D1B" w14:textId="77777777" w:rsidR="003D1A8C" w:rsidRPr="00EE7C35" w:rsidRDefault="003D1A8C" w:rsidP="003D1A8C">
      <w:pPr>
        <w:spacing w:line="480" w:lineRule="auto"/>
        <w:rPr>
          <w:rFonts w:ascii="Times New Roman" w:hAnsi="Times New Roman" w:cs="Times New Roman"/>
        </w:rPr>
      </w:pPr>
    </w:p>
    <w:sectPr w:rsidR="003D1A8C" w:rsidRPr="00EE7C35">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4E79C" w14:textId="77777777" w:rsidR="001A2DAE" w:rsidRDefault="001A2DAE" w:rsidP="00DB34B4">
      <w:pPr>
        <w:spacing w:after="0" w:line="240" w:lineRule="auto"/>
      </w:pPr>
      <w:r>
        <w:separator/>
      </w:r>
    </w:p>
  </w:endnote>
  <w:endnote w:type="continuationSeparator" w:id="0">
    <w:p w14:paraId="41ACC889" w14:textId="77777777" w:rsidR="001A2DAE" w:rsidRDefault="001A2DAE" w:rsidP="00DB3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DengXian">
    <w:altName w:val="等线"/>
    <w:panose1 w:val="02010600030101010101"/>
    <w:charset w:val="86"/>
    <w:family w:val="auto"/>
    <w:pitch w:val="variable"/>
    <w:sig w:usb0="A00002BF" w:usb1="38CF7CFA" w:usb2="00000016" w:usb3="00000000" w:csb0="0004000F" w:csb1="00000000"/>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054200"/>
      <w:docPartObj>
        <w:docPartGallery w:val="Page Numbers (Bottom of Page)"/>
        <w:docPartUnique/>
      </w:docPartObj>
    </w:sdtPr>
    <w:sdtContent>
      <w:p w14:paraId="41B2CEA6" w14:textId="606E35E3" w:rsidR="00DB6F5D" w:rsidRDefault="00DB6F5D">
        <w:pPr>
          <w:pStyle w:val="Footer"/>
          <w:jc w:val="right"/>
        </w:pPr>
        <w:r>
          <w:fldChar w:fldCharType="begin"/>
        </w:r>
        <w:r>
          <w:instrText>PAGE   \* MERGEFORMAT</w:instrText>
        </w:r>
        <w:r>
          <w:fldChar w:fldCharType="separate"/>
        </w:r>
        <w:r>
          <w:rPr>
            <w:lang w:val="zh-TW"/>
          </w:rPr>
          <w:t>2</w:t>
        </w:r>
        <w:r>
          <w:fldChar w:fldCharType="end"/>
        </w:r>
      </w:p>
    </w:sdtContent>
  </w:sdt>
  <w:p w14:paraId="5AC28312" w14:textId="77777777" w:rsidR="00DB6F5D" w:rsidRDefault="00DB6F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40F79" w14:textId="77777777" w:rsidR="001A2DAE" w:rsidRDefault="001A2DAE" w:rsidP="00DB34B4">
      <w:pPr>
        <w:spacing w:after="0" w:line="240" w:lineRule="auto"/>
      </w:pPr>
      <w:r>
        <w:separator/>
      </w:r>
    </w:p>
  </w:footnote>
  <w:footnote w:type="continuationSeparator" w:id="0">
    <w:p w14:paraId="6EF1C15A" w14:textId="77777777" w:rsidR="001A2DAE" w:rsidRDefault="001A2DAE" w:rsidP="00DB3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D47"/>
    <w:multiLevelType w:val="hybridMultilevel"/>
    <w:tmpl w:val="608A0A44"/>
    <w:lvl w:ilvl="0" w:tplc="DA36F2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D91130"/>
    <w:multiLevelType w:val="multilevel"/>
    <w:tmpl w:val="06B21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9C0FE3"/>
    <w:multiLevelType w:val="hybridMultilevel"/>
    <w:tmpl w:val="0D50F292"/>
    <w:lvl w:ilvl="0" w:tplc="AFB2DEEE">
      <w:start w:val="1"/>
      <w:numFmt w:val="upperLetter"/>
      <w:lvlText w:val="(%1)"/>
      <w:lvlJc w:val="left"/>
      <w:pPr>
        <w:ind w:left="1720" w:hanging="444"/>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3" w15:restartNumberingAfterBreak="0">
    <w:nsid w:val="52F4206E"/>
    <w:multiLevelType w:val="hybridMultilevel"/>
    <w:tmpl w:val="9FE821BE"/>
    <w:lvl w:ilvl="0" w:tplc="BB285E3A">
      <w:start w:val="1"/>
      <w:numFmt w:val="decimal"/>
      <w:lvlText w:val="%1."/>
      <w:lvlJc w:val="left"/>
      <w:pPr>
        <w:ind w:left="45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920454755">
    <w:abstractNumId w:val="3"/>
  </w:num>
  <w:num w:numId="2" w16cid:durableId="589970601">
    <w:abstractNumId w:val="0"/>
  </w:num>
  <w:num w:numId="3" w16cid:durableId="1862744987">
    <w:abstractNumId w:val="2"/>
  </w:num>
  <w:num w:numId="4" w16cid:durableId="8392771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A81"/>
    <w:rsid w:val="0002432E"/>
    <w:rsid w:val="00034FA0"/>
    <w:rsid w:val="0003621D"/>
    <w:rsid w:val="00046ED8"/>
    <w:rsid w:val="0008358D"/>
    <w:rsid w:val="0008741A"/>
    <w:rsid w:val="000959D0"/>
    <w:rsid w:val="000C1B62"/>
    <w:rsid w:val="000E45A8"/>
    <w:rsid w:val="00107B27"/>
    <w:rsid w:val="00163422"/>
    <w:rsid w:val="001A2DAE"/>
    <w:rsid w:val="001A5D60"/>
    <w:rsid w:val="001A6A35"/>
    <w:rsid w:val="001B3A4E"/>
    <w:rsid w:val="001C1C2B"/>
    <w:rsid w:val="001C67FF"/>
    <w:rsid w:val="0020085B"/>
    <w:rsid w:val="00201BE5"/>
    <w:rsid w:val="0021069A"/>
    <w:rsid w:val="00223EC7"/>
    <w:rsid w:val="00225F8D"/>
    <w:rsid w:val="00227EAB"/>
    <w:rsid w:val="00236CEC"/>
    <w:rsid w:val="0025028F"/>
    <w:rsid w:val="002F5D5B"/>
    <w:rsid w:val="003C06BF"/>
    <w:rsid w:val="003D1A8C"/>
    <w:rsid w:val="003D5033"/>
    <w:rsid w:val="003E6CCD"/>
    <w:rsid w:val="00403037"/>
    <w:rsid w:val="004267DE"/>
    <w:rsid w:val="00453858"/>
    <w:rsid w:val="00455882"/>
    <w:rsid w:val="004615F4"/>
    <w:rsid w:val="004C76EF"/>
    <w:rsid w:val="00572C44"/>
    <w:rsid w:val="005909E1"/>
    <w:rsid w:val="005C6681"/>
    <w:rsid w:val="00657A20"/>
    <w:rsid w:val="00673126"/>
    <w:rsid w:val="00676FDD"/>
    <w:rsid w:val="00677CC3"/>
    <w:rsid w:val="006A030E"/>
    <w:rsid w:val="006C7A9B"/>
    <w:rsid w:val="006E5557"/>
    <w:rsid w:val="00707945"/>
    <w:rsid w:val="00742F1B"/>
    <w:rsid w:val="0076391C"/>
    <w:rsid w:val="00796E65"/>
    <w:rsid w:val="007A2178"/>
    <w:rsid w:val="007B521D"/>
    <w:rsid w:val="007D3797"/>
    <w:rsid w:val="007D3FB9"/>
    <w:rsid w:val="007D44F6"/>
    <w:rsid w:val="007F18A0"/>
    <w:rsid w:val="00813352"/>
    <w:rsid w:val="00845B06"/>
    <w:rsid w:val="008464CE"/>
    <w:rsid w:val="00891D5E"/>
    <w:rsid w:val="008D2601"/>
    <w:rsid w:val="008F082E"/>
    <w:rsid w:val="008F3791"/>
    <w:rsid w:val="009376CC"/>
    <w:rsid w:val="00952742"/>
    <w:rsid w:val="009529FF"/>
    <w:rsid w:val="00956569"/>
    <w:rsid w:val="009748EB"/>
    <w:rsid w:val="009A09C0"/>
    <w:rsid w:val="009B3249"/>
    <w:rsid w:val="009B69FD"/>
    <w:rsid w:val="009D5047"/>
    <w:rsid w:val="009D6BD1"/>
    <w:rsid w:val="009E2DC0"/>
    <w:rsid w:val="009E65DC"/>
    <w:rsid w:val="00A57151"/>
    <w:rsid w:val="00A736E9"/>
    <w:rsid w:val="00A75ED6"/>
    <w:rsid w:val="00A81E2C"/>
    <w:rsid w:val="00A85A04"/>
    <w:rsid w:val="00AC3E4C"/>
    <w:rsid w:val="00AE0639"/>
    <w:rsid w:val="00B84057"/>
    <w:rsid w:val="00B92708"/>
    <w:rsid w:val="00BA2483"/>
    <w:rsid w:val="00BC356E"/>
    <w:rsid w:val="00BE29C7"/>
    <w:rsid w:val="00C56274"/>
    <w:rsid w:val="00C66B13"/>
    <w:rsid w:val="00C84F9F"/>
    <w:rsid w:val="00CE0A81"/>
    <w:rsid w:val="00D12E0B"/>
    <w:rsid w:val="00D20040"/>
    <w:rsid w:val="00D41103"/>
    <w:rsid w:val="00D5461B"/>
    <w:rsid w:val="00D71A1A"/>
    <w:rsid w:val="00D84E03"/>
    <w:rsid w:val="00DB34B4"/>
    <w:rsid w:val="00DB6F5D"/>
    <w:rsid w:val="00DD07F8"/>
    <w:rsid w:val="00DF5134"/>
    <w:rsid w:val="00E26933"/>
    <w:rsid w:val="00E65634"/>
    <w:rsid w:val="00E67452"/>
    <w:rsid w:val="00E73058"/>
    <w:rsid w:val="00E80A45"/>
    <w:rsid w:val="00EA506D"/>
    <w:rsid w:val="00EB30AF"/>
    <w:rsid w:val="00ED7FFA"/>
    <w:rsid w:val="00EE7C35"/>
    <w:rsid w:val="00F358FA"/>
    <w:rsid w:val="00F434BF"/>
    <w:rsid w:val="00F53BE2"/>
    <w:rsid w:val="00FB49E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3761A"/>
  <w15:chartTrackingRefBased/>
  <w15:docId w15:val="{62D31F17-47D7-4215-BFF1-1B8739837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CE0A8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semiHidden/>
    <w:unhideWhenUsed/>
    <w:qFormat/>
    <w:rsid w:val="00CE0A8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rsid w:val="00CE0A81"/>
    <w:pPr>
      <w:keepNext/>
      <w:keepLines/>
      <w:spacing w:before="160" w:after="40"/>
      <w:outlineLvl w:val="2"/>
    </w:pPr>
    <w:rPr>
      <w:rFonts w:eastAsiaTheme="majorEastAsia"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CE0A81"/>
    <w:pPr>
      <w:keepNext/>
      <w:keepLines/>
      <w:spacing w:before="160" w:after="40"/>
      <w:outlineLvl w:val="3"/>
    </w:pPr>
    <w:rPr>
      <w:rFonts w:eastAsiaTheme="majorEastAsia"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rsid w:val="00CE0A8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E0A81"/>
    <w:pPr>
      <w:keepNext/>
      <w:keepLines/>
      <w:spacing w:before="40" w:after="0"/>
      <w:outlineLvl w:val="5"/>
    </w:pPr>
    <w:rPr>
      <w:rFonts w:eastAsiaTheme="majorEastAsia" w:cstheme="majorBidi"/>
      <w:color w:val="595959" w:themeColor="text1" w:themeTint="A6"/>
    </w:rPr>
  </w:style>
  <w:style w:type="paragraph" w:styleId="Heading7">
    <w:name w:val="heading 7"/>
    <w:basedOn w:val="Normal"/>
    <w:next w:val="Normal"/>
    <w:link w:val="Heading7Char"/>
    <w:uiPriority w:val="9"/>
    <w:semiHidden/>
    <w:unhideWhenUsed/>
    <w:qFormat/>
    <w:rsid w:val="00CE0A81"/>
    <w:pPr>
      <w:keepNext/>
      <w:keepLines/>
      <w:spacing w:before="40" w:after="0"/>
      <w:ind w:leftChars="100" w:left="10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0A81"/>
    <w:pPr>
      <w:keepNext/>
      <w:keepLines/>
      <w:spacing w:before="40" w:after="0"/>
      <w:ind w:leftChars="200" w:left="20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rsid w:val="00CE0A81"/>
    <w:pPr>
      <w:keepNext/>
      <w:keepLines/>
      <w:spacing w:before="40" w:after="0"/>
      <w:ind w:leftChars="300" w:left="30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A81"/>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rsid w:val="00CE0A81"/>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CE0A81"/>
    <w:rPr>
      <w:rFonts w:eastAsiaTheme="majorEastAsia"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CE0A81"/>
    <w:rPr>
      <w:rFonts w:eastAsiaTheme="majorEastAsia" w:cstheme="majorBidi"/>
      <w:color w:val="2F5496" w:themeColor="accent1" w:themeShade="BF"/>
      <w:sz w:val="28"/>
      <w:szCs w:val="28"/>
    </w:rPr>
  </w:style>
  <w:style w:type="character" w:customStyle="1" w:styleId="Heading5Char">
    <w:name w:val="Heading 5 Char"/>
    <w:basedOn w:val="DefaultParagraphFont"/>
    <w:link w:val="Heading5"/>
    <w:uiPriority w:val="9"/>
    <w:semiHidden/>
    <w:rsid w:val="00CE0A8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0A81"/>
    <w:rPr>
      <w:rFonts w:eastAsiaTheme="majorEastAsia" w:cstheme="majorBidi"/>
      <w:color w:val="595959" w:themeColor="text1" w:themeTint="A6"/>
    </w:rPr>
  </w:style>
  <w:style w:type="character" w:customStyle="1" w:styleId="Heading7Char">
    <w:name w:val="Heading 7 Char"/>
    <w:basedOn w:val="DefaultParagraphFont"/>
    <w:link w:val="Heading7"/>
    <w:uiPriority w:val="9"/>
    <w:semiHidden/>
    <w:rsid w:val="00CE0A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0A81"/>
    <w:rPr>
      <w:rFonts w:eastAsiaTheme="majorEastAsia" w:cstheme="majorBidi"/>
      <w:color w:val="272727" w:themeColor="text1" w:themeTint="D8"/>
    </w:rPr>
  </w:style>
  <w:style w:type="character" w:customStyle="1" w:styleId="Heading9Char">
    <w:name w:val="Heading 9 Char"/>
    <w:basedOn w:val="DefaultParagraphFont"/>
    <w:link w:val="Heading9"/>
    <w:uiPriority w:val="9"/>
    <w:semiHidden/>
    <w:rsid w:val="00CE0A81"/>
    <w:rPr>
      <w:rFonts w:eastAsiaTheme="majorEastAsia" w:cstheme="majorBidi"/>
      <w:color w:val="272727" w:themeColor="text1" w:themeTint="D8"/>
    </w:rPr>
  </w:style>
  <w:style w:type="paragraph" w:styleId="Title">
    <w:name w:val="Title"/>
    <w:basedOn w:val="Normal"/>
    <w:next w:val="Normal"/>
    <w:link w:val="TitleChar"/>
    <w:uiPriority w:val="10"/>
    <w:qFormat/>
    <w:rsid w:val="00CE0A8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0A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0A8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0A81"/>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CE0A81"/>
    <w:pPr>
      <w:spacing w:before="160"/>
      <w:jc w:val="center"/>
    </w:pPr>
    <w:rPr>
      <w:i/>
      <w:iCs/>
      <w:color w:val="404040" w:themeColor="text1" w:themeTint="BF"/>
    </w:rPr>
  </w:style>
  <w:style w:type="character" w:customStyle="1" w:styleId="QuoteChar">
    <w:name w:val="Quote Char"/>
    <w:basedOn w:val="DefaultParagraphFont"/>
    <w:link w:val="Quote"/>
    <w:uiPriority w:val="29"/>
    <w:rsid w:val="00CE0A81"/>
    <w:rPr>
      <w:i/>
      <w:iCs/>
      <w:color w:val="404040" w:themeColor="text1" w:themeTint="BF"/>
    </w:rPr>
  </w:style>
  <w:style w:type="paragraph" w:styleId="ListParagraph">
    <w:name w:val="List Paragraph"/>
    <w:basedOn w:val="Normal"/>
    <w:uiPriority w:val="34"/>
    <w:qFormat/>
    <w:rsid w:val="00CE0A81"/>
    <w:pPr>
      <w:ind w:left="720"/>
      <w:contextualSpacing/>
    </w:pPr>
  </w:style>
  <w:style w:type="character" w:styleId="IntenseEmphasis">
    <w:name w:val="Intense Emphasis"/>
    <w:basedOn w:val="DefaultParagraphFont"/>
    <w:uiPriority w:val="21"/>
    <w:qFormat/>
    <w:rsid w:val="00CE0A81"/>
    <w:rPr>
      <w:i/>
      <w:iCs/>
      <w:color w:val="2F5496" w:themeColor="accent1" w:themeShade="BF"/>
    </w:rPr>
  </w:style>
  <w:style w:type="paragraph" w:styleId="IntenseQuote">
    <w:name w:val="Intense Quote"/>
    <w:basedOn w:val="Normal"/>
    <w:next w:val="Normal"/>
    <w:link w:val="IntenseQuoteChar"/>
    <w:uiPriority w:val="30"/>
    <w:qFormat/>
    <w:rsid w:val="00CE0A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0A81"/>
    <w:rPr>
      <w:i/>
      <w:iCs/>
      <w:color w:val="2F5496" w:themeColor="accent1" w:themeShade="BF"/>
    </w:rPr>
  </w:style>
  <w:style w:type="character" w:styleId="IntenseReference">
    <w:name w:val="Intense Reference"/>
    <w:basedOn w:val="DefaultParagraphFont"/>
    <w:uiPriority w:val="32"/>
    <w:qFormat/>
    <w:rsid w:val="00CE0A81"/>
    <w:rPr>
      <w:b/>
      <w:bCs/>
      <w:smallCaps/>
      <w:color w:val="2F5496" w:themeColor="accent1" w:themeShade="BF"/>
      <w:spacing w:val="5"/>
    </w:rPr>
  </w:style>
  <w:style w:type="paragraph" w:styleId="Header">
    <w:name w:val="header"/>
    <w:basedOn w:val="Normal"/>
    <w:link w:val="HeaderChar"/>
    <w:uiPriority w:val="99"/>
    <w:unhideWhenUsed/>
    <w:rsid w:val="00DB34B4"/>
    <w:pPr>
      <w:tabs>
        <w:tab w:val="center" w:pos="4320"/>
        <w:tab w:val="right" w:pos="8640"/>
      </w:tabs>
      <w:spacing w:after="0" w:line="240" w:lineRule="auto"/>
    </w:pPr>
  </w:style>
  <w:style w:type="character" w:customStyle="1" w:styleId="HeaderChar">
    <w:name w:val="Header Char"/>
    <w:basedOn w:val="DefaultParagraphFont"/>
    <w:link w:val="Header"/>
    <w:uiPriority w:val="99"/>
    <w:rsid w:val="00DB34B4"/>
  </w:style>
  <w:style w:type="paragraph" w:styleId="Footer">
    <w:name w:val="footer"/>
    <w:basedOn w:val="Normal"/>
    <w:link w:val="FooterChar"/>
    <w:uiPriority w:val="99"/>
    <w:unhideWhenUsed/>
    <w:rsid w:val="00DB34B4"/>
    <w:pPr>
      <w:tabs>
        <w:tab w:val="center" w:pos="4320"/>
        <w:tab w:val="right" w:pos="8640"/>
      </w:tabs>
      <w:spacing w:after="0" w:line="240" w:lineRule="auto"/>
    </w:pPr>
  </w:style>
  <w:style w:type="character" w:customStyle="1" w:styleId="FooterChar">
    <w:name w:val="Footer Char"/>
    <w:basedOn w:val="DefaultParagraphFont"/>
    <w:link w:val="Footer"/>
    <w:uiPriority w:val="99"/>
    <w:rsid w:val="00DB34B4"/>
  </w:style>
  <w:style w:type="paragraph" w:styleId="Caption">
    <w:name w:val="caption"/>
    <w:basedOn w:val="Normal"/>
    <w:next w:val="Normal"/>
    <w:uiPriority w:val="35"/>
    <w:unhideWhenUsed/>
    <w:qFormat/>
    <w:rsid w:val="003D1A8C"/>
    <w:pPr>
      <w:widowControl/>
      <w:spacing w:after="0" w:line="240" w:lineRule="auto"/>
    </w:pPr>
    <w:rPr>
      <w:kern w:val="0"/>
      <w:sz w:val="20"/>
      <w:szCs w:val="20"/>
      <w:lang w:val="en-GB" w:eastAsia="en-US"/>
      <w14:ligatures w14:val="none"/>
    </w:rPr>
  </w:style>
  <w:style w:type="table" w:styleId="TableGrid">
    <w:name w:val="Table Grid"/>
    <w:basedOn w:val="TableNormal"/>
    <w:uiPriority w:val="59"/>
    <w:rsid w:val="003D1A8C"/>
    <w:pPr>
      <w:spacing w:after="0" w:line="240" w:lineRule="auto"/>
    </w:pPr>
    <w:rPr>
      <w:kern w:val="0"/>
      <w:lang w:val="en-GB"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D1A8C"/>
    <w:pPr>
      <w:widowControl/>
      <w:spacing w:before="100" w:beforeAutospacing="1" w:after="100" w:afterAutospacing="1" w:line="240" w:lineRule="auto"/>
    </w:pPr>
    <w:rPr>
      <w:rFonts w:ascii="新細明體" w:eastAsia="新細明體" w:hAnsi="新細明體" w:cs="新細明體"/>
      <w:kern w:val="0"/>
      <w14:ligatures w14:val="none"/>
    </w:rPr>
  </w:style>
  <w:style w:type="paragraph" w:styleId="Revision">
    <w:name w:val="Revision"/>
    <w:hidden/>
    <w:uiPriority w:val="99"/>
    <w:semiHidden/>
    <w:rsid w:val="007B521D"/>
    <w:pPr>
      <w:spacing w:after="0" w:line="240" w:lineRule="auto"/>
    </w:pPr>
  </w:style>
  <w:style w:type="character" w:styleId="Emphasis">
    <w:name w:val="Emphasis"/>
    <w:uiPriority w:val="20"/>
    <w:qFormat/>
    <w:rsid w:val="00034FA0"/>
    <w:rPr>
      <w:i/>
      <w:iCs/>
    </w:rPr>
  </w:style>
  <w:style w:type="character" w:styleId="Strong">
    <w:name w:val="Strong"/>
    <w:basedOn w:val="DefaultParagraphFont"/>
    <w:uiPriority w:val="22"/>
    <w:qFormat/>
    <w:rsid w:val="00845B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F116C-EEA6-4915-8D55-40D6A93F7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1827</Words>
  <Characters>10415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Chiling,Tseng/曾琪鈴</dc:creator>
  <cp:keywords/>
  <dc:description/>
  <cp:lastModifiedBy>M365-HCB08</cp:lastModifiedBy>
  <cp:revision>5</cp:revision>
  <dcterms:created xsi:type="dcterms:W3CDTF">2025-08-22T03:21:00Z</dcterms:created>
  <dcterms:modified xsi:type="dcterms:W3CDTF">2025-08-22T05:15:00Z</dcterms:modified>
</cp:coreProperties>
</file>