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8A54E1">
      <w:pPr>
        <w:ind w:firstLine="0" w:firstLineChars="0"/>
        <w:rPr>
          <w:b/>
          <w:bCs/>
        </w:rPr>
      </w:pPr>
      <w:r>
        <w:rPr>
          <w:rFonts w:hint="eastAsia"/>
          <w:b/>
          <w:bCs/>
        </w:rPr>
        <w:t>M</w:t>
      </w:r>
      <w:r>
        <w:rPr>
          <w:b/>
          <w:bCs/>
        </w:rPr>
        <w:t>ethod</w:t>
      </w:r>
      <w:r>
        <w:rPr>
          <w:rFonts w:hint="eastAsia"/>
          <w:b/>
          <w:bCs/>
        </w:rPr>
        <w:t>s</w:t>
      </w:r>
    </w:p>
    <w:p w14:paraId="75E6FB93">
      <w:pPr>
        <w:ind w:firstLine="0" w:firstLineChars="0"/>
        <w:rPr>
          <w:b/>
          <w:bCs/>
        </w:rPr>
      </w:pPr>
      <w:r>
        <w:rPr>
          <w:b/>
          <w:bCs/>
        </w:rPr>
        <w:t>Study design and patients</w:t>
      </w:r>
    </w:p>
    <w:p w14:paraId="394E2D50">
      <w:pPr>
        <w:ind w:firstLine="0" w:firstLineChars="0"/>
      </w:pPr>
      <w:bookmarkStart w:id="0" w:name="OLE_LINK34"/>
      <w:r>
        <w:t xml:space="preserve">This </w:t>
      </w:r>
      <w:r>
        <w:rPr>
          <w:rFonts w:hint="eastAsia"/>
        </w:rPr>
        <w:t xml:space="preserve">single-center, open-label, phase I dose-escalation </w:t>
      </w:r>
      <w:r>
        <w:t>study</w:t>
      </w:r>
      <w:r>
        <w:rPr>
          <w:rFonts w:hint="eastAsia"/>
        </w:rPr>
        <w:t xml:space="preserve"> (</w:t>
      </w:r>
      <w:r>
        <w:t>www.chictr.org.cn</w:t>
      </w:r>
      <w:r>
        <w:rPr>
          <w:rFonts w:hint="eastAsia"/>
        </w:rPr>
        <w:t xml:space="preserve"> </w:t>
      </w:r>
      <w:r>
        <w:t>ChiCTR2000041054</w:t>
      </w:r>
      <w:r>
        <w:rPr>
          <w:rFonts w:hint="eastAsia"/>
        </w:rPr>
        <w:t>)</w:t>
      </w:r>
      <w:bookmarkEnd w:id="0"/>
      <w:r>
        <w:rPr>
          <w:rFonts w:hint="eastAsia"/>
        </w:rPr>
        <w:t xml:space="preserve"> evaluated the safety, efficacy, and pharmacokinetics of CLL1 CAR-T cell therapy in R/R AML patients. AML diagnosis was confirmed according to the World Health Organization classification for tumors of the hematopoietic and lymphoid tissues</w:t>
      </w:r>
      <w:r>
        <w:rPr>
          <w:vertAlign w:val="superscript"/>
        </w:rPr>
        <w:fldChar w:fldCharType="begin"/>
      </w:r>
      <w:r>
        <w:rPr>
          <w:vertAlign w:val="superscript"/>
        </w:rPr>
        <w:instrText xml:space="preserve"> ADDIN EN.CITE &lt;EndNote&gt;&lt;Cite&gt;&lt;Author&gt;Sabattini&lt;/Author&gt;&lt;Year&gt;2010&lt;/Year&gt;&lt;RecNum&gt;433&lt;/RecNum&gt;&lt;DisplayText&gt;(1)&lt;/DisplayText&gt;&lt;record&gt;&lt;rec-number&gt;433&lt;/rec-number&gt;&lt;foreign-keys&gt;&lt;key app="EN" db-id="0a99fttakederpexazoxz2s2vwrs5sezvrfz" timestamp="1714056917"&gt;433&lt;/key&gt;&lt;/foreign-keys&gt;&lt;ref-type name="Journal Article"&gt;17&lt;/ref-type&gt;&lt;contributors&gt;&lt;authors&gt;&lt;author&gt;Sabattini, E.&lt;/author&gt;&lt;author&gt;Bacci, F.&lt;/author&gt;&lt;author&gt;Sagramoso, C.&lt;/author&gt;&lt;author&gt;Pileri, S. A.&lt;/author&gt;&lt;/authors&gt;&lt;/contributors&gt;&lt;titles&gt;&lt;title&gt;WHO classification of tumours of haematopoietic and lymphoid tissues in 2008: an overview&lt;/title&gt;&lt;secondary-title&gt;Pathologica&lt;/secondary-title&gt;&lt;alt-title&gt;Pathologica&lt;/alt-title&gt;&lt;/titles&gt;&lt;periodical&gt;&lt;full-title&gt;Pathologica&lt;/full-title&gt;&lt;abbr-1&gt;Pathologica&lt;/abbr-1&gt;&lt;/periodical&gt;&lt;alt-periodical&gt;&lt;full-title&gt;Pathologica&lt;/full-title&gt;&lt;abbr-1&gt;Pathologica&lt;/abbr-1&gt;&lt;/alt-periodical&gt;&lt;pages&gt;83-7&lt;/pages&gt;&lt;volume&gt;102&lt;/volume&gt;&lt;number&gt;3&lt;/number&gt;&lt;edition&gt;2010/12/22&lt;/edition&gt;&lt;keywords&gt;&lt;keyword&gt;Hematologic Neoplasms/*classification&lt;/keyword&gt;&lt;keyword&gt;Humans&lt;/keyword&gt;&lt;keyword&gt;Lymphoma/*classification&lt;/keyword&gt;&lt;keyword&gt;World Health Organization&lt;/keyword&gt;&lt;/keywords&gt;&lt;dates&gt;&lt;year&gt;2010&lt;/year&gt;&lt;pub-dates&gt;&lt;date&gt;Jun&lt;/date&gt;&lt;/pub-dates&gt;&lt;/dates&gt;&lt;isbn&gt;0031-2983 (Print)&amp;#xD;0031-2983&lt;/isbn&gt;&lt;accession-num&gt;21171509&lt;/accession-num&gt;&lt;urls&gt;&lt;/urls&gt;&lt;remote-database-provider&gt;NLM&lt;/remote-database-provider&gt;&lt;language&gt;eng&lt;/language&gt;&lt;/record&gt;&lt;/Cite&gt;&lt;/EndNote&gt;</w:instrText>
      </w:r>
      <w:r>
        <w:rPr>
          <w:vertAlign w:val="superscript"/>
        </w:rPr>
        <w:fldChar w:fldCharType="separate"/>
      </w:r>
      <w:r>
        <w:rPr>
          <w:vertAlign w:val="superscript"/>
        </w:rPr>
        <w:t>(1)</w:t>
      </w:r>
      <w:r>
        <w:rPr>
          <w:vertAlign w:val="superscript"/>
        </w:rPr>
        <w:fldChar w:fldCharType="end"/>
      </w:r>
      <w:r>
        <w:rPr>
          <w:rFonts w:hint="eastAsia"/>
        </w:rPr>
        <w:t xml:space="preserve">. R/R AML was defined as primary induction failure, hematologic relapse, and/or extramedullary recurrence </w:t>
      </w:r>
      <w:r>
        <w:rPr>
          <w:vertAlign w:val="superscript"/>
        </w:rPr>
        <w:fldChar w:fldCharType="begin">
          <w:fldData xml:space="preserve">PEVuZE5vdGU+PENpdGU+PEF1dGhvcj5EZVdvbGY8L0F1dGhvcj48WWVhcj4yMDIwPC9ZZWFyPjxS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</w:fldData>
        </w:fldChar>
      </w:r>
      <w:r>
        <w:rPr>
          <w:vertAlign w:val="superscript"/>
        </w:rPr>
        <w:instrText xml:space="preserve"> ADDIN EN.CITE </w:instrText>
      </w:r>
      <w:r>
        <w:rPr>
          <w:vertAlign w:val="superscript"/>
        </w:rPr>
        <w:fldChar w:fldCharType="begin">
          <w:fldData xml:space="preserve">PEVuZE5vdGU+PENpdGU+PEF1dGhvcj5EZVdvbGY8L0F1dGhvcj48WWVhcj4yMDIwPC9ZZWFyPjxS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</w:fldData>
        </w:fldChar>
      </w:r>
      <w:r>
        <w:rPr>
          <w:vertAlign w:val="superscript"/>
        </w:rPr>
        <w:instrText xml:space="preserve"> ADDIN EN.CITE.DATA </w:instrText>
      </w:r>
      <w:r>
        <w:rPr>
          <w:vertAlign w:val="superscript"/>
        </w:rPr>
        <w:fldChar w:fldCharType="end"/>
      </w:r>
      <w:r>
        <w:rPr>
          <w:vertAlign w:val="superscript"/>
        </w:rPr>
        <w:fldChar w:fldCharType="separate"/>
      </w:r>
      <w:r>
        <w:rPr>
          <w:vertAlign w:val="superscript"/>
        </w:rPr>
        <w:t>(2)</w:t>
      </w:r>
      <w:r>
        <w:rPr>
          <w:vertAlign w:val="superscript"/>
        </w:rPr>
        <w:fldChar w:fldCharType="end"/>
      </w:r>
      <w:r>
        <w:rPr>
          <w:rFonts w:hint="eastAsia"/>
        </w:rPr>
        <w:t>.</w:t>
      </w:r>
      <w:r>
        <w:t xml:space="preserve"> </w:t>
      </w:r>
      <w:bookmarkStart w:id="1" w:name="OLE_LINK35"/>
      <w:r>
        <w:rPr>
          <w:rFonts w:hint="eastAsia"/>
        </w:rPr>
        <w:t>Key</w:t>
      </w:r>
      <w:r>
        <w:t xml:space="preserve"> inclusion criteria </w:t>
      </w:r>
      <w:r>
        <w:rPr>
          <w:rFonts w:hint="eastAsia"/>
        </w:rPr>
        <w:t>was:</w:t>
      </w:r>
      <w:bookmarkEnd w:id="1"/>
      <w:r>
        <w:rPr>
          <w:rFonts w:hint="eastAsia"/>
        </w:rPr>
        <w:t xml:space="preserve"> </w:t>
      </w:r>
      <w:r>
        <w:t xml:space="preserve">(1) </w:t>
      </w:r>
      <w:r>
        <w:rPr>
          <w:rFonts w:hint="eastAsia"/>
        </w:rPr>
        <w:t>r</w:t>
      </w:r>
      <w:r>
        <w:t xml:space="preserve">efractory to </w:t>
      </w:r>
      <w:r>
        <w:rPr>
          <w:rFonts w:hint="eastAsia"/>
        </w:rPr>
        <w:t xml:space="preserve">≥ </w:t>
      </w:r>
      <w:r>
        <w:t xml:space="preserve">two induction </w:t>
      </w:r>
      <w:r>
        <w:rPr>
          <w:rFonts w:hint="eastAsia"/>
        </w:rPr>
        <w:t>cycles, r</w:t>
      </w:r>
      <w:r>
        <w:t>elapse after achieving CR</w:t>
      </w:r>
      <w:r>
        <w:rPr>
          <w:rFonts w:hint="eastAsia"/>
        </w:rPr>
        <w:t>, or diagnosed extramedullary leukemia</w:t>
      </w:r>
      <w:r>
        <w:t xml:space="preserve">; (2) age </w:t>
      </w:r>
      <w:r>
        <w:rPr>
          <w:rFonts w:hint="eastAsia"/>
        </w:rPr>
        <w:t>≥</w:t>
      </w:r>
      <w:r>
        <w:t xml:space="preserve"> 18 years; (3) </w:t>
      </w:r>
      <w:r>
        <w:rPr>
          <w:rFonts w:hint="eastAsia"/>
        </w:rPr>
        <w:t xml:space="preserve">CLL1 expression ≥50% on bone marrow blasts by </w:t>
      </w:r>
      <w:r>
        <w:t>flow cytometry</w:t>
      </w:r>
      <w:r>
        <w:rPr>
          <w:rFonts w:hint="eastAsia"/>
        </w:rPr>
        <w:t>.</w:t>
      </w:r>
      <w:r>
        <w:t xml:space="preserve"> </w:t>
      </w:r>
      <w:r>
        <w:rPr>
          <w:rFonts w:hint="eastAsia"/>
        </w:rPr>
        <w:t>Exclusion criteria comprised: uncontrolled medical disorder,</w:t>
      </w:r>
      <w:r>
        <w:t xml:space="preserve"> active bacteria, viral, or fungal infections,</w:t>
      </w:r>
      <w:r>
        <w:rPr>
          <w:rFonts w:hint="eastAsia"/>
        </w:rPr>
        <w:t xml:space="preserve"> </w:t>
      </w:r>
      <w:r>
        <w:t xml:space="preserve">history of </w:t>
      </w:r>
      <w:r>
        <w:rPr>
          <w:rFonts w:hint="eastAsia"/>
        </w:rPr>
        <w:t xml:space="preserve">prior </w:t>
      </w:r>
      <w:r>
        <w:t>malignancy,</w:t>
      </w:r>
      <w:r>
        <w:rPr>
          <w:rFonts w:hint="eastAsia"/>
        </w:rPr>
        <w:t xml:space="preserve"> </w:t>
      </w:r>
      <w:r>
        <w:t>severe hepatic, renal, or cardiac dysfunction.</w:t>
      </w:r>
      <w:r>
        <w:rPr>
          <w:rFonts w:hint="eastAsia"/>
        </w:rPr>
        <w:t xml:space="preserve"> </w:t>
      </w:r>
      <w:bookmarkStart w:id="2" w:name="OLE_LINK16"/>
      <w:r>
        <w:rPr>
          <w:rFonts w:hint="eastAsia"/>
        </w:rPr>
        <w:t>Patients who had received any antitumor therapy (investigational agent or not, including bridging therapy) or radiotherapy within 2 weeks prior to apheresis were also excluded from the study</w:t>
      </w:r>
      <w:bookmarkEnd w:id="2"/>
      <w:r>
        <w:rPr>
          <w:rFonts w:hint="eastAsia"/>
        </w:rPr>
        <w:t xml:space="preserve">. </w:t>
      </w:r>
      <w:bookmarkStart w:id="3" w:name="OLE_LINK36"/>
      <w:r>
        <w:rPr>
          <w:rFonts w:hint="eastAsia"/>
        </w:rPr>
        <w:t>Risk stratification adhered to ELN 2022 criteria</w:t>
      </w:r>
      <w:r>
        <w:fldChar w:fldCharType="begin">
          <w:fldData xml:space="preserve">PEVuZE5vdGU+PENpdGU+PEF1dGhvcj5Ew7ZobmVyPC9BdXRob3I+PFllYXI+MjAyMjwvWWVhcj48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</w:fldData>
        </w:fldChar>
      </w:r>
      <w:r>
        <w:instrText xml:space="preserve"> ADDIN EN.CITE </w:instrText>
      </w:r>
      <w:r>
        <w:fldChar w:fldCharType="begin">
          <w:fldData xml:space="preserve">PEVuZE5vdGU+PENpdGU+PEF1dGhvcj5Ew7ZobmVyPC9BdXRob3I+PFllYXI+MjAyMjwvWWVhcj48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</w:fldData>
        </w:fldChar>
      </w:r>
      <w:r>
        <w:instrText xml:space="preserve"> ADDIN EN.CITE.DATA </w:instrText>
      </w:r>
      <w:r>
        <w:fldChar w:fldCharType="end"/>
      </w:r>
      <w:r>
        <w:fldChar w:fldCharType="separate"/>
      </w:r>
      <w:r>
        <w:t>(3)</w:t>
      </w:r>
      <w:r>
        <w:fldChar w:fldCharType="end"/>
      </w:r>
      <w:r>
        <w:rPr>
          <w:rFonts w:hint="eastAsia"/>
        </w:rPr>
        <w:t xml:space="preserve">, incorporating cytogenetics (G-banding) and NGS of 54 genes (VAF≥2%). Adverse risk requires MDS-related mutations (e.g., ASXL1, RUNX1) or complex karyotypes. </w:t>
      </w:r>
      <w:r>
        <w:t>Th</w:t>
      </w:r>
      <w:r>
        <w:rPr>
          <w:rFonts w:hint="eastAsia"/>
        </w:rPr>
        <w:t>e</w:t>
      </w:r>
      <w:r>
        <w:t xml:space="preserve"> study was approved by the Institutional Review </w:t>
      </w:r>
      <w:r>
        <w:rPr>
          <w:rFonts w:hint="eastAsia"/>
        </w:rPr>
        <w:t>Board of</w:t>
      </w:r>
      <w:r>
        <w:t xml:space="preserve"> Tianjin First Central Hospital Medical Center and conducted in accordance with the Declaration of Helsinki.</w:t>
      </w:r>
      <w:bookmarkEnd w:id="3"/>
      <w:r>
        <w:t xml:space="preserve"> </w:t>
      </w:r>
      <w:bookmarkStart w:id="4" w:name="OLE_LINK37"/>
      <w:r>
        <w:rPr>
          <w:rFonts w:hint="eastAsia"/>
        </w:rPr>
        <w:t>W</w:t>
      </w:r>
      <w:r>
        <w:t xml:space="preserve">ritten informed consent </w:t>
      </w:r>
      <w:r>
        <w:rPr>
          <w:rFonts w:hint="eastAsia"/>
        </w:rPr>
        <w:t xml:space="preserve">was obtained </w:t>
      </w:r>
      <w:r>
        <w:t>from all participants or legal guardians</w:t>
      </w:r>
      <w:r>
        <w:rPr>
          <w:rFonts w:hint="eastAsia"/>
        </w:rPr>
        <w:t xml:space="preserve"> for CLL1 CAR-T cell therapy and bridging HSCT</w:t>
      </w:r>
      <w:r>
        <w:t>.</w:t>
      </w:r>
      <w:bookmarkEnd w:id="4"/>
    </w:p>
    <w:p w14:paraId="072D3A18">
      <w:pPr>
        <w:ind w:firstLine="0" w:firstLineChars="0"/>
        <w:rPr>
          <w:b/>
          <w:bCs/>
        </w:rPr>
      </w:pPr>
      <w:r>
        <w:rPr>
          <w:rFonts w:hint="eastAsia"/>
          <w:b/>
          <w:bCs/>
        </w:rPr>
        <w:t>CAR-T preparation</w:t>
      </w:r>
    </w:p>
    <w:p w14:paraId="6D1A7100">
      <w:bookmarkStart w:id="5" w:name="OLE_LINK2"/>
      <w:bookmarkStart w:id="6" w:name="OLE_LINK15"/>
      <w:r>
        <w:rPr>
          <w:rFonts w:hint="eastAsia"/>
        </w:rPr>
        <w:t>The anti-CLL1 single-chain variable fragment (scFv), derived from the 17M26 clone (patent WO2017091615A). The CAR vectors contained the scFv and human 4-1BB and CD3</w:t>
      </w:r>
      <w:r>
        <w:t>ζ</w:t>
      </w:r>
      <w:r>
        <w:rPr>
          <w:rFonts w:hint="eastAsia"/>
        </w:rPr>
        <w:t xml:space="preserve"> signaling domains, which were subcloned into the pCDH-MND-MCS-T2A-Puro lentiviral plasmid vector. </w:t>
      </w:r>
      <w:bookmarkEnd w:id="5"/>
      <w:r>
        <w:rPr>
          <w:rFonts w:hint="eastAsia"/>
        </w:rPr>
        <w:t xml:space="preserve">The CAR construct incorporated the RQR8 safety switch (CD34/CD20 mimotopes) to </w:t>
      </w:r>
      <w:r>
        <w:t>enable</w:t>
      </w:r>
      <w:r>
        <w:rPr>
          <w:rFonts w:hint="eastAsia"/>
        </w:rPr>
        <w:t xml:space="preserve"> rituximab-mediated depletion. Transduction efficiency was confirmed by CD34 expression. CLL1 CAR-T cells were manufactured using a lentiviral vector system as previously described </w:t>
      </w:r>
      <w:r>
        <w:rPr>
          <w:vertAlign w:val="superscript"/>
        </w:rPr>
        <w:fldChar w:fldCharType="begin">
          <w:fldData xml:space="preserve">PEVuZE5vdGU+PENpdGU+PEF1dGhvcj5KaW48L0F1dGhvcj48WWVhcj4yMDIyPC9ZZWFyPjxSZWNO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</w:fldData>
        </w:fldChar>
      </w:r>
      <w:r>
        <w:rPr>
          <w:vertAlign w:val="superscript"/>
        </w:rPr>
        <w:instrText xml:space="preserve"> ADDIN EN.CITE </w:instrText>
      </w:r>
      <w:r>
        <w:rPr>
          <w:vertAlign w:val="superscript"/>
        </w:rPr>
        <w:fldChar w:fldCharType="begin">
          <w:fldData xml:space="preserve">PEVuZE5vdGU+PENpdGU+PEF1dGhvcj5KaW48L0F1dGhvcj48WWVhcj4yMDIyPC9ZZWFyPjxSZWNO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</w:fldData>
        </w:fldChar>
      </w:r>
      <w:r>
        <w:rPr>
          <w:vertAlign w:val="superscript"/>
        </w:rPr>
        <w:instrText xml:space="preserve"> ADDIN EN.CITE.DATA </w:instrText>
      </w:r>
      <w:r>
        <w:rPr>
          <w:vertAlign w:val="superscript"/>
        </w:rPr>
        <w:fldChar w:fldCharType="end"/>
      </w:r>
      <w:r>
        <w:rPr>
          <w:vertAlign w:val="superscript"/>
        </w:rPr>
        <w:fldChar w:fldCharType="separate"/>
      </w:r>
      <w:r>
        <w:rPr>
          <w:vertAlign w:val="superscript"/>
        </w:rPr>
        <w:t>(4)</w:t>
      </w:r>
      <w:r>
        <w:rPr>
          <w:vertAlign w:val="superscript"/>
        </w:rPr>
        <w:fldChar w:fldCharType="end"/>
      </w:r>
      <w:r>
        <w:rPr>
          <w:rFonts w:hint="eastAsia"/>
        </w:rPr>
        <w:t xml:space="preserve">. The CAR-T manufacturing timeline from leukapheresis to infusion was 8-10 days. </w:t>
      </w:r>
      <w:bookmarkStart w:id="7" w:name="OLE_LINK3"/>
      <w:r>
        <w:t>Peripheral blood mononuclear cells are isolated from peripheral blood of patients and CD3</w:t>
      </w:r>
      <w:r>
        <w:rPr>
          <w:vertAlign w:val="superscript"/>
        </w:rPr>
        <w:t>+</w:t>
      </w:r>
      <w:r>
        <w:t xml:space="preserve">T cells </w:t>
      </w:r>
      <w:r>
        <w:rPr>
          <w:rFonts w:hint="eastAsia"/>
        </w:rPr>
        <w:t>are</w:t>
      </w:r>
      <w:r>
        <w:rPr>
          <w:bCs/>
          <w:szCs w:val="21"/>
        </w:rPr>
        <w:t xml:space="preserve"> cultured with T-cell-specific medium containing IL-2 and glutamine (day 0), and CD3/CD28 magnetic beads </w:t>
      </w:r>
      <w:r>
        <w:rPr>
          <w:rFonts w:hint="eastAsia"/>
          <w:bCs/>
          <w:szCs w:val="21"/>
        </w:rPr>
        <w:t>are</w:t>
      </w:r>
      <w:r>
        <w:rPr>
          <w:bCs/>
          <w:szCs w:val="21"/>
        </w:rPr>
        <w:t xml:space="preserve"> added to activate T cells</w:t>
      </w:r>
      <w:r>
        <w:t>.</w:t>
      </w:r>
      <w:bookmarkEnd w:id="7"/>
      <w:r>
        <w:t xml:space="preserve"> After activation, T cells are infected with recombinant anti-CLL1 lentivirus, and </w:t>
      </w:r>
      <w:r>
        <w:rPr>
          <w:rFonts w:hint="eastAsia"/>
        </w:rPr>
        <w:t xml:space="preserve">the transduced </w:t>
      </w:r>
      <w:r>
        <w:t xml:space="preserve">CAR-T cells are </w:t>
      </w:r>
      <w:r>
        <w:rPr>
          <w:rFonts w:hint="eastAsia"/>
        </w:rPr>
        <w:t xml:space="preserve">then continued to undergo an 6-8 days expansion process in the lentivirus culture system. </w:t>
      </w:r>
      <w:r>
        <w:t>The CLL-1 CAR-T cells target specific analysis was comprehensively conducted in our preclinical studies</w:t>
      </w:r>
      <w:r>
        <w:rPr>
          <w:rFonts w:hint="eastAsia"/>
        </w:rPr>
        <w:t xml:space="preserve"> </w:t>
      </w:r>
      <w:r>
        <w:rPr>
          <w:vertAlign w:val="superscript"/>
        </w:rPr>
        <w:fldChar w:fldCharType="begin">
          <w:fldData xml:space="preserve">PEVuZE5vdGU+PENpdGU+PEF1dGhvcj5DaGFpPC9BdXRob3I+PFllYXI+MjAyMjwvWWVhcj48UmVj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</w:fldData>
        </w:fldChar>
      </w:r>
      <w:r>
        <w:rPr>
          <w:vertAlign w:val="superscript"/>
        </w:rPr>
        <w:instrText xml:space="preserve"> ADDIN EN.CITE </w:instrText>
      </w:r>
      <w:r>
        <w:rPr>
          <w:vertAlign w:val="superscript"/>
        </w:rPr>
        <w:fldChar w:fldCharType="begin">
          <w:fldData xml:space="preserve">PEVuZE5vdGU+PENpdGU+PEF1dGhvcj5DaGFpPC9BdXRob3I+PFllYXI+MjAyMjwvWWVhcj48UmVj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</w:fldData>
        </w:fldChar>
      </w:r>
      <w:r>
        <w:rPr>
          <w:vertAlign w:val="superscript"/>
        </w:rPr>
        <w:instrText xml:space="preserve"> ADDIN EN.CITE.DATA </w:instrText>
      </w:r>
      <w:r>
        <w:rPr>
          <w:vertAlign w:val="superscript"/>
        </w:rPr>
        <w:fldChar w:fldCharType="end"/>
      </w:r>
      <w:r>
        <w:rPr>
          <w:vertAlign w:val="superscript"/>
        </w:rPr>
        <w:fldChar w:fldCharType="separate"/>
      </w:r>
      <w:r>
        <w:rPr>
          <w:vertAlign w:val="superscript"/>
        </w:rPr>
        <w:t>(5)</w:t>
      </w:r>
      <w:r>
        <w:rPr>
          <w:vertAlign w:val="superscript"/>
        </w:rPr>
        <w:fldChar w:fldCharType="end"/>
      </w:r>
      <w:r>
        <w:rPr>
          <w:rFonts w:hint="eastAsia"/>
        </w:rPr>
        <w:t>.</w:t>
      </w:r>
    </w:p>
    <w:p w14:paraId="2A6DF560">
      <w:pPr>
        <w:ind w:firstLine="0" w:firstLineChars="0"/>
        <w:rPr>
          <w:b/>
          <w:bCs/>
        </w:rPr>
      </w:pPr>
      <w:r>
        <w:rPr>
          <w:rFonts w:hint="eastAsia"/>
          <w:b/>
          <w:bCs/>
        </w:rPr>
        <w:t>Study Design</w:t>
      </w:r>
    </w:p>
    <w:p w14:paraId="576B3EC3">
      <w:pPr>
        <w:ind w:firstLine="0" w:firstLineChars="0"/>
      </w:pPr>
      <w:r>
        <w:rPr>
          <w:rFonts w:hint="eastAsia"/>
        </w:rPr>
        <w:t>L</w:t>
      </w:r>
      <w:r>
        <w:t>ymphodeplet</w:t>
      </w:r>
      <w:r>
        <w:rPr>
          <w:rFonts w:hint="eastAsia"/>
        </w:rPr>
        <w:t xml:space="preserve">ion comprises intravenous </w:t>
      </w:r>
      <w:r>
        <w:t>fludarabine</w:t>
      </w:r>
      <w:r>
        <w:rPr>
          <w:rFonts w:hint="eastAsia"/>
        </w:rPr>
        <w:t xml:space="preserve"> (</w:t>
      </w:r>
      <w:r>
        <w:t>30mg/m</w:t>
      </w:r>
      <w:r>
        <w:rPr>
          <w:vertAlign w:val="superscript"/>
        </w:rPr>
        <w:t>2</w:t>
      </w:r>
      <w:r>
        <w:t>/day</w:t>
      </w:r>
      <w:r>
        <w:rPr>
          <w:rFonts w:hint="eastAsia"/>
        </w:rPr>
        <w:t>)</w:t>
      </w:r>
      <w:r>
        <w:t xml:space="preserve"> and cyclophosphamide </w:t>
      </w:r>
      <w:r>
        <w:rPr>
          <w:rFonts w:hint="eastAsia"/>
        </w:rPr>
        <w:t>(5</w:t>
      </w:r>
      <w:r>
        <w:t>00mg/m</w:t>
      </w:r>
      <w:r>
        <w:rPr>
          <w:vertAlign w:val="superscript"/>
        </w:rPr>
        <w:t>2</w:t>
      </w:r>
      <w:r>
        <w:t>/day</w:t>
      </w:r>
      <w:r>
        <w:rPr>
          <w:rFonts w:hint="eastAsia"/>
        </w:rPr>
        <w:t>) administered on day -4, -3, and -2.</w:t>
      </w:r>
      <w:r>
        <w:t xml:space="preserve"> </w:t>
      </w:r>
      <w:r>
        <w:rPr>
          <w:rFonts w:hint="eastAsia"/>
        </w:rPr>
        <w:t xml:space="preserve">On day 0, patients </w:t>
      </w:r>
      <w:r>
        <w:t>received CLL1 CAR-T cells</w:t>
      </w:r>
      <w:r>
        <w:rPr>
          <w:rFonts w:hint="eastAsia"/>
        </w:rPr>
        <w:t xml:space="preserve"> at prespecified doses. </w:t>
      </w:r>
      <w:bookmarkStart w:id="8" w:name="OLE_LINK39"/>
      <w:r>
        <w:rPr>
          <w:rFonts w:hint="eastAsia"/>
        </w:rPr>
        <w:t>Dose escalation followed a standard 3+3 design across four dose levels:</w:t>
      </w:r>
      <w:bookmarkEnd w:id="8"/>
      <w:r>
        <w:rPr>
          <w:rFonts w:hint="eastAsia"/>
        </w:rPr>
        <w:t xml:space="preserve"> dose level(DL)1: 0.5×10</w:t>
      </w:r>
      <w:r>
        <w:rPr>
          <w:rFonts w:hint="eastAsia"/>
          <w:vertAlign w:val="superscript"/>
        </w:rPr>
        <w:t>6</w:t>
      </w:r>
      <w:r>
        <w:rPr>
          <w:rFonts w:hint="eastAsia"/>
        </w:rPr>
        <w:t>/kg, DL2: 1.0×10</w:t>
      </w:r>
      <w:r>
        <w:rPr>
          <w:rFonts w:hint="eastAsia"/>
          <w:vertAlign w:val="superscript"/>
        </w:rPr>
        <w:t>6</w:t>
      </w:r>
      <w:r>
        <w:rPr>
          <w:rFonts w:hint="eastAsia"/>
        </w:rPr>
        <w:t>/kg, DL3: 1.5×10</w:t>
      </w:r>
      <w:r>
        <w:rPr>
          <w:rFonts w:hint="eastAsia"/>
          <w:vertAlign w:val="superscript"/>
        </w:rPr>
        <w:t>6</w:t>
      </w:r>
      <w:r>
        <w:rPr>
          <w:rFonts w:hint="eastAsia"/>
        </w:rPr>
        <w:t>/kg, and DL4: 2.0×10</w:t>
      </w:r>
      <w:r>
        <w:rPr>
          <w:rFonts w:hint="eastAsia"/>
          <w:vertAlign w:val="superscript"/>
        </w:rPr>
        <w:t>6</w:t>
      </w:r>
      <w:r>
        <w:rPr>
          <w:rFonts w:hint="eastAsia"/>
        </w:rPr>
        <w:t>/kg.</w:t>
      </w:r>
      <w:r>
        <w:t xml:space="preserve"> </w:t>
      </w:r>
      <w:bookmarkStart w:id="9" w:name="OLE_LINK23"/>
      <w:r>
        <w:t>During the entire infusion process, the patient’s vital signs should be closely monitored. 15 to 30 minutes before CAR-T cell infusion, patients are given 20 mg diphenhydramine and 250 mg acetaminophen to prevent infusion-related reactions.</w:t>
      </w:r>
      <w:r>
        <w:rPr>
          <w:rFonts w:hint="eastAsia"/>
        </w:rPr>
        <w:t xml:space="preserve"> Following infusion, patients underwent intensive monitoring for acute toxicities (days1-28)</w:t>
      </w:r>
      <w:bookmarkEnd w:id="9"/>
      <w:r>
        <w:rPr>
          <w:rFonts w:hint="eastAsia"/>
        </w:rPr>
        <w:t xml:space="preserve"> and long-term follow-up (≤3 years). </w:t>
      </w:r>
      <w:r>
        <w:t>Prior to bridging transplantation, a reduced-intensity conditioning regimen was administered, consisting of: intravenous busulfan (3.2</w:t>
      </w:r>
      <w:r>
        <w:rPr>
          <w:rFonts w:hint="eastAsia"/>
        </w:rPr>
        <w:t xml:space="preserve"> </w:t>
      </w:r>
      <w:r>
        <w:t>mg/kg/day×</w:t>
      </w:r>
      <w:r>
        <w:rPr>
          <w:rFonts w:hint="eastAsia"/>
        </w:rPr>
        <w:t>2</w:t>
      </w:r>
      <w:r>
        <w:t xml:space="preserve"> day</w:t>
      </w:r>
      <w:r>
        <w:rPr>
          <w:rFonts w:hint="eastAsia"/>
        </w:rPr>
        <w:t>s</w:t>
      </w:r>
      <w:r>
        <w:t>), cyclophosphamide (40 mg/kg ×1 day), fludarabine (30 mg/m²/day ×3 days), and cytarabine (3 g/m²/day ×3 days), with or without rabbit anti-thymocyte globulin (thymoglobulin®; Sanofi, Lyon, France; 7.5 mg/kg) for haploidentical transplants</w:t>
      </w:r>
      <w:r>
        <w:rPr>
          <w:rFonts w:hint="eastAsia"/>
        </w:rPr>
        <w:t>. During the implementation, adjustments were made according to the patient</w:t>
      </w:r>
      <w:r>
        <w:t>’</w:t>
      </w:r>
      <w:r>
        <w:rPr>
          <w:rFonts w:hint="eastAsia"/>
        </w:rPr>
        <w:t>s condition, peripheral blood hematological indicators, and bone marrow examination results.</w:t>
      </w:r>
    </w:p>
    <w:p w14:paraId="4853A557">
      <w:pPr>
        <w:ind w:firstLine="0" w:firstLineChars="0"/>
        <w:rPr>
          <w:b/>
          <w:bCs/>
        </w:rPr>
      </w:pPr>
      <w:r>
        <w:rPr>
          <w:rFonts w:hint="eastAsia"/>
          <w:b/>
          <w:bCs/>
        </w:rPr>
        <w:t>Laboratory testing</w:t>
      </w:r>
    </w:p>
    <w:p w14:paraId="4BFAE707">
      <w:pPr>
        <w:ind w:firstLine="0" w:firstLineChars="0"/>
        <w:rPr>
          <w:bCs/>
        </w:rPr>
      </w:pPr>
      <w:r>
        <w:t>To assess the transfection efficiency, T cells are measured using flow cytometry analysis (#Z6410005, Tongshengshidai, #Z6410048, Tonglihaiyuan, #FM3-HPY53, Arco)</w:t>
      </w:r>
      <w:r>
        <w:rPr>
          <w:rFonts w:hint="eastAsia"/>
        </w:rPr>
        <w:t>.</w:t>
      </w:r>
      <w:r>
        <w:t xml:space="preserve"> </w:t>
      </w:r>
      <w:r>
        <w:rPr>
          <w:bCs/>
        </w:rPr>
        <w:t xml:space="preserve">The concentrations of serum inflammation markers IL-6, TNF-α </w:t>
      </w:r>
      <w:r>
        <w:rPr>
          <w:rFonts w:hint="eastAsia"/>
          <w:bCs/>
        </w:rPr>
        <w:t>and</w:t>
      </w:r>
      <w:r>
        <w:rPr>
          <w:bCs/>
        </w:rPr>
        <w:t xml:space="preserve"> IFN-γ were evaluated using the Luminex detection method</w:t>
      </w:r>
      <w:r>
        <w:rPr>
          <w:rFonts w:hint="eastAsia"/>
          <w:bCs/>
        </w:rPr>
        <w:t xml:space="preserve"> (flow cytometry bead array)</w:t>
      </w:r>
      <w:r>
        <w:rPr>
          <w:bCs/>
        </w:rPr>
        <w:t xml:space="preserve"> according to the manufacturer's instructions</w:t>
      </w:r>
      <w:r>
        <w:rPr>
          <w:rFonts w:hint="eastAsia"/>
          <w:bCs/>
        </w:rPr>
        <w:t xml:space="preserve">. </w:t>
      </w:r>
      <w:r>
        <w:rPr>
          <w:bCs/>
        </w:rPr>
        <w:t>In short, add analysis buffer, sample serum and capture microsphere solution to the tube, and incubate in the dark for 2 hours. Add 1 ml of washing solution to the tube, centrifuge and discard the supernatant. Add the antibody in the kit and incubate for 1 hour in the dark (without washing). Add SA-PE and incubate in the dark. Add 1 ml of washing solution, centrifuge and discard the supernatant. Add 150μl washing solution, and analyze with flow cytometer (ACEA NovoCyte).</w:t>
      </w:r>
      <w:r>
        <w:rPr>
          <w:rFonts w:hint="eastAsia"/>
          <w:bCs/>
        </w:rPr>
        <w:t xml:space="preserve"> Testing was conducted at baseline (day-1) and at different time points within the 30-day period following CLL1 CAR-T cell infusion.</w:t>
      </w:r>
    </w:p>
    <w:p w14:paraId="737DCB03">
      <w:pPr>
        <w:ind w:firstLine="0" w:firstLineChars="0"/>
      </w:pPr>
    </w:p>
    <w:p w14:paraId="3BE21944">
      <w:pPr>
        <w:ind w:firstLine="0" w:firstLineChars="0"/>
        <w:rPr>
          <w:b/>
          <w:bCs/>
        </w:rPr>
      </w:pPr>
      <w:r>
        <w:rPr>
          <w:rFonts w:hint="eastAsia"/>
          <w:b/>
          <w:bCs/>
        </w:rPr>
        <w:t>Method for detecting minimal residual disease</w:t>
      </w:r>
    </w:p>
    <w:p w14:paraId="6BF0242F">
      <w:pPr>
        <w:ind w:firstLine="0" w:firstLineChars="0"/>
      </w:pPr>
      <w:r>
        <w:t xml:space="preserve">Assessment of minimal residual disease (MRD) in the bone marrow was performed at approximately 14 days following CLL1 CAR-T cell infusion. MRD negativity was determined by multi-parameter flow cytometry (MFC) at a sensitivity threshold of ≤1×10⁻⁴, which was further enhanced by real-time quantitative PCR (RQ-PCR) for a panel of genetic markers, including leukemia-related fusion genes (AML1-ETO, </w:t>
      </w:r>
      <w:r>
        <w:rPr>
          <w:rFonts w:hint="eastAsia"/>
          <w:lang w:val="en-US" w:eastAsia="zh-CN"/>
        </w:rPr>
        <w:t xml:space="preserve">WT1, </w:t>
      </w:r>
      <w:r>
        <w:t>KMT2A rearrangement, CBFβ-MYH11) and mutations (NPM1, FLT3, IDH1/2, NRAS, TP53). The RQ-PCR assays extended the detection sensitivity to between 10⁻</w:t>
      </w:r>
      <w:r>
        <w:rPr>
          <w:rFonts w:hint="eastAsia"/>
          <w:vertAlign w:val="superscript"/>
          <w:lang w:val="en-US" w:eastAsia="zh-CN"/>
        </w:rPr>
        <w:t>4</w:t>
      </w:r>
      <w:r>
        <w:t xml:space="preserve"> and 10⁻</w:t>
      </w:r>
      <w:bookmarkStart w:id="17" w:name="_GoBack"/>
      <w:r>
        <w:rPr>
          <w:rFonts w:hint="eastAsia"/>
          <w:vertAlign w:val="superscript"/>
          <w:lang w:val="en-US" w:eastAsia="zh-CN"/>
        </w:rPr>
        <w:t>5</w:t>
      </w:r>
      <w:bookmarkEnd w:id="17"/>
      <w:r>
        <w:t>.</w:t>
      </w:r>
    </w:p>
    <w:p w14:paraId="76A92126">
      <w:pPr>
        <w:ind w:firstLine="0" w:firstLineChars="0"/>
      </w:pPr>
    </w:p>
    <w:bookmarkEnd w:id="6"/>
    <w:p w14:paraId="5169953B">
      <w:pPr>
        <w:ind w:firstLine="0" w:firstLineChars="0"/>
        <w:rPr>
          <w:b/>
          <w:bCs/>
        </w:rPr>
      </w:pPr>
      <w:r>
        <w:rPr>
          <w:b/>
          <w:bCs/>
        </w:rPr>
        <w:t>Clinical endpoint and evaluation</w:t>
      </w:r>
    </w:p>
    <w:p w14:paraId="5A8EDDF6">
      <w:pPr>
        <w:ind w:firstLine="0" w:firstLineChars="0"/>
      </w:pPr>
      <w:r>
        <w:t xml:space="preserve">The primary </w:t>
      </w:r>
      <w:r>
        <w:rPr>
          <w:rFonts w:hint="eastAsia"/>
        </w:rPr>
        <w:t>endpoint</w:t>
      </w:r>
      <w:r>
        <w:t xml:space="preserve"> </w:t>
      </w:r>
      <w:r>
        <w:rPr>
          <w:rFonts w:hint="eastAsia"/>
        </w:rPr>
        <w:t>was</w:t>
      </w:r>
      <w:r>
        <w:t xml:space="preserve"> safety</w:t>
      </w:r>
      <w:r>
        <w:rPr>
          <w:rFonts w:hint="eastAsia"/>
        </w:rPr>
        <w:t>, assessed by the incidence of dose-limiting toxicities</w:t>
      </w:r>
      <w:r>
        <w:t xml:space="preserve"> </w:t>
      </w:r>
      <w:r>
        <w:rPr>
          <w:rFonts w:hint="eastAsia"/>
        </w:rPr>
        <w:t>(DLTs) and treatment-related adverse events</w:t>
      </w:r>
      <w:r>
        <w:t xml:space="preserve"> </w:t>
      </w:r>
      <w:r>
        <w:rPr>
          <w:rFonts w:hint="eastAsia"/>
        </w:rPr>
        <w:t>(AEs)</w:t>
      </w:r>
      <w:r>
        <w:t>.</w:t>
      </w:r>
      <w:r>
        <w:rPr>
          <w:rFonts w:hint="eastAsia"/>
        </w:rPr>
        <w:t xml:space="preserve"> S</w:t>
      </w:r>
      <w:r>
        <w:t xml:space="preserve">econdary endpoints </w:t>
      </w:r>
      <w:r>
        <w:rPr>
          <w:rFonts w:hint="eastAsia"/>
        </w:rPr>
        <w:t xml:space="preserve">included objective response rate (ORR; defined as CR or CR with incomplete </w:t>
      </w:r>
      <w:r>
        <w:t>hematologic</w:t>
      </w:r>
      <w:r>
        <w:rPr>
          <w:rFonts w:hint="eastAsia"/>
        </w:rPr>
        <w:t xml:space="preserve"> recovery [CRi]), progression-free survival (PFS), overall survival (OS) and</w:t>
      </w:r>
      <w:r>
        <w:t xml:space="preserve"> </w:t>
      </w:r>
      <w:r>
        <w:rPr>
          <w:rFonts w:hint="eastAsia"/>
        </w:rPr>
        <w:t xml:space="preserve">CAR-T cell pharmacokinetics in peripheral blood. Following HSCT, patients continued survival and disease status monitoring; however, </w:t>
      </w:r>
      <w:r>
        <w:t>systematic</w:t>
      </w:r>
      <w:r>
        <w:rPr>
          <w:rFonts w:hint="eastAsia"/>
        </w:rPr>
        <w:t xml:space="preserve"> </w:t>
      </w:r>
      <w:r>
        <w:t>AE</w:t>
      </w:r>
      <w:r>
        <w:rPr>
          <w:rFonts w:hint="eastAsia"/>
        </w:rPr>
        <w:t xml:space="preserve"> documentation and pharmacokinetic sampling were discontinued.</w:t>
      </w:r>
    </w:p>
    <w:p w14:paraId="35E604ED">
      <w:r>
        <w:rPr>
          <w:rFonts w:hint="eastAsia"/>
        </w:rPr>
        <w:t xml:space="preserve">Monitoring during this period included physical examinations, laboratory assessments and </w:t>
      </w:r>
      <w:r>
        <w:t>active surveillance for</w:t>
      </w:r>
      <w:r>
        <w:rPr>
          <w:rFonts w:hint="eastAsia"/>
        </w:rPr>
        <w:t xml:space="preserve"> AEs. </w:t>
      </w:r>
      <w:bookmarkStart w:id="10" w:name="OLE_LINK27"/>
      <w:bookmarkStart w:id="11" w:name="OLE_LINK38"/>
      <w:r>
        <w:rPr>
          <w:rFonts w:hint="eastAsia"/>
        </w:rPr>
        <w:t xml:space="preserve">CRS and ICANS were graded according to the American Society for Transplantation and Cellular Therapy </w:t>
      </w:r>
      <w:r>
        <w:t>consensus</w:t>
      </w:r>
      <w:r>
        <w:rPr>
          <w:rFonts w:hint="eastAsia"/>
        </w:rPr>
        <w:t xml:space="preserve"> grading</w:t>
      </w:r>
      <w:bookmarkEnd w:id="10"/>
      <w:r>
        <w:rPr>
          <w:rFonts w:hint="eastAsia"/>
        </w:rPr>
        <w:t xml:space="preserve"> </w:t>
      </w:r>
      <w:r>
        <w:rPr>
          <w:vertAlign w:val="superscript"/>
        </w:rPr>
        <w:fldChar w:fldCharType="begin">
          <w:fldData xml:space="preserve">PEVuZE5vdGU+PENpdGU+PEF1dGhvcj5MZWU8L0F1dGhvcj48WWVhcj4yMDE5PC9ZZWFyPjxSZWNO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</w:fldData>
        </w:fldChar>
      </w:r>
      <w:r>
        <w:rPr>
          <w:vertAlign w:val="superscript"/>
        </w:rPr>
        <w:instrText xml:space="preserve"> ADDIN EN.CITE </w:instrText>
      </w:r>
      <w:r>
        <w:rPr>
          <w:vertAlign w:val="superscript"/>
        </w:rPr>
        <w:fldChar w:fldCharType="begin">
          <w:fldData xml:space="preserve">PEVuZE5vdGU+PENpdGU+PEF1dGhvcj5MZWU8L0F1dGhvcj48WWVhcj4yMDE5PC9ZZWFyPjxSZWNO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</w:fldData>
        </w:fldChar>
      </w:r>
      <w:r>
        <w:rPr>
          <w:vertAlign w:val="superscript"/>
        </w:rPr>
        <w:instrText xml:space="preserve"> ADDIN EN.CITE.DATA </w:instrText>
      </w:r>
      <w:r>
        <w:rPr>
          <w:vertAlign w:val="superscript"/>
        </w:rPr>
        <w:fldChar w:fldCharType="end"/>
      </w:r>
      <w:r>
        <w:rPr>
          <w:vertAlign w:val="superscript"/>
        </w:rPr>
        <w:fldChar w:fldCharType="separate"/>
      </w:r>
      <w:r>
        <w:rPr>
          <w:vertAlign w:val="superscript"/>
        </w:rPr>
        <w:t>(6)</w:t>
      </w:r>
      <w:r>
        <w:rPr>
          <w:vertAlign w:val="superscript"/>
        </w:rPr>
        <w:fldChar w:fldCharType="end"/>
      </w:r>
      <w:r>
        <w:rPr>
          <w:rFonts w:hint="eastAsia"/>
        </w:rPr>
        <w:t>.</w:t>
      </w:r>
      <w:r>
        <w:t xml:space="preserve"> </w:t>
      </w:r>
      <w:r>
        <w:rPr>
          <w:rFonts w:hint="eastAsia"/>
        </w:rPr>
        <w:t>O</w:t>
      </w:r>
      <w:r>
        <w:t xml:space="preserve">ther </w:t>
      </w:r>
      <w:bookmarkStart w:id="12" w:name="OLE_LINK9"/>
      <w:r>
        <w:t>AEs</w:t>
      </w:r>
      <w:bookmarkEnd w:id="12"/>
      <w:r>
        <w:t xml:space="preserve"> </w:t>
      </w:r>
      <w:r>
        <w:rPr>
          <w:rFonts w:hint="eastAsia"/>
        </w:rPr>
        <w:t xml:space="preserve">and baseline laboratory values </w:t>
      </w:r>
      <w:r>
        <w:t>were graded based on the Common Terminology Criteria for Adverse Events (Version 5.0)</w:t>
      </w:r>
      <w:bookmarkEnd w:id="11"/>
      <w:r>
        <w:t>.</w:t>
      </w:r>
    </w:p>
    <w:p w14:paraId="5457DAC7">
      <w:pPr>
        <w:ind w:firstLine="0" w:firstLineChars="0"/>
        <w:rPr>
          <w:b/>
          <w:bCs/>
        </w:rPr>
      </w:pPr>
      <w:bookmarkStart w:id="13" w:name="_Hlk206019964"/>
      <w:r>
        <w:rPr>
          <w:b/>
          <w:bCs/>
        </w:rPr>
        <w:t>Preparation and sequencing of single-cell RNA-sequencing libraries</w:t>
      </w:r>
      <w:r>
        <w:rPr>
          <w:rFonts w:hint="eastAsia"/>
          <w:b/>
          <w:bCs/>
        </w:rPr>
        <w:t xml:space="preserve"> and data processing</w:t>
      </w:r>
    </w:p>
    <w:bookmarkEnd w:id="13"/>
    <w:p w14:paraId="4970E699">
      <w:pPr>
        <w:ind w:firstLine="0" w:firstLineChars="0"/>
      </w:pPr>
      <w:bookmarkStart w:id="14" w:name="OLE_LINK18"/>
      <w:r>
        <w:rPr>
          <w:rFonts w:hint="eastAsia"/>
        </w:rPr>
        <w:t>We performed single-cell RNA sequencing (</w:t>
      </w:r>
      <w:bookmarkStart w:id="15" w:name="OLE_LINK49"/>
      <w:r>
        <w:rPr>
          <w:rFonts w:hint="eastAsia"/>
        </w:rPr>
        <w:t>scRNA-seq</w:t>
      </w:r>
      <w:bookmarkEnd w:id="15"/>
      <w:r>
        <w:rPr>
          <w:rFonts w:hint="eastAsia"/>
        </w:rPr>
        <w:t xml:space="preserve">) using the </w:t>
      </w:r>
      <w:r>
        <w:t>SeekOne®DD single-cell 5' library preparation kit (SeekGene Cat#SO01V3.1)</w:t>
      </w:r>
      <w:r>
        <w:rPr>
          <w:rFonts w:hint="eastAsia"/>
        </w:rPr>
        <w:t xml:space="preserve"> and processed sequence data with </w:t>
      </w:r>
      <w:r>
        <w:t>SeekOne®Tools</w:t>
      </w:r>
      <w:r>
        <w:rPr>
          <w:rFonts w:hint="eastAsia"/>
        </w:rPr>
        <w:t xml:space="preserve">. </w:t>
      </w:r>
      <w:r>
        <w:t>Following harvested</w:t>
      </w:r>
      <w:r>
        <w:rPr>
          <w:rFonts w:hint="eastAsia"/>
        </w:rPr>
        <w:t xml:space="preserve"> of CLL1 CAR-T cell infusion products and the peripheral blood mononuclear cells of patients during the peak period of expansion</w:t>
      </w:r>
      <w:r>
        <w:t>, cells were washed in ice-cold RPMI1640. Cell count and viability were assessed using a fluorescence cell analyzer (Countstar®Rige</w:t>
      </w:r>
      <w:bookmarkEnd w:id="14"/>
      <w:r>
        <w:t>l S2) with AO/PI reagent after removal erythrocytes (Miltenyi 130-094-183)</w:t>
      </w:r>
      <w:r>
        <w:rPr>
          <w:rFonts w:hint="eastAsia"/>
        </w:rPr>
        <w:t>,</w:t>
      </w:r>
      <w:r>
        <w:t xml:space="preserve"> and then debris and dead cells removal was decided to be performed or not (Miltenyi 130-109-398/130-090-101). Finally, fresh cells were washed twice in RPMI1640</w:t>
      </w:r>
      <w:r>
        <w:rPr>
          <w:rFonts w:hint="eastAsia"/>
        </w:rPr>
        <w:t>,</w:t>
      </w:r>
      <w:r>
        <w:t xml:space="preserve"> and then resuspended at a concentration of 1×10</w:t>
      </w:r>
      <w:r>
        <w:rPr>
          <w:vertAlign w:val="superscript"/>
        </w:rPr>
        <w:t>6</w:t>
      </w:r>
      <w:r>
        <w:t xml:space="preserve"> cells per ml in 1×PBS containing 0·04% bovine serum albumin</w:t>
      </w:r>
      <w:r>
        <w:rPr>
          <w:rFonts w:hint="eastAsia"/>
        </w:rPr>
        <w:t xml:space="preserve">. </w:t>
      </w:r>
      <w:r>
        <w:t>We utilized SeekOne®Tools to precess sequence data and align it with the human GRCH38 reference genome in order to obtain a gene expression matrix. The seurat package (version 4·1·1) was employed for filtering low-quality cells, excluding cells with a number of detected genes &lt;100 or &gt;</w:t>
      </w:r>
      <w:r>
        <w:rPr>
          <w:rFonts w:hint="eastAsia"/>
        </w:rPr>
        <w:t>3</w:t>
      </w:r>
      <w:r>
        <w:t>0000, and applying median absolute deviation (MAD) variance normalization to remove mitochondrial gene-related effects</w:t>
      </w:r>
      <w:r>
        <w:rPr>
          <w:rFonts w:hint="eastAsia"/>
        </w:rPr>
        <w:t xml:space="preserve">. </w:t>
      </w:r>
      <w:r>
        <w:t>Unsupervised cell clustering was performed using the Seurat package (version 4·1·1). After removing mitochondrial genes, we selected the top 2000 most variable genes for data integration across different samples</w:t>
      </w:r>
      <w:r>
        <w:rPr>
          <w:rFonts w:hint="eastAsia"/>
        </w:rPr>
        <w:t>,</w:t>
      </w:r>
      <w:r>
        <w:t xml:space="preserve"> and conducted principal component (PC) analysis using Harmony (version 0·1). The first 30 PCs were used for identifying cell clusters at a resolution of 0·8. Cluster analysis results were visualized using Uniform Manifold Approximation and Projection (UMAP). Cell types were defined based on their similarity to Human Primary Cell Atlas Data utilizing the Single R package (version 1·8·1). Cells annotated as granulocytes or belonging to different major cell types than the majority within their cluster were excluded from further analysis. T cells were sub-clustered at a resolution of 0·5, and each subcluster was annotated based on specific marker genes identified therein. To isolate CAR-T cells from single-cell clusters, we incorporated CAR gene sequences (RQR8 and CLL1 scFv) into the human genome for comparison purposes, enabling detection of CAR-T gene expression; corresponding metadata examples included tags indicating CAR-T detection.</w:t>
      </w:r>
    </w:p>
    <w:p w14:paraId="0B4B616A">
      <w:pPr>
        <w:ind w:firstLine="0" w:firstLineChars="0"/>
        <w:rPr>
          <w:b/>
          <w:bCs/>
        </w:rPr>
      </w:pPr>
      <w:r>
        <w:rPr>
          <w:b/>
          <w:bCs/>
        </w:rPr>
        <w:t>Statistical analysis</w:t>
      </w:r>
    </w:p>
    <w:p w14:paraId="65E4CD36">
      <w:pPr>
        <w:ind w:firstLine="0" w:firstLineChars="0"/>
      </w:pPr>
      <w:r>
        <w:rPr>
          <w:rFonts w:hint="eastAsia"/>
        </w:rPr>
        <w:t xml:space="preserve">Sample size was determined by clinical considerations, though the safety run-in adhered to a 3+3 design. All patients receiving CLL1 CAR-T cell infusion were included in safety and efficacy analyses. Descriptive statistics are reported as </w:t>
      </w:r>
      <w:r>
        <w:t xml:space="preserve">medians </w:t>
      </w:r>
      <w:r>
        <w:rPr>
          <w:color w:val="auto"/>
        </w:rPr>
        <w:t>where</w:t>
      </w:r>
      <w:r>
        <w:rPr>
          <w:rFonts w:hint="eastAsia"/>
        </w:rPr>
        <w:t xml:space="preserve"> appropriate. Group comparisons used two-tailed Wilcoxon ranked-sum tests. Time-to-event outcomes were analyzed by Kaplan-Meier methodology. Statistical significance was defined as p</w:t>
      </w:r>
      <w:r>
        <w:t>＜</w:t>
      </w:r>
      <w:r>
        <w:rPr>
          <w:rFonts w:hint="eastAsia"/>
        </w:rPr>
        <w:t>0.05. Analyses utilized SPSS (version 26) for clinical endpoints and GraphPad Prism (version 8.0.1) for biomarker/cellular kinetic data. The cut-off date was</w:t>
      </w:r>
      <w:r>
        <w:t xml:space="preserve"> </w:t>
      </w:r>
      <w:r>
        <w:rPr>
          <w:rFonts w:hint="eastAsia"/>
        </w:rPr>
        <w:t>May</w:t>
      </w:r>
      <w:r>
        <w:t xml:space="preserve"> </w:t>
      </w:r>
      <w:r>
        <w:rPr>
          <w:rFonts w:hint="eastAsia"/>
        </w:rPr>
        <w:t>15</w:t>
      </w:r>
      <w:r>
        <w:t>, 202</w:t>
      </w:r>
      <w:r>
        <w:rPr>
          <w:rFonts w:hint="eastAsia"/>
        </w:rPr>
        <w:t>5</w:t>
      </w:r>
      <w:r>
        <w:t>.</w:t>
      </w:r>
    </w:p>
    <w:p w14:paraId="15A1892E"/>
    <w:p w14:paraId="71186726">
      <w:pPr>
        <w:adjustRightInd w:val="0"/>
        <w:snapToGrid w:val="0"/>
        <w:rPr>
          <w:b/>
          <w:bCs/>
        </w:rPr>
      </w:pPr>
      <w:r>
        <w:rPr>
          <w:b/>
          <w:bCs/>
        </w:rPr>
        <w:t>Reference</w:t>
      </w:r>
    </w:p>
    <w:p w14:paraId="503A1AE9">
      <w:pPr>
        <w:pStyle w:val="17"/>
        <w:ind w:firstLine="210"/>
        <w:rPr>
          <w:rFonts w:ascii="Times New Roman" w:hAnsi="Times New Roman"/>
          <w:sz w:val="24"/>
        </w:rPr>
      </w:pPr>
      <w:r>
        <w:rPr>
          <w:rFonts w:ascii="Times New Roman" w:hAnsi="Times New Roman"/>
          <w:sz w:val="21"/>
          <w:szCs w:val="21"/>
        </w:rPr>
        <w:fldChar w:fldCharType="begin"/>
      </w:r>
      <w:r>
        <w:rPr>
          <w:rFonts w:ascii="Times New Roman" w:hAnsi="Times New Roman"/>
          <w:sz w:val="21"/>
          <w:szCs w:val="21"/>
        </w:rPr>
        <w:instrText xml:space="preserve"> ADDIN EN.REFLIST </w:instrText>
      </w:r>
      <w:r>
        <w:rPr>
          <w:rFonts w:ascii="Times New Roman" w:hAnsi="Times New Roman"/>
          <w:sz w:val="21"/>
          <w:szCs w:val="21"/>
        </w:rPr>
        <w:fldChar w:fldCharType="separate"/>
      </w:r>
      <w:r>
        <w:rPr>
          <w:rFonts w:ascii="Times New Roman" w:hAnsi="Times New Roman"/>
          <w:sz w:val="24"/>
        </w:rPr>
        <w:t>1.</w:t>
      </w:r>
      <w:r>
        <w:rPr>
          <w:rFonts w:ascii="Times New Roman" w:hAnsi="Times New Roman"/>
          <w:sz w:val="24"/>
        </w:rPr>
        <w:tab/>
      </w:r>
      <w:r>
        <w:rPr>
          <w:rFonts w:ascii="Times New Roman" w:hAnsi="Times New Roman"/>
          <w:sz w:val="24"/>
        </w:rPr>
        <w:t>Sabattini E, Bacci F, Sagramoso C, Pileri SA. WHO classification of tumours of haematopoietic and lymphoid tissues in 2008: an overview. Pathologica. 2010;102(3):83-7.</w:t>
      </w:r>
    </w:p>
    <w:p w14:paraId="60272B18">
      <w:pPr>
        <w:pStyle w:val="17"/>
        <w:rPr>
          <w:rFonts w:ascii="Times New Roman" w:hAnsi="Times New Roman"/>
          <w:sz w:val="24"/>
        </w:rPr>
      </w:pPr>
      <w:r>
        <w:rPr>
          <w:rFonts w:ascii="Times New Roman" w:hAnsi="Times New Roman"/>
          <w:sz w:val="24"/>
        </w:rPr>
        <w:t>2.</w:t>
      </w:r>
      <w:r>
        <w:rPr>
          <w:rFonts w:ascii="Times New Roman" w:hAnsi="Times New Roman"/>
          <w:sz w:val="24"/>
        </w:rPr>
        <w:tab/>
      </w:r>
      <w:r>
        <w:rPr>
          <w:rFonts w:ascii="Times New Roman" w:hAnsi="Times New Roman"/>
          <w:sz w:val="24"/>
        </w:rPr>
        <w:t>DeWolf S, Tallman MS. How I treat relapsed or refractory AML. Blood. 2020;136(9):1023-32.</w:t>
      </w:r>
    </w:p>
    <w:p w14:paraId="59AD1860">
      <w:pPr>
        <w:pStyle w:val="17"/>
        <w:rPr>
          <w:rFonts w:ascii="Times New Roman" w:hAnsi="Times New Roman"/>
          <w:sz w:val="24"/>
        </w:rPr>
      </w:pPr>
      <w:r>
        <w:rPr>
          <w:rFonts w:ascii="Times New Roman" w:hAnsi="Times New Roman"/>
          <w:sz w:val="24"/>
        </w:rPr>
        <w:t>3.</w:t>
      </w:r>
      <w:r>
        <w:rPr>
          <w:rFonts w:ascii="Times New Roman" w:hAnsi="Times New Roman"/>
          <w:sz w:val="24"/>
        </w:rPr>
        <w:tab/>
      </w:r>
      <w:r>
        <w:rPr>
          <w:rFonts w:ascii="Times New Roman" w:hAnsi="Times New Roman"/>
          <w:sz w:val="24"/>
        </w:rPr>
        <w:t>Döhner H, Wei AH, Appelbaum FR, Craddock C, DiNardo CD, Dombret H, et al. Diagnosis and management of AML in adults: 2022 recommendations from an international expert panel on behalf of the ELN. Blood. 2022;140(12):1345-77.</w:t>
      </w:r>
    </w:p>
    <w:p w14:paraId="608D00DA">
      <w:pPr>
        <w:pStyle w:val="17"/>
        <w:rPr>
          <w:rFonts w:ascii="Times New Roman" w:hAnsi="Times New Roman"/>
          <w:sz w:val="24"/>
        </w:rPr>
      </w:pPr>
      <w:r>
        <w:rPr>
          <w:rFonts w:ascii="Times New Roman" w:hAnsi="Times New Roman"/>
          <w:sz w:val="24"/>
        </w:rPr>
        <w:t>4.</w:t>
      </w:r>
      <w:r>
        <w:rPr>
          <w:rFonts w:ascii="Times New Roman" w:hAnsi="Times New Roman"/>
          <w:sz w:val="24"/>
        </w:rPr>
        <w:tab/>
      </w:r>
      <w:r>
        <w:rPr>
          <w:rFonts w:ascii="Times New Roman" w:hAnsi="Times New Roman"/>
          <w:sz w:val="24"/>
        </w:rPr>
        <w:t>Jin X, Zhang M, Sun R, Lyu H, Xiao X, Zhang X, et al. First-in-human phase I study of CLL-1 CAR-T cells in adults with relapsed/refractory acute myeloid leukemia. Journal of hematology &amp; oncology. 2022;15(1):88.</w:t>
      </w:r>
    </w:p>
    <w:p w14:paraId="1C668D34">
      <w:pPr>
        <w:pStyle w:val="17"/>
        <w:rPr>
          <w:rFonts w:hint="eastAsia" w:ascii="Times New Roman" w:hAnsi="Times New Roman"/>
          <w:sz w:val="24"/>
        </w:rPr>
      </w:pPr>
      <w:r>
        <w:rPr>
          <w:rFonts w:ascii="Times New Roman" w:hAnsi="Times New Roman"/>
          <w:sz w:val="24"/>
        </w:rPr>
        <w:t>5.</w:t>
      </w:r>
      <w:r>
        <w:rPr>
          <w:rFonts w:ascii="Times New Roman" w:hAnsi="Times New Roman"/>
          <w:sz w:val="24"/>
        </w:rPr>
        <w:tab/>
      </w:r>
      <w:r>
        <w:rPr>
          <w:rFonts w:ascii="Times New Roman" w:hAnsi="Times New Roman"/>
          <w:sz w:val="24"/>
        </w:rPr>
        <w:t>Chai X, Jin X, Zhao MF. [Development and functional verification of CAR-T cells targeting CLL-</w:t>
      </w:r>
      <w:bookmarkStart w:id="16" w:name="OLE_LINK1"/>
      <w:r>
        <w:rPr>
          <w:rFonts w:ascii="Times New Roman" w:hAnsi="Times New Roman"/>
          <w:sz w:val="24"/>
        </w:rPr>
        <w:t>1]. Zhonghua xue ye xue za zhi = Zhonghua xueyexue zazhi. 2022;43(2):102-6.</w:t>
      </w:r>
    </w:p>
    <w:p w14:paraId="2543CDD9">
      <w:pPr>
        <w:pStyle w:val="17"/>
        <w:rPr>
          <w:rFonts w:hint="eastAsia" w:ascii="Times New Roman" w:hAnsi="Times New Roman"/>
          <w:sz w:val="24"/>
        </w:rPr>
      </w:pPr>
      <w:r>
        <w:rPr>
          <w:rFonts w:ascii="Times New Roman" w:hAnsi="Times New Roman"/>
          <w:sz w:val="24"/>
        </w:rPr>
        <w:t>6.</w:t>
      </w:r>
      <w:r>
        <w:rPr>
          <w:rFonts w:ascii="Times New Roman" w:hAnsi="Times New Roman"/>
          <w:sz w:val="24"/>
        </w:rPr>
        <w:tab/>
      </w:r>
      <w:r>
        <w:rPr>
          <w:rFonts w:ascii="Times New Roman" w:hAnsi="Times New Roman"/>
          <w:sz w:val="24"/>
        </w:rPr>
        <w:t>Lee DW, Santomasso BD, Locke FL, Ghobadi A, Turtle CJ, Brudno JN, et al. ASTCT Consensus Grading for Cytokine Release Syndrome and Neurologic Toxicity Associated with Immune Effector Cells. Biology of blood and marrow transplantation : journal of the American Society for Blood and Marrow Transplantation. 2019;25(4):625-38.</w:t>
      </w:r>
    </w:p>
    <w:bookmarkEnd w:id="16"/>
    <w:p w14:paraId="353CBC06">
      <w:pPr>
        <w:adjustRightInd w:val="0"/>
        <w:snapToGrid w:val="0"/>
        <w:ind w:firstLine="0" w:firstLineChars="0"/>
      </w:pPr>
      <w:r>
        <w:rPr>
          <w:sz w:val="21"/>
          <w:szCs w:val="21"/>
        </w:rPr>
        <w:fldChar w:fldCharType="end"/>
      </w:r>
    </w:p>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0" w:footer="0" w:gutter="0"/>
      <w:lnNumType w:countBy="1" w:restart="continuous"/>
      <w:cols w:space="425" w:num="1"/>
      <w:docGrid w:type="linesAndChar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240"/>
      </w:pPr>
      <w:r>
        <w:separator/>
      </w:r>
    </w:p>
  </w:endnote>
  <w:endnote w:type="continuationSeparator" w:id="1">
    <w:p>
      <w:pPr>
        <w:spacing w:line="240" w:lineRule="auto"/>
        <w:ind w:firstLine="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46393041"/>
    </w:sdtPr>
    <w:sdtContent>
      <w:p w14:paraId="7BDEB2CC">
        <w:pPr>
          <w:pStyle w:val="4"/>
          <w:ind w:firstLine="180"/>
        </w:pPr>
        <w:r>
          <w:fldChar w:fldCharType="begin"/>
        </w:r>
        <w:r>
          <w:instrText xml:space="preserve">PAGE   \* MERGEFORMAT</w:instrText>
        </w:r>
        <w:r>
          <w:fldChar w:fldCharType="separate"/>
        </w:r>
        <w:r>
          <w:rPr>
            <w:lang w:val="zh-CN"/>
          </w:rPr>
          <w:t>2</w:t>
        </w:r>
        <w:r>
          <w:fldChar w:fldCharType="end"/>
        </w:r>
      </w:p>
    </w:sdtContent>
  </w:sdt>
  <w:p w14:paraId="297E2563">
    <w:pPr>
      <w:pStyle w:val="4"/>
      <w:ind w:firstLine="18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1BF848">
    <w:pPr>
      <w:pStyle w:val="4"/>
      <w:ind w:firstLine="18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B29D4E">
    <w:pPr>
      <w:pStyle w:val="4"/>
      <w:ind w:firstLine="18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480" w:lineRule="auto"/>
        <w:ind w:firstLine="240"/>
      </w:pPr>
      <w:r>
        <w:separator/>
      </w:r>
    </w:p>
  </w:footnote>
  <w:footnote w:type="continuationSeparator" w:id="1">
    <w:p>
      <w:pPr>
        <w:spacing w:line="480" w:lineRule="auto"/>
        <w:ind w:firstLine="2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BA1A4A">
    <w:pPr>
      <w:pStyle w:val="5"/>
      <w:ind w:firstLine="18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93526A">
    <w:pPr>
      <w:pStyle w:val="5"/>
      <w:ind w:firstLine="18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014503">
    <w:pPr>
      <w:pStyle w:val="5"/>
      <w:ind w:firstLine="18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HorizontalSpacing w:val="120"/>
  <w:drawingGridVerticalSpacing w:val="163"/>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M5MTVmMzgwZjQ0ZDcxNWUyYmNmZTNkN2YwOGUzZjMifQ=="/>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a99fttakederpexazoxz2s2vwrs5sezvrfz&quot;&gt;My EndNote Library&lt;record-ids&gt;&lt;item&gt;386&lt;/item&gt;&lt;item&gt;413&lt;/item&gt;&lt;item&gt;433&lt;/item&gt;&lt;item&gt;434&lt;/item&gt;&lt;item&gt;517&lt;/item&gt;&lt;item&gt;778&lt;/item&gt;&lt;/record-ids&gt;&lt;/item&gt;&lt;/Libraries&gt;"/>
  </w:docVars>
  <w:rsids>
    <w:rsidRoot w:val="005C030A"/>
    <w:rsid w:val="00000453"/>
    <w:rsid w:val="00000C60"/>
    <w:rsid w:val="00001ECC"/>
    <w:rsid w:val="000030CF"/>
    <w:rsid w:val="00004BC5"/>
    <w:rsid w:val="000057D8"/>
    <w:rsid w:val="00005E5C"/>
    <w:rsid w:val="00006D55"/>
    <w:rsid w:val="000070A6"/>
    <w:rsid w:val="00007798"/>
    <w:rsid w:val="000077D4"/>
    <w:rsid w:val="00007C06"/>
    <w:rsid w:val="00007FDB"/>
    <w:rsid w:val="000108BA"/>
    <w:rsid w:val="00010D20"/>
    <w:rsid w:val="00011119"/>
    <w:rsid w:val="00011966"/>
    <w:rsid w:val="00011ACA"/>
    <w:rsid w:val="000122EB"/>
    <w:rsid w:val="0001349F"/>
    <w:rsid w:val="00015AD5"/>
    <w:rsid w:val="00015D58"/>
    <w:rsid w:val="000165FF"/>
    <w:rsid w:val="00017091"/>
    <w:rsid w:val="0002021B"/>
    <w:rsid w:val="0002108B"/>
    <w:rsid w:val="00021918"/>
    <w:rsid w:val="00023297"/>
    <w:rsid w:val="000233EE"/>
    <w:rsid w:val="00024420"/>
    <w:rsid w:val="0002503B"/>
    <w:rsid w:val="00025EF0"/>
    <w:rsid w:val="000266FD"/>
    <w:rsid w:val="00027306"/>
    <w:rsid w:val="0002764A"/>
    <w:rsid w:val="00027838"/>
    <w:rsid w:val="00031D39"/>
    <w:rsid w:val="00032160"/>
    <w:rsid w:val="00033F3D"/>
    <w:rsid w:val="0003449B"/>
    <w:rsid w:val="00034597"/>
    <w:rsid w:val="000357D2"/>
    <w:rsid w:val="00040D2B"/>
    <w:rsid w:val="00042E9C"/>
    <w:rsid w:val="00043105"/>
    <w:rsid w:val="000431A4"/>
    <w:rsid w:val="000434D0"/>
    <w:rsid w:val="000447FA"/>
    <w:rsid w:val="00044DE7"/>
    <w:rsid w:val="0004681D"/>
    <w:rsid w:val="0004779B"/>
    <w:rsid w:val="00050297"/>
    <w:rsid w:val="00050C29"/>
    <w:rsid w:val="0005137C"/>
    <w:rsid w:val="00051515"/>
    <w:rsid w:val="00051AEE"/>
    <w:rsid w:val="00054E5F"/>
    <w:rsid w:val="00054E8E"/>
    <w:rsid w:val="00055246"/>
    <w:rsid w:val="00055A88"/>
    <w:rsid w:val="00056146"/>
    <w:rsid w:val="000567E8"/>
    <w:rsid w:val="000568F4"/>
    <w:rsid w:val="000569AB"/>
    <w:rsid w:val="000578D0"/>
    <w:rsid w:val="00060219"/>
    <w:rsid w:val="00060844"/>
    <w:rsid w:val="000615A3"/>
    <w:rsid w:val="000635C3"/>
    <w:rsid w:val="0006799B"/>
    <w:rsid w:val="00067C0E"/>
    <w:rsid w:val="00067E97"/>
    <w:rsid w:val="00067F5B"/>
    <w:rsid w:val="00071634"/>
    <w:rsid w:val="000717C6"/>
    <w:rsid w:val="00072E91"/>
    <w:rsid w:val="00072EA8"/>
    <w:rsid w:val="000733EC"/>
    <w:rsid w:val="000737DE"/>
    <w:rsid w:val="00074316"/>
    <w:rsid w:val="00074F1C"/>
    <w:rsid w:val="0007522C"/>
    <w:rsid w:val="000755F6"/>
    <w:rsid w:val="00075A44"/>
    <w:rsid w:val="00075BF6"/>
    <w:rsid w:val="000760A7"/>
    <w:rsid w:val="0007668D"/>
    <w:rsid w:val="00077319"/>
    <w:rsid w:val="00077527"/>
    <w:rsid w:val="00077C74"/>
    <w:rsid w:val="000805D8"/>
    <w:rsid w:val="00080BA8"/>
    <w:rsid w:val="00080CC0"/>
    <w:rsid w:val="0008209E"/>
    <w:rsid w:val="0008250E"/>
    <w:rsid w:val="00082808"/>
    <w:rsid w:val="00083066"/>
    <w:rsid w:val="000836F5"/>
    <w:rsid w:val="0008425A"/>
    <w:rsid w:val="0008439B"/>
    <w:rsid w:val="00085163"/>
    <w:rsid w:val="00085EB6"/>
    <w:rsid w:val="00086EDE"/>
    <w:rsid w:val="00092491"/>
    <w:rsid w:val="00092AD7"/>
    <w:rsid w:val="0009367C"/>
    <w:rsid w:val="00094772"/>
    <w:rsid w:val="00094DDA"/>
    <w:rsid w:val="00095243"/>
    <w:rsid w:val="00095C6F"/>
    <w:rsid w:val="00096952"/>
    <w:rsid w:val="000A073A"/>
    <w:rsid w:val="000A147F"/>
    <w:rsid w:val="000A1497"/>
    <w:rsid w:val="000A2FC7"/>
    <w:rsid w:val="000A32E4"/>
    <w:rsid w:val="000A3A05"/>
    <w:rsid w:val="000A3F4D"/>
    <w:rsid w:val="000A48E1"/>
    <w:rsid w:val="000A495F"/>
    <w:rsid w:val="000A55C0"/>
    <w:rsid w:val="000A6940"/>
    <w:rsid w:val="000A6A62"/>
    <w:rsid w:val="000A75DC"/>
    <w:rsid w:val="000B0166"/>
    <w:rsid w:val="000B07AF"/>
    <w:rsid w:val="000B0C05"/>
    <w:rsid w:val="000B1B45"/>
    <w:rsid w:val="000B2678"/>
    <w:rsid w:val="000B2984"/>
    <w:rsid w:val="000B329C"/>
    <w:rsid w:val="000B34D6"/>
    <w:rsid w:val="000B3961"/>
    <w:rsid w:val="000B3AB0"/>
    <w:rsid w:val="000B4EBE"/>
    <w:rsid w:val="000B507C"/>
    <w:rsid w:val="000B51C2"/>
    <w:rsid w:val="000B5E4C"/>
    <w:rsid w:val="000B61C8"/>
    <w:rsid w:val="000B73C5"/>
    <w:rsid w:val="000B75CD"/>
    <w:rsid w:val="000B76ED"/>
    <w:rsid w:val="000C004F"/>
    <w:rsid w:val="000C054F"/>
    <w:rsid w:val="000C08E5"/>
    <w:rsid w:val="000C11DF"/>
    <w:rsid w:val="000C1377"/>
    <w:rsid w:val="000C14E9"/>
    <w:rsid w:val="000C49D0"/>
    <w:rsid w:val="000C5458"/>
    <w:rsid w:val="000C7128"/>
    <w:rsid w:val="000C712C"/>
    <w:rsid w:val="000D006F"/>
    <w:rsid w:val="000D0544"/>
    <w:rsid w:val="000D0CFA"/>
    <w:rsid w:val="000D10AE"/>
    <w:rsid w:val="000D1F29"/>
    <w:rsid w:val="000D239E"/>
    <w:rsid w:val="000D73E6"/>
    <w:rsid w:val="000D7A48"/>
    <w:rsid w:val="000E000D"/>
    <w:rsid w:val="000E0AFF"/>
    <w:rsid w:val="000E1EC3"/>
    <w:rsid w:val="000E25C9"/>
    <w:rsid w:val="000E30A9"/>
    <w:rsid w:val="000E3218"/>
    <w:rsid w:val="000E5060"/>
    <w:rsid w:val="000E510A"/>
    <w:rsid w:val="000E5B1B"/>
    <w:rsid w:val="000E7E16"/>
    <w:rsid w:val="000F0683"/>
    <w:rsid w:val="000F0A31"/>
    <w:rsid w:val="000F0A76"/>
    <w:rsid w:val="000F0B73"/>
    <w:rsid w:val="000F0EDC"/>
    <w:rsid w:val="000F1B01"/>
    <w:rsid w:val="000F3527"/>
    <w:rsid w:val="000F3E03"/>
    <w:rsid w:val="000F46E0"/>
    <w:rsid w:val="000F46EE"/>
    <w:rsid w:val="000F4B9A"/>
    <w:rsid w:val="000F58FF"/>
    <w:rsid w:val="000F5B95"/>
    <w:rsid w:val="000F6E97"/>
    <w:rsid w:val="001001C4"/>
    <w:rsid w:val="00100337"/>
    <w:rsid w:val="00102998"/>
    <w:rsid w:val="001043C8"/>
    <w:rsid w:val="001050BB"/>
    <w:rsid w:val="00105174"/>
    <w:rsid w:val="00105268"/>
    <w:rsid w:val="0010678E"/>
    <w:rsid w:val="00106AFF"/>
    <w:rsid w:val="001073DA"/>
    <w:rsid w:val="001079DC"/>
    <w:rsid w:val="001108F7"/>
    <w:rsid w:val="00112342"/>
    <w:rsid w:val="0011247D"/>
    <w:rsid w:val="00112C96"/>
    <w:rsid w:val="00113F42"/>
    <w:rsid w:val="00114556"/>
    <w:rsid w:val="00114A27"/>
    <w:rsid w:val="00114CE4"/>
    <w:rsid w:val="00114F5E"/>
    <w:rsid w:val="00116378"/>
    <w:rsid w:val="00116A7C"/>
    <w:rsid w:val="00116D0F"/>
    <w:rsid w:val="001174AB"/>
    <w:rsid w:val="00117BBC"/>
    <w:rsid w:val="0012093B"/>
    <w:rsid w:val="00120FB9"/>
    <w:rsid w:val="0012155A"/>
    <w:rsid w:val="00121A0F"/>
    <w:rsid w:val="0012266C"/>
    <w:rsid w:val="00123655"/>
    <w:rsid w:val="001236D4"/>
    <w:rsid w:val="00123F23"/>
    <w:rsid w:val="001242C4"/>
    <w:rsid w:val="00124B83"/>
    <w:rsid w:val="001259D6"/>
    <w:rsid w:val="00125BCB"/>
    <w:rsid w:val="001268A3"/>
    <w:rsid w:val="00127BB7"/>
    <w:rsid w:val="00127E07"/>
    <w:rsid w:val="001334CB"/>
    <w:rsid w:val="00133F0B"/>
    <w:rsid w:val="00135D91"/>
    <w:rsid w:val="0013699A"/>
    <w:rsid w:val="00136A1B"/>
    <w:rsid w:val="00137127"/>
    <w:rsid w:val="00141369"/>
    <w:rsid w:val="0014151B"/>
    <w:rsid w:val="00142A2F"/>
    <w:rsid w:val="001431AF"/>
    <w:rsid w:val="00143CAC"/>
    <w:rsid w:val="00144817"/>
    <w:rsid w:val="0014578C"/>
    <w:rsid w:val="00146833"/>
    <w:rsid w:val="00146AEB"/>
    <w:rsid w:val="00146BF0"/>
    <w:rsid w:val="00147E11"/>
    <w:rsid w:val="00150553"/>
    <w:rsid w:val="001534D1"/>
    <w:rsid w:val="00154477"/>
    <w:rsid w:val="00154FA8"/>
    <w:rsid w:val="00156D77"/>
    <w:rsid w:val="001605C3"/>
    <w:rsid w:val="001610CA"/>
    <w:rsid w:val="00161446"/>
    <w:rsid w:val="001619D5"/>
    <w:rsid w:val="00161C26"/>
    <w:rsid w:val="00162D8D"/>
    <w:rsid w:val="00162DC1"/>
    <w:rsid w:val="00165228"/>
    <w:rsid w:val="001653C4"/>
    <w:rsid w:val="001662E3"/>
    <w:rsid w:val="001664E9"/>
    <w:rsid w:val="001674D6"/>
    <w:rsid w:val="001704A7"/>
    <w:rsid w:val="00171055"/>
    <w:rsid w:val="0017114A"/>
    <w:rsid w:val="00171436"/>
    <w:rsid w:val="00171741"/>
    <w:rsid w:val="00174350"/>
    <w:rsid w:val="00174910"/>
    <w:rsid w:val="0017499A"/>
    <w:rsid w:val="00175686"/>
    <w:rsid w:val="001759E6"/>
    <w:rsid w:val="0017621F"/>
    <w:rsid w:val="00177C2C"/>
    <w:rsid w:val="00180985"/>
    <w:rsid w:val="00181CC5"/>
    <w:rsid w:val="00182E0D"/>
    <w:rsid w:val="001841FA"/>
    <w:rsid w:val="001843E4"/>
    <w:rsid w:val="00184437"/>
    <w:rsid w:val="00184534"/>
    <w:rsid w:val="00184EED"/>
    <w:rsid w:val="001870DF"/>
    <w:rsid w:val="00187191"/>
    <w:rsid w:val="00187A3D"/>
    <w:rsid w:val="00187F77"/>
    <w:rsid w:val="00190822"/>
    <w:rsid w:val="00191213"/>
    <w:rsid w:val="00192EFB"/>
    <w:rsid w:val="00194D22"/>
    <w:rsid w:val="00195647"/>
    <w:rsid w:val="0019614E"/>
    <w:rsid w:val="00196746"/>
    <w:rsid w:val="00196F35"/>
    <w:rsid w:val="00197C82"/>
    <w:rsid w:val="001A1A6D"/>
    <w:rsid w:val="001A233D"/>
    <w:rsid w:val="001A2408"/>
    <w:rsid w:val="001A28C7"/>
    <w:rsid w:val="001A2ACC"/>
    <w:rsid w:val="001A3574"/>
    <w:rsid w:val="001A41F5"/>
    <w:rsid w:val="001A4DF7"/>
    <w:rsid w:val="001A72E7"/>
    <w:rsid w:val="001B046A"/>
    <w:rsid w:val="001B0566"/>
    <w:rsid w:val="001B0611"/>
    <w:rsid w:val="001B0623"/>
    <w:rsid w:val="001B1047"/>
    <w:rsid w:val="001B1102"/>
    <w:rsid w:val="001B3424"/>
    <w:rsid w:val="001B4445"/>
    <w:rsid w:val="001B542E"/>
    <w:rsid w:val="001B54E9"/>
    <w:rsid w:val="001B635D"/>
    <w:rsid w:val="001B68E3"/>
    <w:rsid w:val="001B69F8"/>
    <w:rsid w:val="001B74B5"/>
    <w:rsid w:val="001B7B4F"/>
    <w:rsid w:val="001C031C"/>
    <w:rsid w:val="001C1459"/>
    <w:rsid w:val="001C1A70"/>
    <w:rsid w:val="001C2579"/>
    <w:rsid w:val="001C2CEA"/>
    <w:rsid w:val="001C354A"/>
    <w:rsid w:val="001C3AF7"/>
    <w:rsid w:val="001C3D2F"/>
    <w:rsid w:val="001C456E"/>
    <w:rsid w:val="001C5686"/>
    <w:rsid w:val="001C72ED"/>
    <w:rsid w:val="001C7911"/>
    <w:rsid w:val="001C791F"/>
    <w:rsid w:val="001C7EF0"/>
    <w:rsid w:val="001D096F"/>
    <w:rsid w:val="001D288E"/>
    <w:rsid w:val="001D4073"/>
    <w:rsid w:val="001D41AC"/>
    <w:rsid w:val="001D4438"/>
    <w:rsid w:val="001D65C6"/>
    <w:rsid w:val="001D6A29"/>
    <w:rsid w:val="001D7304"/>
    <w:rsid w:val="001E0359"/>
    <w:rsid w:val="001E3491"/>
    <w:rsid w:val="001E35BF"/>
    <w:rsid w:val="001E4F39"/>
    <w:rsid w:val="001E55AD"/>
    <w:rsid w:val="001E7B63"/>
    <w:rsid w:val="001F0226"/>
    <w:rsid w:val="001F16A2"/>
    <w:rsid w:val="001F16B3"/>
    <w:rsid w:val="001F36C4"/>
    <w:rsid w:val="001F3BC2"/>
    <w:rsid w:val="001F4817"/>
    <w:rsid w:val="001F5FD1"/>
    <w:rsid w:val="001F6C08"/>
    <w:rsid w:val="001F6D2B"/>
    <w:rsid w:val="001F6E87"/>
    <w:rsid w:val="002000FB"/>
    <w:rsid w:val="00200FB9"/>
    <w:rsid w:val="00201BBF"/>
    <w:rsid w:val="00202AD5"/>
    <w:rsid w:val="002031D3"/>
    <w:rsid w:val="002035DB"/>
    <w:rsid w:val="00203AA6"/>
    <w:rsid w:val="002040DC"/>
    <w:rsid w:val="00204131"/>
    <w:rsid w:val="00206E9A"/>
    <w:rsid w:val="00207870"/>
    <w:rsid w:val="00207883"/>
    <w:rsid w:val="00207EF7"/>
    <w:rsid w:val="002102B4"/>
    <w:rsid w:val="002106CC"/>
    <w:rsid w:val="00210B72"/>
    <w:rsid w:val="00210D6B"/>
    <w:rsid w:val="00210D7D"/>
    <w:rsid w:val="00212860"/>
    <w:rsid w:val="002128EC"/>
    <w:rsid w:val="00212F9A"/>
    <w:rsid w:val="0021383B"/>
    <w:rsid w:val="002146FB"/>
    <w:rsid w:val="00214C6C"/>
    <w:rsid w:val="00214D5C"/>
    <w:rsid w:val="0021513C"/>
    <w:rsid w:val="00215821"/>
    <w:rsid w:val="002205D2"/>
    <w:rsid w:val="002206F9"/>
    <w:rsid w:val="002207B8"/>
    <w:rsid w:val="002209AD"/>
    <w:rsid w:val="00220A8C"/>
    <w:rsid w:val="00220D45"/>
    <w:rsid w:val="00220D87"/>
    <w:rsid w:val="00222A03"/>
    <w:rsid w:val="00223056"/>
    <w:rsid w:val="0022381C"/>
    <w:rsid w:val="0022457F"/>
    <w:rsid w:val="00224956"/>
    <w:rsid w:val="00224AD9"/>
    <w:rsid w:val="002256D4"/>
    <w:rsid w:val="00226332"/>
    <w:rsid w:val="00226920"/>
    <w:rsid w:val="00230851"/>
    <w:rsid w:val="00232679"/>
    <w:rsid w:val="00234C66"/>
    <w:rsid w:val="002351BD"/>
    <w:rsid w:val="00235941"/>
    <w:rsid w:val="0023706A"/>
    <w:rsid w:val="002379B2"/>
    <w:rsid w:val="0024077D"/>
    <w:rsid w:val="002408B4"/>
    <w:rsid w:val="00240FA4"/>
    <w:rsid w:val="00241B0E"/>
    <w:rsid w:val="002431D0"/>
    <w:rsid w:val="0024321F"/>
    <w:rsid w:val="0024324C"/>
    <w:rsid w:val="00243A3C"/>
    <w:rsid w:val="00244F21"/>
    <w:rsid w:val="00245D68"/>
    <w:rsid w:val="00245F7E"/>
    <w:rsid w:val="002477D1"/>
    <w:rsid w:val="002504C9"/>
    <w:rsid w:val="00250984"/>
    <w:rsid w:val="002510FD"/>
    <w:rsid w:val="00252523"/>
    <w:rsid w:val="00252A08"/>
    <w:rsid w:val="002530AB"/>
    <w:rsid w:val="00253219"/>
    <w:rsid w:val="002534D2"/>
    <w:rsid w:val="00254508"/>
    <w:rsid w:val="00254694"/>
    <w:rsid w:val="00254EE4"/>
    <w:rsid w:val="00255029"/>
    <w:rsid w:val="0025627E"/>
    <w:rsid w:val="00256573"/>
    <w:rsid w:val="0025658C"/>
    <w:rsid w:val="0025667B"/>
    <w:rsid w:val="00256898"/>
    <w:rsid w:val="0025728C"/>
    <w:rsid w:val="00260CAD"/>
    <w:rsid w:val="0026145E"/>
    <w:rsid w:val="00263F20"/>
    <w:rsid w:val="002641B3"/>
    <w:rsid w:val="00264461"/>
    <w:rsid w:val="002644FA"/>
    <w:rsid w:val="00264B87"/>
    <w:rsid w:val="00265BD6"/>
    <w:rsid w:val="00265D41"/>
    <w:rsid w:val="00266012"/>
    <w:rsid w:val="00266877"/>
    <w:rsid w:val="0027044D"/>
    <w:rsid w:val="0027159B"/>
    <w:rsid w:val="00271C40"/>
    <w:rsid w:val="00272412"/>
    <w:rsid w:val="00273DA0"/>
    <w:rsid w:val="00273E26"/>
    <w:rsid w:val="00273F7C"/>
    <w:rsid w:val="002745F0"/>
    <w:rsid w:val="00274DF7"/>
    <w:rsid w:val="00274E2D"/>
    <w:rsid w:val="00276ADF"/>
    <w:rsid w:val="00276EC8"/>
    <w:rsid w:val="00277B79"/>
    <w:rsid w:val="0028015D"/>
    <w:rsid w:val="00280493"/>
    <w:rsid w:val="002808DB"/>
    <w:rsid w:val="00280F7F"/>
    <w:rsid w:val="00282266"/>
    <w:rsid w:val="0028281A"/>
    <w:rsid w:val="0028298E"/>
    <w:rsid w:val="00282F01"/>
    <w:rsid w:val="00282FA9"/>
    <w:rsid w:val="00284A16"/>
    <w:rsid w:val="00285089"/>
    <w:rsid w:val="00285693"/>
    <w:rsid w:val="002867A3"/>
    <w:rsid w:val="00286BF5"/>
    <w:rsid w:val="00290B6E"/>
    <w:rsid w:val="00291BCD"/>
    <w:rsid w:val="00292905"/>
    <w:rsid w:val="00292940"/>
    <w:rsid w:val="00292A6E"/>
    <w:rsid w:val="00294E76"/>
    <w:rsid w:val="00295587"/>
    <w:rsid w:val="00295B28"/>
    <w:rsid w:val="00295B54"/>
    <w:rsid w:val="00295E77"/>
    <w:rsid w:val="0029669C"/>
    <w:rsid w:val="002A1131"/>
    <w:rsid w:val="002A2058"/>
    <w:rsid w:val="002A24CC"/>
    <w:rsid w:val="002A281B"/>
    <w:rsid w:val="002A29F6"/>
    <w:rsid w:val="002A2F35"/>
    <w:rsid w:val="002A3127"/>
    <w:rsid w:val="002A36B5"/>
    <w:rsid w:val="002A3E96"/>
    <w:rsid w:val="002A4432"/>
    <w:rsid w:val="002A484E"/>
    <w:rsid w:val="002B0296"/>
    <w:rsid w:val="002B3AA4"/>
    <w:rsid w:val="002B3ADC"/>
    <w:rsid w:val="002B7504"/>
    <w:rsid w:val="002B7947"/>
    <w:rsid w:val="002B7B88"/>
    <w:rsid w:val="002C12E9"/>
    <w:rsid w:val="002C19C2"/>
    <w:rsid w:val="002C2586"/>
    <w:rsid w:val="002C299B"/>
    <w:rsid w:val="002C30B9"/>
    <w:rsid w:val="002C3B72"/>
    <w:rsid w:val="002C4449"/>
    <w:rsid w:val="002C4F46"/>
    <w:rsid w:val="002C513C"/>
    <w:rsid w:val="002C58CB"/>
    <w:rsid w:val="002C5DBF"/>
    <w:rsid w:val="002C6B30"/>
    <w:rsid w:val="002C6C5C"/>
    <w:rsid w:val="002C6E32"/>
    <w:rsid w:val="002D000D"/>
    <w:rsid w:val="002D1464"/>
    <w:rsid w:val="002D1DF0"/>
    <w:rsid w:val="002D38F8"/>
    <w:rsid w:val="002D39BE"/>
    <w:rsid w:val="002D4B57"/>
    <w:rsid w:val="002D5D25"/>
    <w:rsid w:val="002D5E52"/>
    <w:rsid w:val="002D5F34"/>
    <w:rsid w:val="002D672B"/>
    <w:rsid w:val="002D6FB8"/>
    <w:rsid w:val="002D7661"/>
    <w:rsid w:val="002D7957"/>
    <w:rsid w:val="002D7968"/>
    <w:rsid w:val="002E0657"/>
    <w:rsid w:val="002E0B27"/>
    <w:rsid w:val="002E12DD"/>
    <w:rsid w:val="002E153C"/>
    <w:rsid w:val="002E17EA"/>
    <w:rsid w:val="002E1A78"/>
    <w:rsid w:val="002E1B85"/>
    <w:rsid w:val="002E2691"/>
    <w:rsid w:val="002E2A07"/>
    <w:rsid w:val="002E2C61"/>
    <w:rsid w:val="002E42AF"/>
    <w:rsid w:val="002E5670"/>
    <w:rsid w:val="002E573D"/>
    <w:rsid w:val="002E5978"/>
    <w:rsid w:val="002E63F2"/>
    <w:rsid w:val="002E6970"/>
    <w:rsid w:val="002E6F82"/>
    <w:rsid w:val="002F04EC"/>
    <w:rsid w:val="002F067C"/>
    <w:rsid w:val="002F2CCA"/>
    <w:rsid w:val="002F2E48"/>
    <w:rsid w:val="002F38F8"/>
    <w:rsid w:val="002F392E"/>
    <w:rsid w:val="002F39D7"/>
    <w:rsid w:val="002F40AA"/>
    <w:rsid w:val="002F4691"/>
    <w:rsid w:val="002F47E3"/>
    <w:rsid w:val="002F52F2"/>
    <w:rsid w:val="002F6F88"/>
    <w:rsid w:val="002F7D1F"/>
    <w:rsid w:val="00300EC2"/>
    <w:rsid w:val="00301278"/>
    <w:rsid w:val="00301D4D"/>
    <w:rsid w:val="0030207C"/>
    <w:rsid w:val="003029DC"/>
    <w:rsid w:val="00302EE9"/>
    <w:rsid w:val="0030301F"/>
    <w:rsid w:val="0030398F"/>
    <w:rsid w:val="003044B2"/>
    <w:rsid w:val="00305282"/>
    <w:rsid w:val="00305F57"/>
    <w:rsid w:val="003066A5"/>
    <w:rsid w:val="003068BA"/>
    <w:rsid w:val="0031030D"/>
    <w:rsid w:val="0031071B"/>
    <w:rsid w:val="00312B9A"/>
    <w:rsid w:val="00313EF7"/>
    <w:rsid w:val="00314C88"/>
    <w:rsid w:val="0031540C"/>
    <w:rsid w:val="00315F56"/>
    <w:rsid w:val="00316285"/>
    <w:rsid w:val="00316A1E"/>
    <w:rsid w:val="00316AAE"/>
    <w:rsid w:val="00316BAF"/>
    <w:rsid w:val="00316E7A"/>
    <w:rsid w:val="00317A0D"/>
    <w:rsid w:val="003204C4"/>
    <w:rsid w:val="00320623"/>
    <w:rsid w:val="00320A62"/>
    <w:rsid w:val="00320B5A"/>
    <w:rsid w:val="0032103D"/>
    <w:rsid w:val="00321E82"/>
    <w:rsid w:val="00321F9E"/>
    <w:rsid w:val="003220F0"/>
    <w:rsid w:val="003229CA"/>
    <w:rsid w:val="00324C68"/>
    <w:rsid w:val="003258ED"/>
    <w:rsid w:val="00326367"/>
    <w:rsid w:val="003268DF"/>
    <w:rsid w:val="003273E3"/>
    <w:rsid w:val="003276DA"/>
    <w:rsid w:val="00331046"/>
    <w:rsid w:val="00331C1B"/>
    <w:rsid w:val="00331F67"/>
    <w:rsid w:val="00332731"/>
    <w:rsid w:val="00333063"/>
    <w:rsid w:val="00333AA1"/>
    <w:rsid w:val="00334D1F"/>
    <w:rsid w:val="00334DA1"/>
    <w:rsid w:val="00336533"/>
    <w:rsid w:val="003368E5"/>
    <w:rsid w:val="00336C59"/>
    <w:rsid w:val="00336CA4"/>
    <w:rsid w:val="00336E26"/>
    <w:rsid w:val="00336F70"/>
    <w:rsid w:val="00340897"/>
    <w:rsid w:val="003413EB"/>
    <w:rsid w:val="00341EFC"/>
    <w:rsid w:val="00342E3A"/>
    <w:rsid w:val="003437A5"/>
    <w:rsid w:val="003444A5"/>
    <w:rsid w:val="003446D5"/>
    <w:rsid w:val="00344DE9"/>
    <w:rsid w:val="0034548F"/>
    <w:rsid w:val="00346769"/>
    <w:rsid w:val="00346966"/>
    <w:rsid w:val="00347A3F"/>
    <w:rsid w:val="003504A8"/>
    <w:rsid w:val="00350860"/>
    <w:rsid w:val="00350D78"/>
    <w:rsid w:val="00351678"/>
    <w:rsid w:val="00351D12"/>
    <w:rsid w:val="00351E69"/>
    <w:rsid w:val="00352209"/>
    <w:rsid w:val="00353D15"/>
    <w:rsid w:val="00353DDD"/>
    <w:rsid w:val="00353E54"/>
    <w:rsid w:val="00353EE5"/>
    <w:rsid w:val="0035433D"/>
    <w:rsid w:val="00354506"/>
    <w:rsid w:val="00354A7E"/>
    <w:rsid w:val="00355903"/>
    <w:rsid w:val="00355CC1"/>
    <w:rsid w:val="00355D6F"/>
    <w:rsid w:val="0035744D"/>
    <w:rsid w:val="00360B53"/>
    <w:rsid w:val="00360F7C"/>
    <w:rsid w:val="00361B6A"/>
    <w:rsid w:val="00362204"/>
    <w:rsid w:val="00362261"/>
    <w:rsid w:val="0036262C"/>
    <w:rsid w:val="00364346"/>
    <w:rsid w:val="00364B10"/>
    <w:rsid w:val="003653C4"/>
    <w:rsid w:val="0036707E"/>
    <w:rsid w:val="00367BCD"/>
    <w:rsid w:val="00367E85"/>
    <w:rsid w:val="00370D63"/>
    <w:rsid w:val="00372DA6"/>
    <w:rsid w:val="00372FD8"/>
    <w:rsid w:val="00373370"/>
    <w:rsid w:val="00373642"/>
    <w:rsid w:val="00373D23"/>
    <w:rsid w:val="00374276"/>
    <w:rsid w:val="003743D2"/>
    <w:rsid w:val="00374A2C"/>
    <w:rsid w:val="003769ED"/>
    <w:rsid w:val="00377AAF"/>
    <w:rsid w:val="00377B7C"/>
    <w:rsid w:val="003805EA"/>
    <w:rsid w:val="0038078F"/>
    <w:rsid w:val="00381816"/>
    <w:rsid w:val="00381FA2"/>
    <w:rsid w:val="00382F35"/>
    <w:rsid w:val="003833F1"/>
    <w:rsid w:val="003858B8"/>
    <w:rsid w:val="0038590D"/>
    <w:rsid w:val="003862B5"/>
    <w:rsid w:val="003863EE"/>
    <w:rsid w:val="00386639"/>
    <w:rsid w:val="00386E15"/>
    <w:rsid w:val="00392533"/>
    <w:rsid w:val="00392EC5"/>
    <w:rsid w:val="0039304A"/>
    <w:rsid w:val="00393785"/>
    <w:rsid w:val="0039399C"/>
    <w:rsid w:val="00394A9F"/>
    <w:rsid w:val="00395497"/>
    <w:rsid w:val="00395705"/>
    <w:rsid w:val="0039629C"/>
    <w:rsid w:val="003A0752"/>
    <w:rsid w:val="003A1E6A"/>
    <w:rsid w:val="003A2904"/>
    <w:rsid w:val="003A2FA9"/>
    <w:rsid w:val="003A37FA"/>
    <w:rsid w:val="003A381E"/>
    <w:rsid w:val="003A41AF"/>
    <w:rsid w:val="003A5350"/>
    <w:rsid w:val="003A721D"/>
    <w:rsid w:val="003A74B1"/>
    <w:rsid w:val="003A7F2C"/>
    <w:rsid w:val="003B057A"/>
    <w:rsid w:val="003B08F3"/>
    <w:rsid w:val="003B0BB7"/>
    <w:rsid w:val="003B1C24"/>
    <w:rsid w:val="003B3C72"/>
    <w:rsid w:val="003B3D7D"/>
    <w:rsid w:val="003B4A42"/>
    <w:rsid w:val="003B4DD9"/>
    <w:rsid w:val="003B6942"/>
    <w:rsid w:val="003B6F80"/>
    <w:rsid w:val="003B73F6"/>
    <w:rsid w:val="003B7C4E"/>
    <w:rsid w:val="003C151D"/>
    <w:rsid w:val="003C1650"/>
    <w:rsid w:val="003C3C9A"/>
    <w:rsid w:val="003C433E"/>
    <w:rsid w:val="003C4F61"/>
    <w:rsid w:val="003C4F64"/>
    <w:rsid w:val="003C505E"/>
    <w:rsid w:val="003C5C2F"/>
    <w:rsid w:val="003C60B8"/>
    <w:rsid w:val="003C61E7"/>
    <w:rsid w:val="003C659F"/>
    <w:rsid w:val="003C6602"/>
    <w:rsid w:val="003C71F6"/>
    <w:rsid w:val="003C7882"/>
    <w:rsid w:val="003D060E"/>
    <w:rsid w:val="003D184B"/>
    <w:rsid w:val="003D2473"/>
    <w:rsid w:val="003D2AC2"/>
    <w:rsid w:val="003D444E"/>
    <w:rsid w:val="003D53E2"/>
    <w:rsid w:val="003D579C"/>
    <w:rsid w:val="003D6539"/>
    <w:rsid w:val="003E017A"/>
    <w:rsid w:val="003E01ED"/>
    <w:rsid w:val="003E165C"/>
    <w:rsid w:val="003E2826"/>
    <w:rsid w:val="003E3D7B"/>
    <w:rsid w:val="003E42F0"/>
    <w:rsid w:val="003E470A"/>
    <w:rsid w:val="003E4CAA"/>
    <w:rsid w:val="003E533B"/>
    <w:rsid w:val="003E59D1"/>
    <w:rsid w:val="003E5B5E"/>
    <w:rsid w:val="003E6485"/>
    <w:rsid w:val="003E6935"/>
    <w:rsid w:val="003E6AF6"/>
    <w:rsid w:val="003E71D8"/>
    <w:rsid w:val="003E7B51"/>
    <w:rsid w:val="003F0765"/>
    <w:rsid w:val="003F0C01"/>
    <w:rsid w:val="003F16CE"/>
    <w:rsid w:val="003F1FD2"/>
    <w:rsid w:val="003F2377"/>
    <w:rsid w:val="003F23FD"/>
    <w:rsid w:val="003F2C97"/>
    <w:rsid w:val="003F3001"/>
    <w:rsid w:val="003F4F7D"/>
    <w:rsid w:val="003F5C0B"/>
    <w:rsid w:val="003F6337"/>
    <w:rsid w:val="003F6971"/>
    <w:rsid w:val="003F73E8"/>
    <w:rsid w:val="00401ECF"/>
    <w:rsid w:val="00401F08"/>
    <w:rsid w:val="004020D3"/>
    <w:rsid w:val="0040232B"/>
    <w:rsid w:val="00402B54"/>
    <w:rsid w:val="00402B7B"/>
    <w:rsid w:val="004042C6"/>
    <w:rsid w:val="0040495A"/>
    <w:rsid w:val="00404F36"/>
    <w:rsid w:val="0040592C"/>
    <w:rsid w:val="00405B54"/>
    <w:rsid w:val="00406A9A"/>
    <w:rsid w:val="00406CCF"/>
    <w:rsid w:val="00407524"/>
    <w:rsid w:val="00407D06"/>
    <w:rsid w:val="004103CC"/>
    <w:rsid w:val="004106C0"/>
    <w:rsid w:val="004119AA"/>
    <w:rsid w:val="00412274"/>
    <w:rsid w:val="00413A80"/>
    <w:rsid w:val="004144E8"/>
    <w:rsid w:val="00414D28"/>
    <w:rsid w:val="00415F75"/>
    <w:rsid w:val="00421563"/>
    <w:rsid w:val="00421DDA"/>
    <w:rsid w:val="004221D9"/>
    <w:rsid w:val="0042374D"/>
    <w:rsid w:val="00427242"/>
    <w:rsid w:val="00427557"/>
    <w:rsid w:val="00427641"/>
    <w:rsid w:val="00427D35"/>
    <w:rsid w:val="0043144B"/>
    <w:rsid w:val="004319FB"/>
    <w:rsid w:val="00432C6E"/>
    <w:rsid w:val="00433E0F"/>
    <w:rsid w:val="004352BC"/>
    <w:rsid w:val="004364CA"/>
    <w:rsid w:val="00437F52"/>
    <w:rsid w:val="00440335"/>
    <w:rsid w:val="004407EE"/>
    <w:rsid w:val="00440F6A"/>
    <w:rsid w:val="004422D3"/>
    <w:rsid w:val="004431CA"/>
    <w:rsid w:val="00443422"/>
    <w:rsid w:val="00444689"/>
    <w:rsid w:val="0044488C"/>
    <w:rsid w:val="00444F19"/>
    <w:rsid w:val="0044574A"/>
    <w:rsid w:val="00445851"/>
    <w:rsid w:val="004464F0"/>
    <w:rsid w:val="00447477"/>
    <w:rsid w:val="00447BEE"/>
    <w:rsid w:val="0045179B"/>
    <w:rsid w:val="00451E2E"/>
    <w:rsid w:val="00452591"/>
    <w:rsid w:val="00453F3F"/>
    <w:rsid w:val="00454D66"/>
    <w:rsid w:val="00455EF2"/>
    <w:rsid w:val="00456131"/>
    <w:rsid w:val="004562C2"/>
    <w:rsid w:val="004568C0"/>
    <w:rsid w:val="00456C4A"/>
    <w:rsid w:val="00457AC8"/>
    <w:rsid w:val="004607BF"/>
    <w:rsid w:val="004617F4"/>
    <w:rsid w:val="00463092"/>
    <w:rsid w:val="00463B7D"/>
    <w:rsid w:val="004641C0"/>
    <w:rsid w:val="00464200"/>
    <w:rsid w:val="004647A9"/>
    <w:rsid w:val="0046515D"/>
    <w:rsid w:val="00465C36"/>
    <w:rsid w:val="00466081"/>
    <w:rsid w:val="004664C2"/>
    <w:rsid w:val="00466B17"/>
    <w:rsid w:val="004714D7"/>
    <w:rsid w:val="004715AF"/>
    <w:rsid w:val="0047344E"/>
    <w:rsid w:val="00474236"/>
    <w:rsid w:val="00476933"/>
    <w:rsid w:val="00476942"/>
    <w:rsid w:val="00476D2D"/>
    <w:rsid w:val="004774E0"/>
    <w:rsid w:val="00477920"/>
    <w:rsid w:val="00477E68"/>
    <w:rsid w:val="004802DF"/>
    <w:rsid w:val="00480555"/>
    <w:rsid w:val="00481B61"/>
    <w:rsid w:val="0048251C"/>
    <w:rsid w:val="0048424E"/>
    <w:rsid w:val="004842A3"/>
    <w:rsid w:val="004842C7"/>
    <w:rsid w:val="0048644A"/>
    <w:rsid w:val="004865AC"/>
    <w:rsid w:val="00486E77"/>
    <w:rsid w:val="00487930"/>
    <w:rsid w:val="00490A93"/>
    <w:rsid w:val="00490B24"/>
    <w:rsid w:val="00490EF4"/>
    <w:rsid w:val="0049127E"/>
    <w:rsid w:val="0049252D"/>
    <w:rsid w:val="004936CF"/>
    <w:rsid w:val="004943ED"/>
    <w:rsid w:val="0049559C"/>
    <w:rsid w:val="00495F16"/>
    <w:rsid w:val="00496E64"/>
    <w:rsid w:val="00497860"/>
    <w:rsid w:val="00497D58"/>
    <w:rsid w:val="004A006C"/>
    <w:rsid w:val="004A1E45"/>
    <w:rsid w:val="004A20D7"/>
    <w:rsid w:val="004A3ABA"/>
    <w:rsid w:val="004A4C06"/>
    <w:rsid w:val="004A5396"/>
    <w:rsid w:val="004A5591"/>
    <w:rsid w:val="004A59F9"/>
    <w:rsid w:val="004A685B"/>
    <w:rsid w:val="004A71A1"/>
    <w:rsid w:val="004A7DE6"/>
    <w:rsid w:val="004B12A4"/>
    <w:rsid w:val="004B1BDD"/>
    <w:rsid w:val="004B20FD"/>
    <w:rsid w:val="004B2E7C"/>
    <w:rsid w:val="004B373D"/>
    <w:rsid w:val="004B3D42"/>
    <w:rsid w:val="004B43A8"/>
    <w:rsid w:val="004B67AA"/>
    <w:rsid w:val="004B6BA3"/>
    <w:rsid w:val="004B6C2A"/>
    <w:rsid w:val="004B7742"/>
    <w:rsid w:val="004B7883"/>
    <w:rsid w:val="004C068E"/>
    <w:rsid w:val="004C0702"/>
    <w:rsid w:val="004C0B42"/>
    <w:rsid w:val="004C0C2A"/>
    <w:rsid w:val="004C0CC6"/>
    <w:rsid w:val="004C0E52"/>
    <w:rsid w:val="004C0FDF"/>
    <w:rsid w:val="004C1A62"/>
    <w:rsid w:val="004C20CD"/>
    <w:rsid w:val="004C2F65"/>
    <w:rsid w:val="004C3200"/>
    <w:rsid w:val="004C3255"/>
    <w:rsid w:val="004C3FA4"/>
    <w:rsid w:val="004C4BFF"/>
    <w:rsid w:val="004C5FBF"/>
    <w:rsid w:val="004C7358"/>
    <w:rsid w:val="004C7F99"/>
    <w:rsid w:val="004D00D3"/>
    <w:rsid w:val="004D0351"/>
    <w:rsid w:val="004D0841"/>
    <w:rsid w:val="004D0C35"/>
    <w:rsid w:val="004D0F5B"/>
    <w:rsid w:val="004D10D1"/>
    <w:rsid w:val="004D1ADF"/>
    <w:rsid w:val="004D2085"/>
    <w:rsid w:val="004D31C5"/>
    <w:rsid w:val="004D36DE"/>
    <w:rsid w:val="004D3D24"/>
    <w:rsid w:val="004D4033"/>
    <w:rsid w:val="004D467A"/>
    <w:rsid w:val="004D4AC9"/>
    <w:rsid w:val="004D4C95"/>
    <w:rsid w:val="004D519C"/>
    <w:rsid w:val="004D5C61"/>
    <w:rsid w:val="004D5D00"/>
    <w:rsid w:val="004D7337"/>
    <w:rsid w:val="004D7BB5"/>
    <w:rsid w:val="004D7F99"/>
    <w:rsid w:val="004E02DE"/>
    <w:rsid w:val="004E0A78"/>
    <w:rsid w:val="004E0BDF"/>
    <w:rsid w:val="004E1BEF"/>
    <w:rsid w:val="004E220C"/>
    <w:rsid w:val="004E2512"/>
    <w:rsid w:val="004E28F9"/>
    <w:rsid w:val="004E2987"/>
    <w:rsid w:val="004E33FF"/>
    <w:rsid w:val="004E3E19"/>
    <w:rsid w:val="004E455F"/>
    <w:rsid w:val="004E45DE"/>
    <w:rsid w:val="004E467A"/>
    <w:rsid w:val="004E4DCA"/>
    <w:rsid w:val="004E5716"/>
    <w:rsid w:val="004E5BC7"/>
    <w:rsid w:val="004E5DF6"/>
    <w:rsid w:val="004E6E88"/>
    <w:rsid w:val="004E75F0"/>
    <w:rsid w:val="004E7873"/>
    <w:rsid w:val="004E7E9D"/>
    <w:rsid w:val="004F08B3"/>
    <w:rsid w:val="004F2893"/>
    <w:rsid w:val="004F2C81"/>
    <w:rsid w:val="004F561A"/>
    <w:rsid w:val="004F5B67"/>
    <w:rsid w:val="004F5F2A"/>
    <w:rsid w:val="004F6A80"/>
    <w:rsid w:val="004F7785"/>
    <w:rsid w:val="005004B6"/>
    <w:rsid w:val="00500835"/>
    <w:rsid w:val="00500874"/>
    <w:rsid w:val="00500922"/>
    <w:rsid w:val="00501B4D"/>
    <w:rsid w:val="005025EB"/>
    <w:rsid w:val="00504ECD"/>
    <w:rsid w:val="00505F3B"/>
    <w:rsid w:val="00506908"/>
    <w:rsid w:val="00506982"/>
    <w:rsid w:val="005069BB"/>
    <w:rsid w:val="00506DD4"/>
    <w:rsid w:val="00510781"/>
    <w:rsid w:val="00510B2F"/>
    <w:rsid w:val="00511542"/>
    <w:rsid w:val="00512A54"/>
    <w:rsid w:val="00512D4D"/>
    <w:rsid w:val="00513120"/>
    <w:rsid w:val="00513617"/>
    <w:rsid w:val="005137A1"/>
    <w:rsid w:val="00513F98"/>
    <w:rsid w:val="00514865"/>
    <w:rsid w:val="00514C1D"/>
    <w:rsid w:val="00514CC9"/>
    <w:rsid w:val="00514CE2"/>
    <w:rsid w:val="00517895"/>
    <w:rsid w:val="00517E90"/>
    <w:rsid w:val="005209BD"/>
    <w:rsid w:val="0052153D"/>
    <w:rsid w:val="005216C4"/>
    <w:rsid w:val="00523292"/>
    <w:rsid w:val="00523793"/>
    <w:rsid w:val="00524686"/>
    <w:rsid w:val="00524A4B"/>
    <w:rsid w:val="00525187"/>
    <w:rsid w:val="0052626A"/>
    <w:rsid w:val="00526978"/>
    <w:rsid w:val="00531315"/>
    <w:rsid w:val="005313B2"/>
    <w:rsid w:val="00531561"/>
    <w:rsid w:val="00531618"/>
    <w:rsid w:val="00531A64"/>
    <w:rsid w:val="0053298A"/>
    <w:rsid w:val="005332DD"/>
    <w:rsid w:val="00533E9F"/>
    <w:rsid w:val="00534D9F"/>
    <w:rsid w:val="00535ABA"/>
    <w:rsid w:val="00537030"/>
    <w:rsid w:val="005405DA"/>
    <w:rsid w:val="00540A6A"/>
    <w:rsid w:val="00540C7A"/>
    <w:rsid w:val="005418DA"/>
    <w:rsid w:val="00542010"/>
    <w:rsid w:val="00542A22"/>
    <w:rsid w:val="00543A58"/>
    <w:rsid w:val="00544900"/>
    <w:rsid w:val="00545332"/>
    <w:rsid w:val="00545557"/>
    <w:rsid w:val="00545F21"/>
    <w:rsid w:val="00546F7B"/>
    <w:rsid w:val="0054770F"/>
    <w:rsid w:val="00550400"/>
    <w:rsid w:val="00551410"/>
    <w:rsid w:val="005515EB"/>
    <w:rsid w:val="005546B0"/>
    <w:rsid w:val="00555410"/>
    <w:rsid w:val="005563EC"/>
    <w:rsid w:val="00557CF3"/>
    <w:rsid w:val="0056021E"/>
    <w:rsid w:val="00560344"/>
    <w:rsid w:val="0056190F"/>
    <w:rsid w:val="005619AD"/>
    <w:rsid w:val="00561EE9"/>
    <w:rsid w:val="005620C6"/>
    <w:rsid w:val="005624AD"/>
    <w:rsid w:val="00562895"/>
    <w:rsid w:val="005628A9"/>
    <w:rsid w:val="0056388C"/>
    <w:rsid w:val="00564764"/>
    <w:rsid w:val="0056487C"/>
    <w:rsid w:val="00564920"/>
    <w:rsid w:val="00564C77"/>
    <w:rsid w:val="00566F63"/>
    <w:rsid w:val="005678BD"/>
    <w:rsid w:val="00567C5E"/>
    <w:rsid w:val="00567DA5"/>
    <w:rsid w:val="00567E20"/>
    <w:rsid w:val="0057018F"/>
    <w:rsid w:val="00570783"/>
    <w:rsid w:val="00570CD1"/>
    <w:rsid w:val="005722F6"/>
    <w:rsid w:val="005725C5"/>
    <w:rsid w:val="0057290A"/>
    <w:rsid w:val="00572B99"/>
    <w:rsid w:val="005731F9"/>
    <w:rsid w:val="00573544"/>
    <w:rsid w:val="00573CDB"/>
    <w:rsid w:val="005745D7"/>
    <w:rsid w:val="005755C2"/>
    <w:rsid w:val="0057583C"/>
    <w:rsid w:val="00575908"/>
    <w:rsid w:val="00575D25"/>
    <w:rsid w:val="00577BA0"/>
    <w:rsid w:val="00581759"/>
    <w:rsid w:val="00583B09"/>
    <w:rsid w:val="0058645F"/>
    <w:rsid w:val="0058657D"/>
    <w:rsid w:val="00586856"/>
    <w:rsid w:val="00586DE5"/>
    <w:rsid w:val="00590BC5"/>
    <w:rsid w:val="00591155"/>
    <w:rsid w:val="00591231"/>
    <w:rsid w:val="00591728"/>
    <w:rsid w:val="00592042"/>
    <w:rsid w:val="0059281B"/>
    <w:rsid w:val="00592B7D"/>
    <w:rsid w:val="00593D03"/>
    <w:rsid w:val="00593E9E"/>
    <w:rsid w:val="00594108"/>
    <w:rsid w:val="005943A9"/>
    <w:rsid w:val="005959BC"/>
    <w:rsid w:val="005965C9"/>
    <w:rsid w:val="00597A9D"/>
    <w:rsid w:val="005A0494"/>
    <w:rsid w:val="005A0AAA"/>
    <w:rsid w:val="005A0F46"/>
    <w:rsid w:val="005A12CB"/>
    <w:rsid w:val="005A1F5A"/>
    <w:rsid w:val="005A2EDE"/>
    <w:rsid w:val="005A3306"/>
    <w:rsid w:val="005A35F8"/>
    <w:rsid w:val="005A5065"/>
    <w:rsid w:val="005A62B1"/>
    <w:rsid w:val="005A694C"/>
    <w:rsid w:val="005A6C71"/>
    <w:rsid w:val="005A755F"/>
    <w:rsid w:val="005A76BA"/>
    <w:rsid w:val="005A7E96"/>
    <w:rsid w:val="005A7FB3"/>
    <w:rsid w:val="005B01AE"/>
    <w:rsid w:val="005B0B5C"/>
    <w:rsid w:val="005B240B"/>
    <w:rsid w:val="005B35AF"/>
    <w:rsid w:val="005B3731"/>
    <w:rsid w:val="005B4BE9"/>
    <w:rsid w:val="005B4C5A"/>
    <w:rsid w:val="005B67D6"/>
    <w:rsid w:val="005B78F0"/>
    <w:rsid w:val="005B7A0D"/>
    <w:rsid w:val="005B7A43"/>
    <w:rsid w:val="005B7C50"/>
    <w:rsid w:val="005C030A"/>
    <w:rsid w:val="005C0E87"/>
    <w:rsid w:val="005C1389"/>
    <w:rsid w:val="005C2931"/>
    <w:rsid w:val="005C3B09"/>
    <w:rsid w:val="005C45C8"/>
    <w:rsid w:val="005C47C1"/>
    <w:rsid w:val="005C50FF"/>
    <w:rsid w:val="005C5600"/>
    <w:rsid w:val="005C61F8"/>
    <w:rsid w:val="005C6B49"/>
    <w:rsid w:val="005C6F24"/>
    <w:rsid w:val="005D04E6"/>
    <w:rsid w:val="005D0DC0"/>
    <w:rsid w:val="005D11F3"/>
    <w:rsid w:val="005D2ACD"/>
    <w:rsid w:val="005D2B56"/>
    <w:rsid w:val="005D2DD9"/>
    <w:rsid w:val="005D2E4B"/>
    <w:rsid w:val="005D42C8"/>
    <w:rsid w:val="005D497D"/>
    <w:rsid w:val="005D4F12"/>
    <w:rsid w:val="005D506C"/>
    <w:rsid w:val="005D591F"/>
    <w:rsid w:val="005D5C03"/>
    <w:rsid w:val="005D71B0"/>
    <w:rsid w:val="005E017D"/>
    <w:rsid w:val="005E0679"/>
    <w:rsid w:val="005E10A2"/>
    <w:rsid w:val="005E1CC5"/>
    <w:rsid w:val="005E24CA"/>
    <w:rsid w:val="005E2F0C"/>
    <w:rsid w:val="005E48C5"/>
    <w:rsid w:val="005E4D6D"/>
    <w:rsid w:val="005E5056"/>
    <w:rsid w:val="005E56C7"/>
    <w:rsid w:val="005E6A9B"/>
    <w:rsid w:val="005E78BE"/>
    <w:rsid w:val="005F04F3"/>
    <w:rsid w:val="005F0D15"/>
    <w:rsid w:val="005F128F"/>
    <w:rsid w:val="005F448F"/>
    <w:rsid w:val="005F4CE2"/>
    <w:rsid w:val="005F5933"/>
    <w:rsid w:val="005F5C5E"/>
    <w:rsid w:val="005F5DC8"/>
    <w:rsid w:val="005F61E2"/>
    <w:rsid w:val="00600792"/>
    <w:rsid w:val="00600E2C"/>
    <w:rsid w:val="00602CC4"/>
    <w:rsid w:val="006034CD"/>
    <w:rsid w:val="006039B2"/>
    <w:rsid w:val="00603B57"/>
    <w:rsid w:val="00604443"/>
    <w:rsid w:val="006045C1"/>
    <w:rsid w:val="00605903"/>
    <w:rsid w:val="0060731A"/>
    <w:rsid w:val="00607BDF"/>
    <w:rsid w:val="0061058B"/>
    <w:rsid w:val="00610754"/>
    <w:rsid w:val="00611061"/>
    <w:rsid w:val="00611B74"/>
    <w:rsid w:val="00611E2B"/>
    <w:rsid w:val="006132CB"/>
    <w:rsid w:val="006146F5"/>
    <w:rsid w:val="0061476E"/>
    <w:rsid w:val="00614EEB"/>
    <w:rsid w:val="00615489"/>
    <w:rsid w:val="00617229"/>
    <w:rsid w:val="00617EF0"/>
    <w:rsid w:val="00620819"/>
    <w:rsid w:val="006209ED"/>
    <w:rsid w:val="00620C3F"/>
    <w:rsid w:val="00620D53"/>
    <w:rsid w:val="0062134D"/>
    <w:rsid w:val="0062263F"/>
    <w:rsid w:val="00623CFF"/>
    <w:rsid w:val="00624420"/>
    <w:rsid w:val="0062486F"/>
    <w:rsid w:val="0062531B"/>
    <w:rsid w:val="0062597D"/>
    <w:rsid w:val="0062599B"/>
    <w:rsid w:val="00625B0E"/>
    <w:rsid w:val="00626012"/>
    <w:rsid w:val="00626D18"/>
    <w:rsid w:val="0062722F"/>
    <w:rsid w:val="00627281"/>
    <w:rsid w:val="00627739"/>
    <w:rsid w:val="006278CC"/>
    <w:rsid w:val="00627A8B"/>
    <w:rsid w:val="00630AE8"/>
    <w:rsid w:val="00630DF5"/>
    <w:rsid w:val="00634722"/>
    <w:rsid w:val="00636C55"/>
    <w:rsid w:val="0063750F"/>
    <w:rsid w:val="00641054"/>
    <w:rsid w:val="00641368"/>
    <w:rsid w:val="00643F5C"/>
    <w:rsid w:val="006455ED"/>
    <w:rsid w:val="00645C0F"/>
    <w:rsid w:val="00646D39"/>
    <w:rsid w:val="00646FBF"/>
    <w:rsid w:val="0064747C"/>
    <w:rsid w:val="00650462"/>
    <w:rsid w:val="006515EA"/>
    <w:rsid w:val="00651953"/>
    <w:rsid w:val="00652745"/>
    <w:rsid w:val="006534BB"/>
    <w:rsid w:val="00653EB8"/>
    <w:rsid w:val="00654EA2"/>
    <w:rsid w:val="006559FA"/>
    <w:rsid w:val="00656A10"/>
    <w:rsid w:val="00657137"/>
    <w:rsid w:val="00657E85"/>
    <w:rsid w:val="00660584"/>
    <w:rsid w:val="00661BDA"/>
    <w:rsid w:val="0066314B"/>
    <w:rsid w:val="00664223"/>
    <w:rsid w:val="006646BC"/>
    <w:rsid w:val="00665CAA"/>
    <w:rsid w:val="006660E5"/>
    <w:rsid w:val="0066787A"/>
    <w:rsid w:val="00667AD8"/>
    <w:rsid w:val="00670475"/>
    <w:rsid w:val="00672F0F"/>
    <w:rsid w:val="00673852"/>
    <w:rsid w:val="00674106"/>
    <w:rsid w:val="006743D9"/>
    <w:rsid w:val="006745EC"/>
    <w:rsid w:val="006749DD"/>
    <w:rsid w:val="00674A53"/>
    <w:rsid w:val="00675883"/>
    <w:rsid w:val="0067671A"/>
    <w:rsid w:val="00676A15"/>
    <w:rsid w:val="0067713B"/>
    <w:rsid w:val="00677461"/>
    <w:rsid w:val="006801F1"/>
    <w:rsid w:val="00681629"/>
    <w:rsid w:val="0068191C"/>
    <w:rsid w:val="00681987"/>
    <w:rsid w:val="00681F74"/>
    <w:rsid w:val="0068270B"/>
    <w:rsid w:val="00682B07"/>
    <w:rsid w:val="00682C5D"/>
    <w:rsid w:val="00683C68"/>
    <w:rsid w:val="00685CEB"/>
    <w:rsid w:val="00686950"/>
    <w:rsid w:val="00690B63"/>
    <w:rsid w:val="00690CC1"/>
    <w:rsid w:val="0069160B"/>
    <w:rsid w:val="00691B0A"/>
    <w:rsid w:val="00691CE4"/>
    <w:rsid w:val="006925D0"/>
    <w:rsid w:val="006938BF"/>
    <w:rsid w:val="006941ED"/>
    <w:rsid w:val="00694846"/>
    <w:rsid w:val="006961B8"/>
    <w:rsid w:val="00696ACA"/>
    <w:rsid w:val="00696DD8"/>
    <w:rsid w:val="00697194"/>
    <w:rsid w:val="00697C2A"/>
    <w:rsid w:val="006A00FD"/>
    <w:rsid w:val="006A126D"/>
    <w:rsid w:val="006A25CB"/>
    <w:rsid w:val="006A3027"/>
    <w:rsid w:val="006A3474"/>
    <w:rsid w:val="006A3666"/>
    <w:rsid w:val="006A5350"/>
    <w:rsid w:val="006A5722"/>
    <w:rsid w:val="006A6414"/>
    <w:rsid w:val="006B02A5"/>
    <w:rsid w:val="006B0436"/>
    <w:rsid w:val="006B128D"/>
    <w:rsid w:val="006B18D9"/>
    <w:rsid w:val="006B1A96"/>
    <w:rsid w:val="006B1C1C"/>
    <w:rsid w:val="006B23EA"/>
    <w:rsid w:val="006B2AC5"/>
    <w:rsid w:val="006B2B48"/>
    <w:rsid w:val="006B3332"/>
    <w:rsid w:val="006B466A"/>
    <w:rsid w:val="006B49F7"/>
    <w:rsid w:val="006B50D0"/>
    <w:rsid w:val="006B731F"/>
    <w:rsid w:val="006B78DA"/>
    <w:rsid w:val="006B79C2"/>
    <w:rsid w:val="006B7F7C"/>
    <w:rsid w:val="006C031E"/>
    <w:rsid w:val="006C19DB"/>
    <w:rsid w:val="006C26F1"/>
    <w:rsid w:val="006C2721"/>
    <w:rsid w:val="006C3447"/>
    <w:rsid w:val="006C3474"/>
    <w:rsid w:val="006C491E"/>
    <w:rsid w:val="006C4AFE"/>
    <w:rsid w:val="006C5AB5"/>
    <w:rsid w:val="006C5EF8"/>
    <w:rsid w:val="006C771D"/>
    <w:rsid w:val="006C792B"/>
    <w:rsid w:val="006C7F58"/>
    <w:rsid w:val="006D095B"/>
    <w:rsid w:val="006D0D22"/>
    <w:rsid w:val="006D131A"/>
    <w:rsid w:val="006D1871"/>
    <w:rsid w:val="006D18DB"/>
    <w:rsid w:val="006D1EB0"/>
    <w:rsid w:val="006D1F13"/>
    <w:rsid w:val="006D2686"/>
    <w:rsid w:val="006D3DD9"/>
    <w:rsid w:val="006D404B"/>
    <w:rsid w:val="006D4956"/>
    <w:rsid w:val="006D4ED4"/>
    <w:rsid w:val="006D5549"/>
    <w:rsid w:val="006D61EF"/>
    <w:rsid w:val="006D7530"/>
    <w:rsid w:val="006D78E5"/>
    <w:rsid w:val="006E1777"/>
    <w:rsid w:val="006E2A45"/>
    <w:rsid w:val="006E2F64"/>
    <w:rsid w:val="006E4064"/>
    <w:rsid w:val="006E6B6A"/>
    <w:rsid w:val="006F049F"/>
    <w:rsid w:val="006F0F7C"/>
    <w:rsid w:val="006F15EF"/>
    <w:rsid w:val="006F3A4B"/>
    <w:rsid w:val="006F430E"/>
    <w:rsid w:val="006F45B1"/>
    <w:rsid w:val="006F4A53"/>
    <w:rsid w:val="006F4A55"/>
    <w:rsid w:val="006F5105"/>
    <w:rsid w:val="006F5DC7"/>
    <w:rsid w:val="006F6DF2"/>
    <w:rsid w:val="006F760F"/>
    <w:rsid w:val="006F7F39"/>
    <w:rsid w:val="00700DE1"/>
    <w:rsid w:val="00702312"/>
    <w:rsid w:val="00702645"/>
    <w:rsid w:val="007031B0"/>
    <w:rsid w:val="00703B47"/>
    <w:rsid w:val="007041E0"/>
    <w:rsid w:val="007047C1"/>
    <w:rsid w:val="00706745"/>
    <w:rsid w:val="007078B8"/>
    <w:rsid w:val="00707D7E"/>
    <w:rsid w:val="00707E0E"/>
    <w:rsid w:val="00711166"/>
    <w:rsid w:val="007112ED"/>
    <w:rsid w:val="0071147E"/>
    <w:rsid w:val="00711A7D"/>
    <w:rsid w:val="00712046"/>
    <w:rsid w:val="00712153"/>
    <w:rsid w:val="00712F7B"/>
    <w:rsid w:val="007132AC"/>
    <w:rsid w:val="0071370E"/>
    <w:rsid w:val="00714B59"/>
    <w:rsid w:val="00714F27"/>
    <w:rsid w:val="0071594F"/>
    <w:rsid w:val="0071597F"/>
    <w:rsid w:val="00715A82"/>
    <w:rsid w:val="0072014D"/>
    <w:rsid w:val="0072038D"/>
    <w:rsid w:val="00720CAB"/>
    <w:rsid w:val="0072158E"/>
    <w:rsid w:val="0072287B"/>
    <w:rsid w:val="00722A16"/>
    <w:rsid w:val="007233DD"/>
    <w:rsid w:val="00724597"/>
    <w:rsid w:val="007248CC"/>
    <w:rsid w:val="0072565A"/>
    <w:rsid w:val="00725EFC"/>
    <w:rsid w:val="00726D10"/>
    <w:rsid w:val="00726FC7"/>
    <w:rsid w:val="00727BA4"/>
    <w:rsid w:val="00730176"/>
    <w:rsid w:val="00730D32"/>
    <w:rsid w:val="0073218C"/>
    <w:rsid w:val="00734591"/>
    <w:rsid w:val="00734D17"/>
    <w:rsid w:val="00736040"/>
    <w:rsid w:val="00736460"/>
    <w:rsid w:val="00736A16"/>
    <w:rsid w:val="007379A4"/>
    <w:rsid w:val="00741115"/>
    <w:rsid w:val="00741881"/>
    <w:rsid w:val="007422CA"/>
    <w:rsid w:val="00742AAE"/>
    <w:rsid w:val="007431C0"/>
    <w:rsid w:val="007433A0"/>
    <w:rsid w:val="00743497"/>
    <w:rsid w:val="00744024"/>
    <w:rsid w:val="00745418"/>
    <w:rsid w:val="0074550B"/>
    <w:rsid w:val="00746AB5"/>
    <w:rsid w:val="00747C4C"/>
    <w:rsid w:val="00747CC0"/>
    <w:rsid w:val="0075035D"/>
    <w:rsid w:val="0075075D"/>
    <w:rsid w:val="007507CD"/>
    <w:rsid w:val="0075148E"/>
    <w:rsid w:val="00752272"/>
    <w:rsid w:val="0075302B"/>
    <w:rsid w:val="007533BB"/>
    <w:rsid w:val="007533E7"/>
    <w:rsid w:val="00753BB7"/>
    <w:rsid w:val="00753C7D"/>
    <w:rsid w:val="00754C97"/>
    <w:rsid w:val="00755664"/>
    <w:rsid w:val="007558D4"/>
    <w:rsid w:val="00756964"/>
    <w:rsid w:val="00756965"/>
    <w:rsid w:val="00757193"/>
    <w:rsid w:val="00757CB1"/>
    <w:rsid w:val="007602A3"/>
    <w:rsid w:val="00761C1C"/>
    <w:rsid w:val="00762AD9"/>
    <w:rsid w:val="007639AD"/>
    <w:rsid w:val="00763EAB"/>
    <w:rsid w:val="00764C56"/>
    <w:rsid w:val="007655A7"/>
    <w:rsid w:val="00765D67"/>
    <w:rsid w:val="0076617C"/>
    <w:rsid w:val="00766C78"/>
    <w:rsid w:val="00766CD8"/>
    <w:rsid w:val="00766F5A"/>
    <w:rsid w:val="00770588"/>
    <w:rsid w:val="00770C04"/>
    <w:rsid w:val="00772A58"/>
    <w:rsid w:val="00773183"/>
    <w:rsid w:val="0077353F"/>
    <w:rsid w:val="00773C75"/>
    <w:rsid w:val="00774290"/>
    <w:rsid w:val="007747B4"/>
    <w:rsid w:val="0077552A"/>
    <w:rsid w:val="00775BE6"/>
    <w:rsid w:val="00775DB4"/>
    <w:rsid w:val="007762FB"/>
    <w:rsid w:val="007764D8"/>
    <w:rsid w:val="00776841"/>
    <w:rsid w:val="00777DE2"/>
    <w:rsid w:val="00777F80"/>
    <w:rsid w:val="007807C8"/>
    <w:rsid w:val="00781EEE"/>
    <w:rsid w:val="007844C2"/>
    <w:rsid w:val="00784825"/>
    <w:rsid w:val="0078499B"/>
    <w:rsid w:val="00784DE4"/>
    <w:rsid w:val="00785DE9"/>
    <w:rsid w:val="007869E3"/>
    <w:rsid w:val="00786F21"/>
    <w:rsid w:val="007876BD"/>
    <w:rsid w:val="00787CC9"/>
    <w:rsid w:val="007900C4"/>
    <w:rsid w:val="00790E46"/>
    <w:rsid w:val="0079103F"/>
    <w:rsid w:val="007920F3"/>
    <w:rsid w:val="0079219B"/>
    <w:rsid w:val="00792FBA"/>
    <w:rsid w:val="00793435"/>
    <w:rsid w:val="00794840"/>
    <w:rsid w:val="00794FFD"/>
    <w:rsid w:val="00795DAD"/>
    <w:rsid w:val="00797108"/>
    <w:rsid w:val="0079795C"/>
    <w:rsid w:val="007A2004"/>
    <w:rsid w:val="007A507B"/>
    <w:rsid w:val="007A7200"/>
    <w:rsid w:val="007A7CF1"/>
    <w:rsid w:val="007B1075"/>
    <w:rsid w:val="007B2126"/>
    <w:rsid w:val="007B28DA"/>
    <w:rsid w:val="007B35C2"/>
    <w:rsid w:val="007B3615"/>
    <w:rsid w:val="007B3745"/>
    <w:rsid w:val="007B3DAD"/>
    <w:rsid w:val="007B3F27"/>
    <w:rsid w:val="007B5CD3"/>
    <w:rsid w:val="007B6AB8"/>
    <w:rsid w:val="007C1462"/>
    <w:rsid w:val="007C16BF"/>
    <w:rsid w:val="007C2D53"/>
    <w:rsid w:val="007C2E27"/>
    <w:rsid w:val="007C44D1"/>
    <w:rsid w:val="007C4B8D"/>
    <w:rsid w:val="007C4D45"/>
    <w:rsid w:val="007C4F29"/>
    <w:rsid w:val="007C59AF"/>
    <w:rsid w:val="007C65BD"/>
    <w:rsid w:val="007C7291"/>
    <w:rsid w:val="007C766B"/>
    <w:rsid w:val="007C7E54"/>
    <w:rsid w:val="007D0087"/>
    <w:rsid w:val="007D0581"/>
    <w:rsid w:val="007D0715"/>
    <w:rsid w:val="007D0B80"/>
    <w:rsid w:val="007D0D5B"/>
    <w:rsid w:val="007D0E22"/>
    <w:rsid w:val="007D10E6"/>
    <w:rsid w:val="007D18D2"/>
    <w:rsid w:val="007D1E1F"/>
    <w:rsid w:val="007D207A"/>
    <w:rsid w:val="007D231D"/>
    <w:rsid w:val="007D23F3"/>
    <w:rsid w:val="007D2828"/>
    <w:rsid w:val="007D28D4"/>
    <w:rsid w:val="007D292B"/>
    <w:rsid w:val="007D2CB2"/>
    <w:rsid w:val="007D31BC"/>
    <w:rsid w:val="007D3910"/>
    <w:rsid w:val="007D39A8"/>
    <w:rsid w:val="007D4419"/>
    <w:rsid w:val="007D456E"/>
    <w:rsid w:val="007D4951"/>
    <w:rsid w:val="007D5AA6"/>
    <w:rsid w:val="007D635E"/>
    <w:rsid w:val="007D676A"/>
    <w:rsid w:val="007D6B3E"/>
    <w:rsid w:val="007D6E97"/>
    <w:rsid w:val="007E156E"/>
    <w:rsid w:val="007E1712"/>
    <w:rsid w:val="007E1C74"/>
    <w:rsid w:val="007E2149"/>
    <w:rsid w:val="007E3994"/>
    <w:rsid w:val="007E55D2"/>
    <w:rsid w:val="007E5690"/>
    <w:rsid w:val="007E70E6"/>
    <w:rsid w:val="007E7267"/>
    <w:rsid w:val="007E7F55"/>
    <w:rsid w:val="007F0D36"/>
    <w:rsid w:val="007F0F73"/>
    <w:rsid w:val="007F41B0"/>
    <w:rsid w:val="007F4A89"/>
    <w:rsid w:val="007F5660"/>
    <w:rsid w:val="007F61CB"/>
    <w:rsid w:val="007F6BBC"/>
    <w:rsid w:val="007F6D13"/>
    <w:rsid w:val="007F7CBE"/>
    <w:rsid w:val="0080060D"/>
    <w:rsid w:val="00801FC6"/>
    <w:rsid w:val="00802ACB"/>
    <w:rsid w:val="00802C3E"/>
    <w:rsid w:val="00803265"/>
    <w:rsid w:val="00803300"/>
    <w:rsid w:val="008034D0"/>
    <w:rsid w:val="00803625"/>
    <w:rsid w:val="00804E36"/>
    <w:rsid w:val="00806BA5"/>
    <w:rsid w:val="0080717A"/>
    <w:rsid w:val="00807651"/>
    <w:rsid w:val="00807903"/>
    <w:rsid w:val="008106A2"/>
    <w:rsid w:val="008106F1"/>
    <w:rsid w:val="00811700"/>
    <w:rsid w:val="00812FE9"/>
    <w:rsid w:val="008151F8"/>
    <w:rsid w:val="00815F1B"/>
    <w:rsid w:val="00816482"/>
    <w:rsid w:val="0081674D"/>
    <w:rsid w:val="008167B3"/>
    <w:rsid w:val="00816FCD"/>
    <w:rsid w:val="0081714A"/>
    <w:rsid w:val="008172AA"/>
    <w:rsid w:val="008176BF"/>
    <w:rsid w:val="008178C2"/>
    <w:rsid w:val="00817D04"/>
    <w:rsid w:val="00820154"/>
    <w:rsid w:val="00820FC6"/>
    <w:rsid w:val="00821C39"/>
    <w:rsid w:val="0082295D"/>
    <w:rsid w:val="00824D1F"/>
    <w:rsid w:val="00825267"/>
    <w:rsid w:val="00825D10"/>
    <w:rsid w:val="00825EC5"/>
    <w:rsid w:val="00826B06"/>
    <w:rsid w:val="00827D53"/>
    <w:rsid w:val="00827E5A"/>
    <w:rsid w:val="00832D17"/>
    <w:rsid w:val="0083349B"/>
    <w:rsid w:val="008337DF"/>
    <w:rsid w:val="0083507B"/>
    <w:rsid w:val="00835141"/>
    <w:rsid w:val="00835E28"/>
    <w:rsid w:val="00836794"/>
    <w:rsid w:val="00836CEE"/>
    <w:rsid w:val="008417B1"/>
    <w:rsid w:val="00842410"/>
    <w:rsid w:val="00842567"/>
    <w:rsid w:val="008429E1"/>
    <w:rsid w:val="00842CE8"/>
    <w:rsid w:val="00843B34"/>
    <w:rsid w:val="00843F6C"/>
    <w:rsid w:val="008456ED"/>
    <w:rsid w:val="0084589C"/>
    <w:rsid w:val="008461D9"/>
    <w:rsid w:val="00846259"/>
    <w:rsid w:val="008477C9"/>
    <w:rsid w:val="008477E8"/>
    <w:rsid w:val="00847BA9"/>
    <w:rsid w:val="00852488"/>
    <w:rsid w:val="0085396F"/>
    <w:rsid w:val="00855358"/>
    <w:rsid w:val="00855935"/>
    <w:rsid w:val="008563A0"/>
    <w:rsid w:val="00856BCA"/>
    <w:rsid w:val="00856D9F"/>
    <w:rsid w:val="00857481"/>
    <w:rsid w:val="0085784F"/>
    <w:rsid w:val="0086147E"/>
    <w:rsid w:val="00862F2F"/>
    <w:rsid w:val="0086401F"/>
    <w:rsid w:val="00864B40"/>
    <w:rsid w:val="00865622"/>
    <w:rsid w:val="00865D0A"/>
    <w:rsid w:val="00865E29"/>
    <w:rsid w:val="00866A36"/>
    <w:rsid w:val="008719A7"/>
    <w:rsid w:val="008723EA"/>
    <w:rsid w:val="008729E5"/>
    <w:rsid w:val="008736A7"/>
    <w:rsid w:val="0087504F"/>
    <w:rsid w:val="00875593"/>
    <w:rsid w:val="008769A1"/>
    <w:rsid w:val="008769D8"/>
    <w:rsid w:val="008770FF"/>
    <w:rsid w:val="008805C1"/>
    <w:rsid w:val="008806A6"/>
    <w:rsid w:val="00882106"/>
    <w:rsid w:val="00884BEF"/>
    <w:rsid w:val="008850B2"/>
    <w:rsid w:val="008855DB"/>
    <w:rsid w:val="00886A7A"/>
    <w:rsid w:val="00886F94"/>
    <w:rsid w:val="00887B35"/>
    <w:rsid w:val="00890DBC"/>
    <w:rsid w:val="0089114E"/>
    <w:rsid w:val="00891817"/>
    <w:rsid w:val="008931D0"/>
    <w:rsid w:val="00893BE0"/>
    <w:rsid w:val="0089442E"/>
    <w:rsid w:val="00894761"/>
    <w:rsid w:val="00894F0E"/>
    <w:rsid w:val="00896AA2"/>
    <w:rsid w:val="00896D4C"/>
    <w:rsid w:val="008979BC"/>
    <w:rsid w:val="008A0B0B"/>
    <w:rsid w:val="008A0DA6"/>
    <w:rsid w:val="008A107A"/>
    <w:rsid w:val="008A126A"/>
    <w:rsid w:val="008A170A"/>
    <w:rsid w:val="008A32B1"/>
    <w:rsid w:val="008A3358"/>
    <w:rsid w:val="008A34C2"/>
    <w:rsid w:val="008A41FF"/>
    <w:rsid w:val="008A4683"/>
    <w:rsid w:val="008A5018"/>
    <w:rsid w:val="008A5E77"/>
    <w:rsid w:val="008A72F5"/>
    <w:rsid w:val="008A7E74"/>
    <w:rsid w:val="008B1306"/>
    <w:rsid w:val="008B1E75"/>
    <w:rsid w:val="008B306B"/>
    <w:rsid w:val="008B4C5A"/>
    <w:rsid w:val="008B609E"/>
    <w:rsid w:val="008B6DD6"/>
    <w:rsid w:val="008B752D"/>
    <w:rsid w:val="008B79CE"/>
    <w:rsid w:val="008C136E"/>
    <w:rsid w:val="008C3A32"/>
    <w:rsid w:val="008C3B48"/>
    <w:rsid w:val="008C49F9"/>
    <w:rsid w:val="008C4BDF"/>
    <w:rsid w:val="008C57D9"/>
    <w:rsid w:val="008C582E"/>
    <w:rsid w:val="008C6B0F"/>
    <w:rsid w:val="008C7CAC"/>
    <w:rsid w:val="008D05B0"/>
    <w:rsid w:val="008D22DB"/>
    <w:rsid w:val="008D2673"/>
    <w:rsid w:val="008D37F7"/>
    <w:rsid w:val="008D3B6B"/>
    <w:rsid w:val="008D4C2F"/>
    <w:rsid w:val="008D5005"/>
    <w:rsid w:val="008D57B8"/>
    <w:rsid w:val="008D60AD"/>
    <w:rsid w:val="008D6A34"/>
    <w:rsid w:val="008D74B7"/>
    <w:rsid w:val="008D74F2"/>
    <w:rsid w:val="008D75EC"/>
    <w:rsid w:val="008D7DD5"/>
    <w:rsid w:val="008E0464"/>
    <w:rsid w:val="008E1FA7"/>
    <w:rsid w:val="008E3B42"/>
    <w:rsid w:val="008E4479"/>
    <w:rsid w:val="008E4698"/>
    <w:rsid w:val="008E4ED2"/>
    <w:rsid w:val="008E66A8"/>
    <w:rsid w:val="008E6CFE"/>
    <w:rsid w:val="008E7F51"/>
    <w:rsid w:val="008F10EF"/>
    <w:rsid w:val="008F12AB"/>
    <w:rsid w:val="008F12BA"/>
    <w:rsid w:val="008F1390"/>
    <w:rsid w:val="008F1466"/>
    <w:rsid w:val="008F1EE3"/>
    <w:rsid w:val="008F2A7D"/>
    <w:rsid w:val="008F463F"/>
    <w:rsid w:val="008F47B0"/>
    <w:rsid w:val="008F5209"/>
    <w:rsid w:val="008F547F"/>
    <w:rsid w:val="008F696B"/>
    <w:rsid w:val="008F6EAC"/>
    <w:rsid w:val="008F7A6B"/>
    <w:rsid w:val="008F7AB3"/>
    <w:rsid w:val="00900395"/>
    <w:rsid w:val="009005D3"/>
    <w:rsid w:val="00900601"/>
    <w:rsid w:val="0090141D"/>
    <w:rsid w:val="00901A58"/>
    <w:rsid w:val="00901AE5"/>
    <w:rsid w:val="009027AC"/>
    <w:rsid w:val="00903D33"/>
    <w:rsid w:val="00903F96"/>
    <w:rsid w:val="009044F6"/>
    <w:rsid w:val="0090452F"/>
    <w:rsid w:val="00904B18"/>
    <w:rsid w:val="0090604F"/>
    <w:rsid w:val="00907261"/>
    <w:rsid w:val="009073F5"/>
    <w:rsid w:val="00907D7B"/>
    <w:rsid w:val="009107DA"/>
    <w:rsid w:val="0091083E"/>
    <w:rsid w:val="00910A0A"/>
    <w:rsid w:val="00911347"/>
    <w:rsid w:val="009115AD"/>
    <w:rsid w:val="0091213E"/>
    <w:rsid w:val="009125B6"/>
    <w:rsid w:val="00912868"/>
    <w:rsid w:val="00913C96"/>
    <w:rsid w:val="00915C21"/>
    <w:rsid w:val="00916153"/>
    <w:rsid w:val="0091692E"/>
    <w:rsid w:val="00916BEB"/>
    <w:rsid w:val="00917D39"/>
    <w:rsid w:val="009204DD"/>
    <w:rsid w:val="009212BB"/>
    <w:rsid w:val="0092189D"/>
    <w:rsid w:val="00921B8D"/>
    <w:rsid w:val="00922028"/>
    <w:rsid w:val="00923D5B"/>
    <w:rsid w:val="009243EA"/>
    <w:rsid w:val="00924731"/>
    <w:rsid w:val="00924CD9"/>
    <w:rsid w:val="00925C3F"/>
    <w:rsid w:val="00926220"/>
    <w:rsid w:val="0092671D"/>
    <w:rsid w:val="009269CC"/>
    <w:rsid w:val="009270B1"/>
    <w:rsid w:val="00930801"/>
    <w:rsid w:val="00931909"/>
    <w:rsid w:val="0093199F"/>
    <w:rsid w:val="00931FC6"/>
    <w:rsid w:val="009323A6"/>
    <w:rsid w:val="00932DB0"/>
    <w:rsid w:val="0093359F"/>
    <w:rsid w:val="00933A09"/>
    <w:rsid w:val="00933C41"/>
    <w:rsid w:val="009346D4"/>
    <w:rsid w:val="00934C18"/>
    <w:rsid w:val="009360ED"/>
    <w:rsid w:val="009375DF"/>
    <w:rsid w:val="00940976"/>
    <w:rsid w:val="00942241"/>
    <w:rsid w:val="009423C4"/>
    <w:rsid w:val="00943720"/>
    <w:rsid w:val="00945D8F"/>
    <w:rsid w:val="009472AA"/>
    <w:rsid w:val="009475A9"/>
    <w:rsid w:val="00947618"/>
    <w:rsid w:val="00947CBD"/>
    <w:rsid w:val="00950635"/>
    <w:rsid w:val="00950A9B"/>
    <w:rsid w:val="00950C00"/>
    <w:rsid w:val="00951DB6"/>
    <w:rsid w:val="00952008"/>
    <w:rsid w:val="009525CA"/>
    <w:rsid w:val="009527CD"/>
    <w:rsid w:val="00952878"/>
    <w:rsid w:val="0095315B"/>
    <w:rsid w:val="00953B67"/>
    <w:rsid w:val="009544E7"/>
    <w:rsid w:val="00954F79"/>
    <w:rsid w:val="0095502D"/>
    <w:rsid w:val="00955A93"/>
    <w:rsid w:val="00956926"/>
    <w:rsid w:val="00960D0E"/>
    <w:rsid w:val="00960F05"/>
    <w:rsid w:val="0096252C"/>
    <w:rsid w:val="0096407E"/>
    <w:rsid w:val="00964C31"/>
    <w:rsid w:val="00964E35"/>
    <w:rsid w:val="00965EEA"/>
    <w:rsid w:val="00967FAE"/>
    <w:rsid w:val="00971E35"/>
    <w:rsid w:val="00972021"/>
    <w:rsid w:val="009724E6"/>
    <w:rsid w:val="009729B4"/>
    <w:rsid w:val="00972CB9"/>
    <w:rsid w:val="00974AB3"/>
    <w:rsid w:val="009750BE"/>
    <w:rsid w:val="00975435"/>
    <w:rsid w:val="00975F3E"/>
    <w:rsid w:val="009771B0"/>
    <w:rsid w:val="00977293"/>
    <w:rsid w:val="00977C2D"/>
    <w:rsid w:val="00977FA1"/>
    <w:rsid w:val="009815BB"/>
    <w:rsid w:val="0098186E"/>
    <w:rsid w:val="009825AB"/>
    <w:rsid w:val="00983000"/>
    <w:rsid w:val="00983324"/>
    <w:rsid w:val="009856B7"/>
    <w:rsid w:val="00986780"/>
    <w:rsid w:val="009872B5"/>
    <w:rsid w:val="009876C0"/>
    <w:rsid w:val="0099047F"/>
    <w:rsid w:val="00990A37"/>
    <w:rsid w:val="0099101B"/>
    <w:rsid w:val="00991651"/>
    <w:rsid w:val="009922F8"/>
    <w:rsid w:val="00992E27"/>
    <w:rsid w:val="00993B1C"/>
    <w:rsid w:val="00994C44"/>
    <w:rsid w:val="00994DD0"/>
    <w:rsid w:val="009959C0"/>
    <w:rsid w:val="00995CD8"/>
    <w:rsid w:val="00996089"/>
    <w:rsid w:val="009964EB"/>
    <w:rsid w:val="009972CA"/>
    <w:rsid w:val="00997E6A"/>
    <w:rsid w:val="009A1338"/>
    <w:rsid w:val="009A19A9"/>
    <w:rsid w:val="009A2C1C"/>
    <w:rsid w:val="009A37C4"/>
    <w:rsid w:val="009A4077"/>
    <w:rsid w:val="009A44C9"/>
    <w:rsid w:val="009A5369"/>
    <w:rsid w:val="009A68A5"/>
    <w:rsid w:val="009A756F"/>
    <w:rsid w:val="009A7E68"/>
    <w:rsid w:val="009B0824"/>
    <w:rsid w:val="009B091C"/>
    <w:rsid w:val="009B1330"/>
    <w:rsid w:val="009B1F20"/>
    <w:rsid w:val="009B2533"/>
    <w:rsid w:val="009B33D9"/>
    <w:rsid w:val="009B4795"/>
    <w:rsid w:val="009B5E0E"/>
    <w:rsid w:val="009B6581"/>
    <w:rsid w:val="009B65D8"/>
    <w:rsid w:val="009B6710"/>
    <w:rsid w:val="009B6C11"/>
    <w:rsid w:val="009B6CBF"/>
    <w:rsid w:val="009B78B2"/>
    <w:rsid w:val="009C0293"/>
    <w:rsid w:val="009C0B20"/>
    <w:rsid w:val="009C0B9A"/>
    <w:rsid w:val="009C1129"/>
    <w:rsid w:val="009C141A"/>
    <w:rsid w:val="009C170D"/>
    <w:rsid w:val="009C1869"/>
    <w:rsid w:val="009C35A6"/>
    <w:rsid w:val="009C370E"/>
    <w:rsid w:val="009C3A4B"/>
    <w:rsid w:val="009C3ACE"/>
    <w:rsid w:val="009C4E5D"/>
    <w:rsid w:val="009C5829"/>
    <w:rsid w:val="009C5F5A"/>
    <w:rsid w:val="009C66C0"/>
    <w:rsid w:val="009C7043"/>
    <w:rsid w:val="009C70C3"/>
    <w:rsid w:val="009C7704"/>
    <w:rsid w:val="009C77F7"/>
    <w:rsid w:val="009D07F3"/>
    <w:rsid w:val="009D1BF6"/>
    <w:rsid w:val="009D2EAD"/>
    <w:rsid w:val="009D3BF0"/>
    <w:rsid w:val="009D3E02"/>
    <w:rsid w:val="009D46E5"/>
    <w:rsid w:val="009D4741"/>
    <w:rsid w:val="009D4EA7"/>
    <w:rsid w:val="009D7410"/>
    <w:rsid w:val="009D7FA1"/>
    <w:rsid w:val="009E00FC"/>
    <w:rsid w:val="009E022D"/>
    <w:rsid w:val="009E19A8"/>
    <w:rsid w:val="009E2680"/>
    <w:rsid w:val="009E3E74"/>
    <w:rsid w:val="009E3F8A"/>
    <w:rsid w:val="009E4471"/>
    <w:rsid w:val="009E49FA"/>
    <w:rsid w:val="009E669C"/>
    <w:rsid w:val="009E6B0F"/>
    <w:rsid w:val="009E6FEB"/>
    <w:rsid w:val="009E73C0"/>
    <w:rsid w:val="009E7C2A"/>
    <w:rsid w:val="009E7C5E"/>
    <w:rsid w:val="009F0E26"/>
    <w:rsid w:val="009F1413"/>
    <w:rsid w:val="009F1F40"/>
    <w:rsid w:val="009F4930"/>
    <w:rsid w:val="009F4988"/>
    <w:rsid w:val="009F4FB9"/>
    <w:rsid w:val="009F57AB"/>
    <w:rsid w:val="009F6AC6"/>
    <w:rsid w:val="009F6DD3"/>
    <w:rsid w:val="009F7279"/>
    <w:rsid w:val="00A0058E"/>
    <w:rsid w:val="00A00FEF"/>
    <w:rsid w:val="00A014BA"/>
    <w:rsid w:val="00A0278A"/>
    <w:rsid w:val="00A0292C"/>
    <w:rsid w:val="00A02DA7"/>
    <w:rsid w:val="00A0303E"/>
    <w:rsid w:val="00A03229"/>
    <w:rsid w:val="00A03A80"/>
    <w:rsid w:val="00A03C46"/>
    <w:rsid w:val="00A0503B"/>
    <w:rsid w:val="00A0512D"/>
    <w:rsid w:val="00A064DB"/>
    <w:rsid w:val="00A07A85"/>
    <w:rsid w:val="00A07F7B"/>
    <w:rsid w:val="00A1001A"/>
    <w:rsid w:val="00A10505"/>
    <w:rsid w:val="00A10F7F"/>
    <w:rsid w:val="00A11ACB"/>
    <w:rsid w:val="00A11CD5"/>
    <w:rsid w:val="00A124EC"/>
    <w:rsid w:val="00A13434"/>
    <w:rsid w:val="00A13C44"/>
    <w:rsid w:val="00A140DD"/>
    <w:rsid w:val="00A14F46"/>
    <w:rsid w:val="00A14FA9"/>
    <w:rsid w:val="00A15EC2"/>
    <w:rsid w:val="00A16131"/>
    <w:rsid w:val="00A163EE"/>
    <w:rsid w:val="00A1678B"/>
    <w:rsid w:val="00A200C1"/>
    <w:rsid w:val="00A203D6"/>
    <w:rsid w:val="00A21081"/>
    <w:rsid w:val="00A22DBD"/>
    <w:rsid w:val="00A22E22"/>
    <w:rsid w:val="00A23878"/>
    <w:rsid w:val="00A257A1"/>
    <w:rsid w:val="00A258DA"/>
    <w:rsid w:val="00A26207"/>
    <w:rsid w:val="00A26529"/>
    <w:rsid w:val="00A27093"/>
    <w:rsid w:val="00A27EC8"/>
    <w:rsid w:val="00A313A6"/>
    <w:rsid w:val="00A339F7"/>
    <w:rsid w:val="00A34E74"/>
    <w:rsid w:val="00A35A11"/>
    <w:rsid w:val="00A36A9F"/>
    <w:rsid w:val="00A36B87"/>
    <w:rsid w:val="00A3719E"/>
    <w:rsid w:val="00A3766B"/>
    <w:rsid w:val="00A37D08"/>
    <w:rsid w:val="00A37FB7"/>
    <w:rsid w:val="00A4118A"/>
    <w:rsid w:val="00A427AD"/>
    <w:rsid w:val="00A42C12"/>
    <w:rsid w:val="00A43B24"/>
    <w:rsid w:val="00A43F07"/>
    <w:rsid w:val="00A4559D"/>
    <w:rsid w:val="00A455B9"/>
    <w:rsid w:val="00A45B3F"/>
    <w:rsid w:val="00A46AA5"/>
    <w:rsid w:val="00A46ADE"/>
    <w:rsid w:val="00A46E4F"/>
    <w:rsid w:val="00A47066"/>
    <w:rsid w:val="00A477B4"/>
    <w:rsid w:val="00A47DFA"/>
    <w:rsid w:val="00A50881"/>
    <w:rsid w:val="00A50A42"/>
    <w:rsid w:val="00A51FDF"/>
    <w:rsid w:val="00A5276F"/>
    <w:rsid w:val="00A52863"/>
    <w:rsid w:val="00A531EC"/>
    <w:rsid w:val="00A552A1"/>
    <w:rsid w:val="00A555CE"/>
    <w:rsid w:val="00A5564A"/>
    <w:rsid w:val="00A55CA8"/>
    <w:rsid w:val="00A55D3D"/>
    <w:rsid w:val="00A55D90"/>
    <w:rsid w:val="00A56B46"/>
    <w:rsid w:val="00A604CD"/>
    <w:rsid w:val="00A6094F"/>
    <w:rsid w:val="00A61046"/>
    <w:rsid w:val="00A61583"/>
    <w:rsid w:val="00A62100"/>
    <w:rsid w:val="00A62DAE"/>
    <w:rsid w:val="00A63161"/>
    <w:rsid w:val="00A64839"/>
    <w:rsid w:val="00A65036"/>
    <w:rsid w:val="00A66A00"/>
    <w:rsid w:val="00A66CD4"/>
    <w:rsid w:val="00A671B0"/>
    <w:rsid w:val="00A679A7"/>
    <w:rsid w:val="00A7139C"/>
    <w:rsid w:val="00A7139E"/>
    <w:rsid w:val="00A7146F"/>
    <w:rsid w:val="00A71A10"/>
    <w:rsid w:val="00A72C38"/>
    <w:rsid w:val="00A738EC"/>
    <w:rsid w:val="00A7396E"/>
    <w:rsid w:val="00A74E16"/>
    <w:rsid w:val="00A75191"/>
    <w:rsid w:val="00A75E4E"/>
    <w:rsid w:val="00A76410"/>
    <w:rsid w:val="00A768CE"/>
    <w:rsid w:val="00A769CE"/>
    <w:rsid w:val="00A77495"/>
    <w:rsid w:val="00A776F5"/>
    <w:rsid w:val="00A77C8A"/>
    <w:rsid w:val="00A806D5"/>
    <w:rsid w:val="00A81AF0"/>
    <w:rsid w:val="00A82811"/>
    <w:rsid w:val="00A828D9"/>
    <w:rsid w:val="00A82D7A"/>
    <w:rsid w:val="00A8317E"/>
    <w:rsid w:val="00A8347A"/>
    <w:rsid w:val="00A83980"/>
    <w:rsid w:val="00A8472F"/>
    <w:rsid w:val="00A86ACC"/>
    <w:rsid w:val="00A8790A"/>
    <w:rsid w:val="00A87969"/>
    <w:rsid w:val="00A87A1F"/>
    <w:rsid w:val="00A90AC3"/>
    <w:rsid w:val="00A910F2"/>
    <w:rsid w:val="00A91428"/>
    <w:rsid w:val="00A917F2"/>
    <w:rsid w:val="00A93B6E"/>
    <w:rsid w:val="00A9471B"/>
    <w:rsid w:val="00A95059"/>
    <w:rsid w:val="00A95947"/>
    <w:rsid w:val="00A9677F"/>
    <w:rsid w:val="00A967ED"/>
    <w:rsid w:val="00A96C5E"/>
    <w:rsid w:val="00A970AD"/>
    <w:rsid w:val="00A97148"/>
    <w:rsid w:val="00A97AD2"/>
    <w:rsid w:val="00AA071D"/>
    <w:rsid w:val="00AA2DB2"/>
    <w:rsid w:val="00AA4944"/>
    <w:rsid w:val="00AA505A"/>
    <w:rsid w:val="00AA61E0"/>
    <w:rsid w:val="00AA63F6"/>
    <w:rsid w:val="00AA6A28"/>
    <w:rsid w:val="00AA7F0D"/>
    <w:rsid w:val="00AB17EF"/>
    <w:rsid w:val="00AB1CAB"/>
    <w:rsid w:val="00AB214D"/>
    <w:rsid w:val="00AB296C"/>
    <w:rsid w:val="00AB2C67"/>
    <w:rsid w:val="00AB3AE5"/>
    <w:rsid w:val="00AB3C7D"/>
    <w:rsid w:val="00AB4381"/>
    <w:rsid w:val="00AB67B1"/>
    <w:rsid w:val="00AB6FE6"/>
    <w:rsid w:val="00AC0B00"/>
    <w:rsid w:val="00AC13B9"/>
    <w:rsid w:val="00AC1ABD"/>
    <w:rsid w:val="00AC2341"/>
    <w:rsid w:val="00AC2737"/>
    <w:rsid w:val="00AC3280"/>
    <w:rsid w:val="00AC343A"/>
    <w:rsid w:val="00AC5F0B"/>
    <w:rsid w:val="00AC670C"/>
    <w:rsid w:val="00AC67F7"/>
    <w:rsid w:val="00AC765A"/>
    <w:rsid w:val="00AC76D0"/>
    <w:rsid w:val="00AD05DC"/>
    <w:rsid w:val="00AD1911"/>
    <w:rsid w:val="00AD1E9D"/>
    <w:rsid w:val="00AD2165"/>
    <w:rsid w:val="00AD3C17"/>
    <w:rsid w:val="00AD3C47"/>
    <w:rsid w:val="00AD3E69"/>
    <w:rsid w:val="00AD3EAA"/>
    <w:rsid w:val="00AD4DF2"/>
    <w:rsid w:val="00AD543D"/>
    <w:rsid w:val="00AD58DD"/>
    <w:rsid w:val="00AD5A48"/>
    <w:rsid w:val="00AD6957"/>
    <w:rsid w:val="00AD6DF4"/>
    <w:rsid w:val="00AD71ED"/>
    <w:rsid w:val="00AE00BC"/>
    <w:rsid w:val="00AE27C3"/>
    <w:rsid w:val="00AE30FA"/>
    <w:rsid w:val="00AE4043"/>
    <w:rsid w:val="00AE5DE8"/>
    <w:rsid w:val="00AE6513"/>
    <w:rsid w:val="00AE6A34"/>
    <w:rsid w:val="00AF0286"/>
    <w:rsid w:val="00AF0627"/>
    <w:rsid w:val="00AF0801"/>
    <w:rsid w:val="00AF2A54"/>
    <w:rsid w:val="00AF2EA9"/>
    <w:rsid w:val="00AF42B1"/>
    <w:rsid w:val="00AF4D46"/>
    <w:rsid w:val="00AF5268"/>
    <w:rsid w:val="00AF56E3"/>
    <w:rsid w:val="00AF5700"/>
    <w:rsid w:val="00AF5C5B"/>
    <w:rsid w:val="00AF739E"/>
    <w:rsid w:val="00AF7483"/>
    <w:rsid w:val="00AF7C48"/>
    <w:rsid w:val="00B00102"/>
    <w:rsid w:val="00B00972"/>
    <w:rsid w:val="00B00B66"/>
    <w:rsid w:val="00B013D6"/>
    <w:rsid w:val="00B0193D"/>
    <w:rsid w:val="00B02B56"/>
    <w:rsid w:val="00B03A46"/>
    <w:rsid w:val="00B04092"/>
    <w:rsid w:val="00B043FF"/>
    <w:rsid w:val="00B05CD8"/>
    <w:rsid w:val="00B06287"/>
    <w:rsid w:val="00B06975"/>
    <w:rsid w:val="00B06BF6"/>
    <w:rsid w:val="00B06D49"/>
    <w:rsid w:val="00B0706E"/>
    <w:rsid w:val="00B077E5"/>
    <w:rsid w:val="00B078C0"/>
    <w:rsid w:val="00B0792B"/>
    <w:rsid w:val="00B11301"/>
    <w:rsid w:val="00B136F3"/>
    <w:rsid w:val="00B13F0A"/>
    <w:rsid w:val="00B14468"/>
    <w:rsid w:val="00B15396"/>
    <w:rsid w:val="00B15D9E"/>
    <w:rsid w:val="00B16255"/>
    <w:rsid w:val="00B1715A"/>
    <w:rsid w:val="00B17205"/>
    <w:rsid w:val="00B17DD9"/>
    <w:rsid w:val="00B22239"/>
    <w:rsid w:val="00B22CD0"/>
    <w:rsid w:val="00B22DC0"/>
    <w:rsid w:val="00B236E0"/>
    <w:rsid w:val="00B2469D"/>
    <w:rsid w:val="00B2569B"/>
    <w:rsid w:val="00B25EB1"/>
    <w:rsid w:val="00B26499"/>
    <w:rsid w:val="00B264C3"/>
    <w:rsid w:val="00B26F51"/>
    <w:rsid w:val="00B30F6A"/>
    <w:rsid w:val="00B314BE"/>
    <w:rsid w:val="00B317FA"/>
    <w:rsid w:val="00B3218F"/>
    <w:rsid w:val="00B3265D"/>
    <w:rsid w:val="00B3271A"/>
    <w:rsid w:val="00B33846"/>
    <w:rsid w:val="00B33BB6"/>
    <w:rsid w:val="00B34A00"/>
    <w:rsid w:val="00B350E7"/>
    <w:rsid w:val="00B35373"/>
    <w:rsid w:val="00B356B5"/>
    <w:rsid w:val="00B3597F"/>
    <w:rsid w:val="00B361EF"/>
    <w:rsid w:val="00B371FF"/>
    <w:rsid w:val="00B37B26"/>
    <w:rsid w:val="00B408F3"/>
    <w:rsid w:val="00B40BC9"/>
    <w:rsid w:val="00B422BB"/>
    <w:rsid w:val="00B427B4"/>
    <w:rsid w:val="00B43009"/>
    <w:rsid w:val="00B4341A"/>
    <w:rsid w:val="00B439B9"/>
    <w:rsid w:val="00B43D81"/>
    <w:rsid w:val="00B44707"/>
    <w:rsid w:val="00B44D3F"/>
    <w:rsid w:val="00B4553F"/>
    <w:rsid w:val="00B47C13"/>
    <w:rsid w:val="00B50449"/>
    <w:rsid w:val="00B506B8"/>
    <w:rsid w:val="00B50EB1"/>
    <w:rsid w:val="00B51FD2"/>
    <w:rsid w:val="00B53521"/>
    <w:rsid w:val="00B53A75"/>
    <w:rsid w:val="00B5445A"/>
    <w:rsid w:val="00B54719"/>
    <w:rsid w:val="00B54C78"/>
    <w:rsid w:val="00B55663"/>
    <w:rsid w:val="00B5665C"/>
    <w:rsid w:val="00B56A95"/>
    <w:rsid w:val="00B56E1D"/>
    <w:rsid w:val="00B5711C"/>
    <w:rsid w:val="00B60728"/>
    <w:rsid w:val="00B60854"/>
    <w:rsid w:val="00B60B0B"/>
    <w:rsid w:val="00B6167E"/>
    <w:rsid w:val="00B61813"/>
    <w:rsid w:val="00B61CC5"/>
    <w:rsid w:val="00B62D20"/>
    <w:rsid w:val="00B63C5C"/>
    <w:rsid w:val="00B649CF"/>
    <w:rsid w:val="00B66180"/>
    <w:rsid w:val="00B66673"/>
    <w:rsid w:val="00B66788"/>
    <w:rsid w:val="00B66B75"/>
    <w:rsid w:val="00B67840"/>
    <w:rsid w:val="00B67F02"/>
    <w:rsid w:val="00B70E02"/>
    <w:rsid w:val="00B71709"/>
    <w:rsid w:val="00B73442"/>
    <w:rsid w:val="00B73A2D"/>
    <w:rsid w:val="00B73C6B"/>
    <w:rsid w:val="00B743D8"/>
    <w:rsid w:val="00B75A01"/>
    <w:rsid w:val="00B764A5"/>
    <w:rsid w:val="00B76982"/>
    <w:rsid w:val="00B77774"/>
    <w:rsid w:val="00B80802"/>
    <w:rsid w:val="00B81B7D"/>
    <w:rsid w:val="00B8230D"/>
    <w:rsid w:val="00B82DBC"/>
    <w:rsid w:val="00B83B65"/>
    <w:rsid w:val="00B844BC"/>
    <w:rsid w:val="00B86343"/>
    <w:rsid w:val="00B87346"/>
    <w:rsid w:val="00B91A8D"/>
    <w:rsid w:val="00B92592"/>
    <w:rsid w:val="00B92E60"/>
    <w:rsid w:val="00B9350F"/>
    <w:rsid w:val="00B93CBA"/>
    <w:rsid w:val="00B951D7"/>
    <w:rsid w:val="00B95584"/>
    <w:rsid w:val="00B95D40"/>
    <w:rsid w:val="00B96645"/>
    <w:rsid w:val="00B96C12"/>
    <w:rsid w:val="00B97312"/>
    <w:rsid w:val="00B97391"/>
    <w:rsid w:val="00B976DA"/>
    <w:rsid w:val="00BA1DD6"/>
    <w:rsid w:val="00BA1E73"/>
    <w:rsid w:val="00BA28BB"/>
    <w:rsid w:val="00BA4CE5"/>
    <w:rsid w:val="00BA5128"/>
    <w:rsid w:val="00BA5A61"/>
    <w:rsid w:val="00BA68AB"/>
    <w:rsid w:val="00BA6D8E"/>
    <w:rsid w:val="00BB1418"/>
    <w:rsid w:val="00BB2B1D"/>
    <w:rsid w:val="00BB2D3B"/>
    <w:rsid w:val="00BB3030"/>
    <w:rsid w:val="00BB475A"/>
    <w:rsid w:val="00BB7304"/>
    <w:rsid w:val="00BC169D"/>
    <w:rsid w:val="00BC1F00"/>
    <w:rsid w:val="00BC2089"/>
    <w:rsid w:val="00BC237D"/>
    <w:rsid w:val="00BC2B6B"/>
    <w:rsid w:val="00BC3A46"/>
    <w:rsid w:val="00BC3C39"/>
    <w:rsid w:val="00BC3D59"/>
    <w:rsid w:val="00BC4394"/>
    <w:rsid w:val="00BC5F22"/>
    <w:rsid w:val="00BC6702"/>
    <w:rsid w:val="00BC6A71"/>
    <w:rsid w:val="00BC6CB8"/>
    <w:rsid w:val="00BC6D79"/>
    <w:rsid w:val="00BD0954"/>
    <w:rsid w:val="00BD0BCF"/>
    <w:rsid w:val="00BD210E"/>
    <w:rsid w:val="00BD276A"/>
    <w:rsid w:val="00BD4205"/>
    <w:rsid w:val="00BD42C9"/>
    <w:rsid w:val="00BD483C"/>
    <w:rsid w:val="00BD4A80"/>
    <w:rsid w:val="00BD4AF9"/>
    <w:rsid w:val="00BD5091"/>
    <w:rsid w:val="00BD5CDC"/>
    <w:rsid w:val="00BD7B2C"/>
    <w:rsid w:val="00BE05BF"/>
    <w:rsid w:val="00BE1CD0"/>
    <w:rsid w:val="00BE24D9"/>
    <w:rsid w:val="00BE2A47"/>
    <w:rsid w:val="00BE367F"/>
    <w:rsid w:val="00BE3A70"/>
    <w:rsid w:val="00BE3B4A"/>
    <w:rsid w:val="00BE746B"/>
    <w:rsid w:val="00BF06F9"/>
    <w:rsid w:val="00BF0791"/>
    <w:rsid w:val="00BF117E"/>
    <w:rsid w:val="00BF2611"/>
    <w:rsid w:val="00BF36F6"/>
    <w:rsid w:val="00BF39CA"/>
    <w:rsid w:val="00BF41F8"/>
    <w:rsid w:val="00BF4357"/>
    <w:rsid w:val="00BF4F3B"/>
    <w:rsid w:val="00BF54CD"/>
    <w:rsid w:val="00BF56B5"/>
    <w:rsid w:val="00BF631E"/>
    <w:rsid w:val="00BF780B"/>
    <w:rsid w:val="00BF7BAB"/>
    <w:rsid w:val="00C018E7"/>
    <w:rsid w:val="00C01C4C"/>
    <w:rsid w:val="00C020EA"/>
    <w:rsid w:val="00C03F7C"/>
    <w:rsid w:val="00C04318"/>
    <w:rsid w:val="00C0527E"/>
    <w:rsid w:val="00C05670"/>
    <w:rsid w:val="00C05AF0"/>
    <w:rsid w:val="00C06035"/>
    <w:rsid w:val="00C0615F"/>
    <w:rsid w:val="00C0680A"/>
    <w:rsid w:val="00C0680B"/>
    <w:rsid w:val="00C068F3"/>
    <w:rsid w:val="00C0721F"/>
    <w:rsid w:val="00C072C3"/>
    <w:rsid w:val="00C10232"/>
    <w:rsid w:val="00C1050E"/>
    <w:rsid w:val="00C11431"/>
    <w:rsid w:val="00C11B1B"/>
    <w:rsid w:val="00C11DF0"/>
    <w:rsid w:val="00C11EF0"/>
    <w:rsid w:val="00C138E9"/>
    <w:rsid w:val="00C14F7B"/>
    <w:rsid w:val="00C155F4"/>
    <w:rsid w:val="00C16113"/>
    <w:rsid w:val="00C16A56"/>
    <w:rsid w:val="00C16D06"/>
    <w:rsid w:val="00C1780F"/>
    <w:rsid w:val="00C21695"/>
    <w:rsid w:val="00C220C9"/>
    <w:rsid w:val="00C2247D"/>
    <w:rsid w:val="00C22486"/>
    <w:rsid w:val="00C22E87"/>
    <w:rsid w:val="00C235F4"/>
    <w:rsid w:val="00C239FE"/>
    <w:rsid w:val="00C24A45"/>
    <w:rsid w:val="00C25D56"/>
    <w:rsid w:val="00C2670F"/>
    <w:rsid w:val="00C26785"/>
    <w:rsid w:val="00C275C6"/>
    <w:rsid w:val="00C27F95"/>
    <w:rsid w:val="00C30032"/>
    <w:rsid w:val="00C3006A"/>
    <w:rsid w:val="00C30785"/>
    <w:rsid w:val="00C309B3"/>
    <w:rsid w:val="00C32D46"/>
    <w:rsid w:val="00C33387"/>
    <w:rsid w:val="00C343DA"/>
    <w:rsid w:val="00C34553"/>
    <w:rsid w:val="00C3479A"/>
    <w:rsid w:val="00C34A4F"/>
    <w:rsid w:val="00C34C06"/>
    <w:rsid w:val="00C361B8"/>
    <w:rsid w:val="00C40156"/>
    <w:rsid w:val="00C40648"/>
    <w:rsid w:val="00C412EE"/>
    <w:rsid w:val="00C42783"/>
    <w:rsid w:val="00C42DD9"/>
    <w:rsid w:val="00C4400A"/>
    <w:rsid w:val="00C446DC"/>
    <w:rsid w:val="00C45594"/>
    <w:rsid w:val="00C45C58"/>
    <w:rsid w:val="00C45D04"/>
    <w:rsid w:val="00C4745D"/>
    <w:rsid w:val="00C476EE"/>
    <w:rsid w:val="00C50EFE"/>
    <w:rsid w:val="00C51C0C"/>
    <w:rsid w:val="00C521F8"/>
    <w:rsid w:val="00C533B8"/>
    <w:rsid w:val="00C535AD"/>
    <w:rsid w:val="00C53DD6"/>
    <w:rsid w:val="00C545CE"/>
    <w:rsid w:val="00C54FDC"/>
    <w:rsid w:val="00C550FC"/>
    <w:rsid w:val="00C56187"/>
    <w:rsid w:val="00C56F3C"/>
    <w:rsid w:val="00C571B8"/>
    <w:rsid w:val="00C57AAF"/>
    <w:rsid w:val="00C57D20"/>
    <w:rsid w:val="00C601F5"/>
    <w:rsid w:val="00C6024A"/>
    <w:rsid w:val="00C61AB4"/>
    <w:rsid w:val="00C62770"/>
    <w:rsid w:val="00C62ABB"/>
    <w:rsid w:val="00C62E8C"/>
    <w:rsid w:val="00C64929"/>
    <w:rsid w:val="00C650A2"/>
    <w:rsid w:val="00C70082"/>
    <w:rsid w:val="00C70637"/>
    <w:rsid w:val="00C71528"/>
    <w:rsid w:val="00C72497"/>
    <w:rsid w:val="00C7249C"/>
    <w:rsid w:val="00C72B1C"/>
    <w:rsid w:val="00C737B4"/>
    <w:rsid w:val="00C739C6"/>
    <w:rsid w:val="00C73A08"/>
    <w:rsid w:val="00C73E21"/>
    <w:rsid w:val="00C741F3"/>
    <w:rsid w:val="00C7492C"/>
    <w:rsid w:val="00C751E9"/>
    <w:rsid w:val="00C752A1"/>
    <w:rsid w:val="00C767AB"/>
    <w:rsid w:val="00C76C78"/>
    <w:rsid w:val="00C77DC9"/>
    <w:rsid w:val="00C8269B"/>
    <w:rsid w:val="00C83B00"/>
    <w:rsid w:val="00C83B60"/>
    <w:rsid w:val="00C8529D"/>
    <w:rsid w:val="00C8597D"/>
    <w:rsid w:val="00C86C33"/>
    <w:rsid w:val="00C8724D"/>
    <w:rsid w:val="00C87434"/>
    <w:rsid w:val="00C87F70"/>
    <w:rsid w:val="00C90848"/>
    <w:rsid w:val="00C90BE3"/>
    <w:rsid w:val="00C91411"/>
    <w:rsid w:val="00C914CE"/>
    <w:rsid w:val="00C91E6E"/>
    <w:rsid w:val="00C92307"/>
    <w:rsid w:val="00C925FF"/>
    <w:rsid w:val="00C92CD1"/>
    <w:rsid w:val="00C92D5D"/>
    <w:rsid w:val="00C9363B"/>
    <w:rsid w:val="00C946C0"/>
    <w:rsid w:val="00C94B44"/>
    <w:rsid w:val="00C953F2"/>
    <w:rsid w:val="00C956A3"/>
    <w:rsid w:val="00C95C61"/>
    <w:rsid w:val="00C96BCA"/>
    <w:rsid w:val="00CA099D"/>
    <w:rsid w:val="00CA111E"/>
    <w:rsid w:val="00CA1890"/>
    <w:rsid w:val="00CA1AD4"/>
    <w:rsid w:val="00CA24AE"/>
    <w:rsid w:val="00CA257A"/>
    <w:rsid w:val="00CA2C89"/>
    <w:rsid w:val="00CA3430"/>
    <w:rsid w:val="00CA3FC9"/>
    <w:rsid w:val="00CA415D"/>
    <w:rsid w:val="00CA4574"/>
    <w:rsid w:val="00CA4DC1"/>
    <w:rsid w:val="00CA4E60"/>
    <w:rsid w:val="00CA4F11"/>
    <w:rsid w:val="00CA4F83"/>
    <w:rsid w:val="00CA533B"/>
    <w:rsid w:val="00CA5B32"/>
    <w:rsid w:val="00CA5B84"/>
    <w:rsid w:val="00CA5D80"/>
    <w:rsid w:val="00CA5D8C"/>
    <w:rsid w:val="00CA5E28"/>
    <w:rsid w:val="00CA6089"/>
    <w:rsid w:val="00CB0AED"/>
    <w:rsid w:val="00CB0DFD"/>
    <w:rsid w:val="00CB0F5C"/>
    <w:rsid w:val="00CB133D"/>
    <w:rsid w:val="00CB25F8"/>
    <w:rsid w:val="00CB2F85"/>
    <w:rsid w:val="00CB37FF"/>
    <w:rsid w:val="00CB40F9"/>
    <w:rsid w:val="00CB4483"/>
    <w:rsid w:val="00CB46F6"/>
    <w:rsid w:val="00CB4F24"/>
    <w:rsid w:val="00CB5B84"/>
    <w:rsid w:val="00CB5D7D"/>
    <w:rsid w:val="00CB5DD6"/>
    <w:rsid w:val="00CB65EE"/>
    <w:rsid w:val="00CB6B12"/>
    <w:rsid w:val="00CB6B1D"/>
    <w:rsid w:val="00CB76F1"/>
    <w:rsid w:val="00CB79E3"/>
    <w:rsid w:val="00CB7C99"/>
    <w:rsid w:val="00CC3DCB"/>
    <w:rsid w:val="00CC42EF"/>
    <w:rsid w:val="00CC4532"/>
    <w:rsid w:val="00CC5436"/>
    <w:rsid w:val="00CC57C9"/>
    <w:rsid w:val="00CC58AD"/>
    <w:rsid w:val="00CC5E32"/>
    <w:rsid w:val="00CC6D4D"/>
    <w:rsid w:val="00CC743A"/>
    <w:rsid w:val="00CD1883"/>
    <w:rsid w:val="00CD30BF"/>
    <w:rsid w:val="00CD3691"/>
    <w:rsid w:val="00CD48FA"/>
    <w:rsid w:val="00CD5B3A"/>
    <w:rsid w:val="00CD5BD4"/>
    <w:rsid w:val="00CD6323"/>
    <w:rsid w:val="00CD6448"/>
    <w:rsid w:val="00CD675F"/>
    <w:rsid w:val="00CD6A36"/>
    <w:rsid w:val="00CD7323"/>
    <w:rsid w:val="00CD7586"/>
    <w:rsid w:val="00CD7A87"/>
    <w:rsid w:val="00CE198C"/>
    <w:rsid w:val="00CE26C4"/>
    <w:rsid w:val="00CE4CF5"/>
    <w:rsid w:val="00CE56B5"/>
    <w:rsid w:val="00CE6291"/>
    <w:rsid w:val="00CE65B8"/>
    <w:rsid w:val="00CE6ABA"/>
    <w:rsid w:val="00CF0EF0"/>
    <w:rsid w:val="00CF135B"/>
    <w:rsid w:val="00CF19E7"/>
    <w:rsid w:val="00CF2B33"/>
    <w:rsid w:val="00CF3D0E"/>
    <w:rsid w:val="00CF477C"/>
    <w:rsid w:val="00CF4816"/>
    <w:rsid w:val="00CF591E"/>
    <w:rsid w:val="00CF62A4"/>
    <w:rsid w:val="00CF7580"/>
    <w:rsid w:val="00D00482"/>
    <w:rsid w:val="00D0112D"/>
    <w:rsid w:val="00D018C9"/>
    <w:rsid w:val="00D049AA"/>
    <w:rsid w:val="00D04A88"/>
    <w:rsid w:val="00D055CF"/>
    <w:rsid w:val="00D057B8"/>
    <w:rsid w:val="00D058EE"/>
    <w:rsid w:val="00D05C8C"/>
    <w:rsid w:val="00D06619"/>
    <w:rsid w:val="00D066A6"/>
    <w:rsid w:val="00D10ED5"/>
    <w:rsid w:val="00D11E7E"/>
    <w:rsid w:val="00D13160"/>
    <w:rsid w:val="00D13AD3"/>
    <w:rsid w:val="00D1461B"/>
    <w:rsid w:val="00D15358"/>
    <w:rsid w:val="00D16A7A"/>
    <w:rsid w:val="00D16B0F"/>
    <w:rsid w:val="00D16F0B"/>
    <w:rsid w:val="00D170A7"/>
    <w:rsid w:val="00D17B70"/>
    <w:rsid w:val="00D20750"/>
    <w:rsid w:val="00D20A6C"/>
    <w:rsid w:val="00D2148A"/>
    <w:rsid w:val="00D21F84"/>
    <w:rsid w:val="00D222CD"/>
    <w:rsid w:val="00D22380"/>
    <w:rsid w:val="00D23FEF"/>
    <w:rsid w:val="00D24E9D"/>
    <w:rsid w:val="00D264B5"/>
    <w:rsid w:val="00D26EA8"/>
    <w:rsid w:val="00D26ECB"/>
    <w:rsid w:val="00D274F4"/>
    <w:rsid w:val="00D279F6"/>
    <w:rsid w:val="00D27D5E"/>
    <w:rsid w:val="00D27EF8"/>
    <w:rsid w:val="00D30540"/>
    <w:rsid w:val="00D313D7"/>
    <w:rsid w:val="00D316EF"/>
    <w:rsid w:val="00D31C22"/>
    <w:rsid w:val="00D3206A"/>
    <w:rsid w:val="00D32FD2"/>
    <w:rsid w:val="00D34DF2"/>
    <w:rsid w:val="00D36095"/>
    <w:rsid w:val="00D36187"/>
    <w:rsid w:val="00D36CEE"/>
    <w:rsid w:val="00D375ED"/>
    <w:rsid w:val="00D37629"/>
    <w:rsid w:val="00D37C70"/>
    <w:rsid w:val="00D37DF2"/>
    <w:rsid w:val="00D4030C"/>
    <w:rsid w:val="00D41413"/>
    <w:rsid w:val="00D42461"/>
    <w:rsid w:val="00D4338E"/>
    <w:rsid w:val="00D446EF"/>
    <w:rsid w:val="00D44B12"/>
    <w:rsid w:val="00D44C7C"/>
    <w:rsid w:val="00D45034"/>
    <w:rsid w:val="00D46EB0"/>
    <w:rsid w:val="00D47852"/>
    <w:rsid w:val="00D50B8D"/>
    <w:rsid w:val="00D5109A"/>
    <w:rsid w:val="00D51C0C"/>
    <w:rsid w:val="00D51D8C"/>
    <w:rsid w:val="00D51EC1"/>
    <w:rsid w:val="00D52363"/>
    <w:rsid w:val="00D53989"/>
    <w:rsid w:val="00D54029"/>
    <w:rsid w:val="00D544F6"/>
    <w:rsid w:val="00D549F6"/>
    <w:rsid w:val="00D54A08"/>
    <w:rsid w:val="00D54DED"/>
    <w:rsid w:val="00D56540"/>
    <w:rsid w:val="00D56E98"/>
    <w:rsid w:val="00D57347"/>
    <w:rsid w:val="00D57FC3"/>
    <w:rsid w:val="00D60566"/>
    <w:rsid w:val="00D606D6"/>
    <w:rsid w:val="00D616CA"/>
    <w:rsid w:val="00D618B8"/>
    <w:rsid w:val="00D61F18"/>
    <w:rsid w:val="00D6204E"/>
    <w:rsid w:val="00D62F42"/>
    <w:rsid w:val="00D64D15"/>
    <w:rsid w:val="00D67071"/>
    <w:rsid w:val="00D677E9"/>
    <w:rsid w:val="00D67A74"/>
    <w:rsid w:val="00D70227"/>
    <w:rsid w:val="00D702B6"/>
    <w:rsid w:val="00D71D6E"/>
    <w:rsid w:val="00D71EEE"/>
    <w:rsid w:val="00D71FA5"/>
    <w:rsid w:val="00D7503E"/>
    <w:rsid w:val="00D77778"/>
    <w:rsid w:val="00D80516"/>
    <w:rsid w:val="00D80946"/>
    <w:rsid w:val="00D81F95"/>
    <w:rsid w:val="00D82223"/>
    <w:rsid w:val="00D8284B"/>
    <w:rsid w:val="00D83417"/>
    <w:rsid w:val="00D8387A"/>
    <w:rsid w:val="00D83B52"/>
    <w:rsid w:val="00D83EE2"/>
    <w:rsid w:val="00D84314"/>
    <w:rsid w:val="00D844D4"/>
    <w:rsid w:val="00D84618"/>
    <w:rsid w:val="00D84B5D"/>
    <w:rsid w:val="00D84C04"/>
    <w:rsid w:val="00D85BEE"/>
    <w:rsid w:val="00D8646A"/>
    <w:rsid w:val="00D86552"/>
    <w:rsid w:val="00D87C69"/>
    <w:rsid w:val="00D87CBC"/>
    <w:rsid w:val="00D9012D"/>
    <w:rsid w:val="00D90FD3"/>
    <w:rsid w:val="00D917A8"/>
    <w:rsid w:val="00D917EA"/>
    <w:rsid w:val="00D92490"/>
    <w:rsid w:val="00D93A4C"/>
    <w:rsid w:val="00D93BEC"/>
    <w:rsid w:val="00D93BFA"/>
    <w:rsid w:val="00D93FB9"/>
    <w:rsid w:val="00D94008"/>
    <w:rsid w:val="00D948B1"/>
    <w:rsid w:val="00D9539B"/>
    <w:rsid w:val="00D962D1"/>
    <w:rsid w:val="00D96B25"/>
    <w:rsid w:val="00D979EC"/>
    <w:rsid w:val="00DA0F08"/>
    <w:rsid w:val="00DA168D"/>
    <w:rsid w:val="00DA198F"/>
    <w:rsid w:val="00DA337A"/>
    <w:rsid w:val="00DA3458"/>
    <w:rsid w:val="00DA345E"/>
    <w:rsid w:val="00DA38C5"/>
    <w:rsid w:val="00DA4151"/>
    <w:rsid w:val="00DA421C"/>
    <w:rsid w:val="00DA451A"/>
    <w:rsid w:val="00DA4BF8"/>
    <w:rsid w:val="00DA4D9B"/>
    <w:rsid w:val="00DA5200"/>
    <w:rsid w:val="00DA638A"/>
    <w:rsid w:val="00DA67C1"/>
    <w:rsid w:val="00DA697F"/>
    <w:rsid w:val="00DB15EE"/>
    <w:rsid w:val="00DB1AA1"/>
    <w:rsid w:val="00DB2C20"/>
    <w:rsid w:val="00DB3236"/>
    <w:rsid w:val="00DB5899"/>
    <w:rsid w:val="00DB5F5D"/>
    <w:rsid w:val="00DB6DCA"/>
    <w:rsid w:val="00DB75C6"/>
    <w:rsid w:val="00DC0D1D"/>
    <w:rsid w:val="00DC1198"/>
    <w:rsid w:val="00DC202E"/>
    <w:rsid w:val="00DC2B88"/>
    <w:rsid w:val="00DC3893"/>
    <w:rsid w:val="00DC39FF"/>
    <w:rsid w:val="00DC3D78"/>
    <w:rsid w:val="00DC3DD5"/>
    <w:rsid w:val="00DC45C1"/>
    <w:rsid w:val="00DC4F16"/>
    <w:rsid w:val="00DC7492"/>
    <w:rsid w:val="00DD0925"/>
    <w:rsid w:val="00DD1131"/>
    <w:rsid w:val="00DD3930"/>
    <w:rsid w:val="00DD4064"/>
    <w:rsid w:val="00DD448D"/>
    <w:rsid w:val="00DD4BAF"/>
    <w:rsid w:val="00DD4C2A"/>
    <w:rsid w:val="00DD60DF"/>
    <w:rsid w:val="00DD774A"/>
    <w:rsid w:val="00DE0EE1"/>
    <w:rsid w:val="00DE18EA"/>
    <w:rsid w:val="00DE25E0"/>
    <w:rsid w:val="00DE417A"/>
    <w:rsid w:val="00DE44F6"/>
    <w:rsid w:val="00DE4693"/>
    <w:rsid w:val="00DE503D"/>
    <w:rsid w:val="00DE6239"/>
    <w:rsid w:val="00DE67C0"/>
    <w:rsid w:val="00DE7203"/>
    <w:rsid w:val="00DE7440"/>
    <w:rsid w:val="00DF01B7"/>
    <w:rsid w:val="00DF0360"/>
    <w:rsid w:val="00DF174A"/>
    <w:rsid w:val="00DF1BC1"/>
    <w:rsid w:val="00DF4000"/>
    <w:rsid w:val="00DF46AE"/>
    <w:rsid w:val="00DF599D"/>
    <w:rsid w:val="00DF5A33"/>
    <w:rsid w:val="00E00315"/>
    <w:rsid w:val="00E0051F"/>
    <w:rsid w:val="00E018BF"/>
    <w:rsid w:val="00E01DFF"/>
    <w:rsid w:val="00E045E6"/>
    <w:rsid w:val="00E05285"/>
    <w:rsid w:val="00E05AF6"/>
    <w:rsid w:val="00E061DD"/>
    <w:rsid w:val="00E06588"/>
    <w:rsid w:val="00E0770D"/>
    <w:rsid w:val="00E077EA"/>
    <w:rsid w:val="00E07CFD"/>
    <w:rsid w:val="00E07E88"/>
    <w:rsid w:val="00E07EF3"/>
    <w:rsid w:val="00E11750"/>
    <w:rsid w:val="00E11794"/>
    <w:rsid w:val="00E12ABF"/>
    <w:rsid w:val="00E1413F"/>
    <w:rsid w:val="00E1570F"/>
    <w:rsid w:val="00E17E24"/>
    <w:rsid w:val="00E20AE3"/>
    <w:rsid w:val="00E212DD"/>
    <w:rsid w:val="00E21322"/>
    <w:rsid w:val="00E22771"/>
    <w:rsid w:val="00E228FD"/>
    <w:rsid w:val="00E238BD"/>
    <w:rsid w:val="00E24098"/>
    <w:rsid w:val="00E24FCA"/>
    <w:rsid w:val="00E25088"/>
    <w:rsid w:val="00E262B8"/>
    <w:rsid w:val="00E266C9"/>
    <w:rsid w:val="00E26992"/>
    <w:rsid w:val="00E26FEE"/>
    <w:rsid w:val="00E27AD6"/>
    <w:rsid w:val="00E307A6"/>
    <w:rsid w:val="00E307F3"/>
    <w:rsid w:val="00E31115"/>
    <w:rsid w:val="00E31692"/>
    <w:rsid w:val="00E31AEC"/>
    <w:rsid w:val="00E3203A"/>
    <w:rsid w:val="00E32360"/>
    <w:rsid w:val="00E32CC0"/>
    <w:rsid w:val="00E32D9C"/>
    <w:rsid w:val="00E32FC0"/>
    <w:rsid w:val="00E331EB"/>
    <w:rsid w:val="00E34123"/>
    <w:rsid w:val="00E34208"/>
    <w:rsid w:val="00E342E4"/>
    <w:rsid w:val="00E3486D"/>
    <w:rsid w:val="00E34AE0"/>
    <w:rsid w:val="00E34EE2"/>
    <w:rsid w:val="00E35338"/>
    <w:rsid w:val="00E362BE"/>
    <w:rsid w:val="00E36A56"/>
    <w:rsid w:val="00E36B77"/>
    <w:rsid w:val="00E37367"/>
    <w:rsid w:val="00E37A20"/>
    <w:rsid w:val="00E37B23"/>
    <w:rsid w:val="00E415E4"/>
    <w:rsid w:val="00E41897"/>
    <w:rsid w:val="00E42424"/>
    <w:rsid w:val="00E424BA"/>
    <w:rsid w:val="00E42655"/>
    <w:rsid w:val="00E426D6"/>
    <w:rsid w:val="00E4293F"/>
    <w:rsid w:val="00E43B49"/>
    <w:rsid w:val="00E43DBA"/>
    <w:rsid w:val="00E44206"/>
    <w:rsid w:val="00E44489"/>
    <w:rsid w:val="00E453A7"/>
    <w:rsid w:val="00E45685"/>
    <w:rsid w:val="00E4591B"/>
    <w:rsid w:val="00E461D2"/>
    <w:rsid w:val="00E50646"/>
    <w:rsid w:val="00E51F9C"/>
    <w:rsid w:val="00E522A3"/>
    <w:rsid w:val="00E522DF"/>
    <w:rsid w:val="00E52D6E"/>
    <w:rsid w:val="00E5308A"/>
    <w:rsid w:val="00E5384C"/>
    <w:rsid w:val="00E55FD1"/>
    <w:rsid w:val="00E56D0F"/>
    <w:rsid w:val="00E56D39"/>
    <w:rsid w:val="00E5797D"/>
    <w:rsid w:val="00E579B6"/>
    <w:rsid w:val="00E619DE"/>
    <w:rsid w:val="00E62BCD"/>
    <w:rsid w:val="00E62C65"/>
    <w:rsid w:val="00E62CF8"/>
    <w:rsid w:val="00E6384D"/>
    <w:rsid w:val="00E64474"/>
    <w:rsid w:val="00E65250"/>
    <w:rsid w:val="00E66785"/>
    <w:rsid w:val="00E66FAB"/>
    <w:rsid w:val="00E675E8"/>
    <w:rsid w:val="00E708C2"/>
    <w:rsid w:val="00E7157B"/>
    <w:rsid w:val="00E71A76"/>
    <w:rsid w:val="00E73695"/>
    <w:rsid w:val="00E738F1"/>
    <w:rsid w:val="00E73E49"/>
    <w:rsid w:val="00E74E4A"/>
    <w:rsid w:val="00E7628F"/>
    <w:rsid w:val="00E76E2B"/>
    <w:rsid w:val="00E7733A"/>
    <w:rsid w:val="00E77566"/>
    <w:rsid w:val="00E80ECC"/>
    <w:rsid w:val="00E81076"/>
    <w:rsid w:val="00E81723"/>
    <w:rsid w:val="00E81ED3"/>
    <w:rsid w:val="00E834A0"/>
    <w:rsid w:val="00E845B9"/>
    <w:rsid w:val="00E85258"/>
    <w:rsid w:val="00E856EA"/>
    <w:rsid w:val="00E857F8"/>
    <w:rsid w:val="00E85F92"/>
    <w:rsid w:val="00E902B3"/>
    <w:rsid w:val="00E90485"/>
    <w:rsid w:val="00E91F92"/>
    <w:rsid w:val="00E937CD"/>
    <w:rsid w:val="00E94E81"/>
    <w:rsid w:val="00E95595"/>
    <w:rsid w:val="00E95A2C"/>
    <w:rsid w:val="00E95B32"/>
    <w:rsid w:val="00E95DBC"/>
    <w:rsid w:val="00E9647C"/>
    <w:rsid w:val="00E96B79"/>
    <w:rsid w:val="00E96C53"/>
    <w:rsid w:val="00E96E81"/>
    <w:rsid w:val="00EA2002"/>
    <w:rsid w:val="00EA27F0"/>
    <w:rsid w:val="00EA2A3E"/>
    <w:rsid w:val="00EA2B67"/>
    <w:rsid w:val="00EA32C2"/>
    <w:rsid w:val="00EA32D9"/>
    <w:rsid w:val="00EA411A"/>
    <w:rsid w:val="00EA42C3"/>
    <w:rsid w:val="00EA4C68"/>
    <w:rsid w:val="00EA55E8"/>
    <w:rsid w:val="00EA6469"/>
    <w:rsid w:val="00EB124E"/>
    <w:rsid w:val="00EB1AB9"/>
    <w:rsid w:val="00EB1E81"/>
    <w:rsid w:val="00EB2311"/>
    <w:rsid w:val="00EB25C7"/>
    <w:rsid w:val="00EB264A"/>
    <w:rsid w:val="00EB48F1"/>
    <w:rsid w:val="00EB64B8"/>
    <w:rsid w:val="00EB6989"/>
    <w:rsid w:val="00EC25DB"/>
    <w:rsid w:val="00EC27BF"/>
    <w:rsid w:val="00EC2E3D"/>
    <w:rsid w:val="00EC32D9"/>
    <w:rsid w:val="00EC394C"/>
    <w:rsid w:val="00EC4AAD"/>
    <w:rsid w:val="00EC514F"/>
    <w:rsid w:val="00EC7231"/>
    <w:rsid w:val="00ED029B"/>
    <w:rsid w:val="00ED0441"/>
    <w:rsid w:val="00ED107F"/>
    <w:rsid w:val="00ED123F"/>
    <w:rsid w:val="00ED186C"/>
    <w:rsid w:val="00ED2463"/>
    <w:rsid w:val="00ED2E1C"/>
    <w:rsid w:val="00ED3CCB"/>
    <w:rsid w:val="00ED63A2"/>
    <w:rsid w:val="00ED64EB"/>
    <w:rsid w:val="00ED650A"/>
    <w:rsid w:val="00ED7B27"/>
    <w:rsid w:val="00EE07DF"/>
    <w:rsid w:val="00EE1160"/>
    <w:rsid w:val="00EE190C"/>
    <w:rsid w:val="00EE1F64"/>
    <w:rsid w:val="00EE39C6"/>
    <w:rsid w:val="00EE3E2D"/>
    <w:rsid w:val="00EE4CF0"/>
    <w:rsid w:val="00EE50E1"/>
    <w:rsid w:val="00EE5A92"/>
    <w:rsid w:val="00EF070C"/>
    <w:rsid w:val="00EF0E84"/>
    <w:rsid w:val="00EF2505"/>
    <w:rsid w:val="00EF2CFE"/>
    <w:rsid w:val="00EF30AD"/>
    <w:rsid w:val="00EF3439"/>
    <w:rsid w:val="00EF3F43"/>
    <w:rsid w:val="00EF41F5"/>
    <w:rsid w:val="00EF462A"/>
    <w:rsid w:val="00EF4C8E"/>
    <w:rsid w:val="00EF4F5A"/>
    <w:rsid w:val="00EF5379"/>
    <w:rsid w:val="00EF6833"/>
    <w:rsid w:val="00EF73CC"/>
    <w:rsid w:val="00EF7B4D"/>
    <w:rsid w:val="00EF7FC6"/>
    <w:rsid w:val="00F003B9"/>
    <w:rsid w:val="00F00BBB"/>
    <w:rsid w:val="00F015C2"/>
    <w:rsid w:val="00F02616"/>
    <w:rsid w:val="00F03302"/>
    <w:rsid w:val="00F03EC4"/>
    <w:rsid w:val="00F0577B"/>
    <w:rsid w:val="00F05C57"/>
    <w:rsid w:val="00F06652"/>
    <w:rsid w:val="00F066C0"/>
    <w:rsid w:val="00F07203"/>
    <w:rsid w:val="00F102B0"/>
    <w:rsid w:val="00F1068F"/>
    <w:rsid w:val="00F10F7F"/>
    <w:rsid w:val="00F1144F"/>
    <w:rsid w:val="00F12135"/>
    <w:rsid w:val="00F12833"/>
    <w:rsid w:val="00F1355F"/>
    <w:rsid w:val="00F13583"/>
    <w:rsid w:val="00F13884"/>
    <w:rsid w:val="00F14BC4"/>
    <w:rsid w:val="00F1518F"/>
    <w:rsid w:val="00F156FF"/>
    <w:rsid w:val="00F16324"/>
    <w:rsid w:val="00F1725E"/>
    <w:rsid w:val="00F17A89"/>
    <w:rsid w:val="00F17AD3"/>
    <w:rsid w:val="00F17B03"/>
    <w:rsid w:val="00F17D52"/>
    <w:rsid w:val="00F17FB0"/>
    <w:rsid w:val="00F21E1D"/>
    <w:rsid w:val="00F21EC1"/>
    <w:rsid w:val="00F22CA8"/>
    <w:rsid w:val="00F23B35"/>
    <w:rsid w:val="00F241BE"/>
    <w:rsid w:val="00F260CE"/>
    <w:rsid w:val="00F26B2C"/>
    <w:rsid w:val="00F27CD0"/>
    <w:rsid w:val="00F30326"/>
    <w:rsid w:val="00F314DC"/>
    <w:rsid w:val="00F316ED"/>
    <w:rsid w:val="00F32318"/>
    <w:rsid w:val="00F325FB"/>
    <w:rsid w:val="00F3330F"/>
    <w:rsid w:val="00F337CE"/>
    <w:rsid w:val="00F351E4"/>
    <w:rsid w:val="00F37A6B"/>
    <w:rsid w:val="00F4052E"/>
    <w:rsid w:val="00F40A16"/>
    <w:rsid w:val="00F40B3B"/>
    <w:rsid w:val="00F40B61"/>
    <w:rsid w:val="00F416C2"/>
    <w:rsid w:val="00F42B97"/>
    <w:rsid w:val="00F437A4"/>
    <w:rsid w:val="00F43D98"/>
    <w:rsid w:val="00F4415D"/>
    <w:rsid w:val="00F46652"/>
    <w:rsid w:val="00F467E8"/>
    <w:rsid w:val="00F46A2A"/>
    <w:rsid w:val="00F46C50"/>
    <w:rsid w:val="00F4727F"/>
    <w:rsid w:val="00F50106"/>
    <w:rsid w:val="00F50591"/>
    <w:rsid w:val="00F50DBA"/>
    <w:rsid w:val="00F517E4"/>
    <w:rsid w:val="00F523E9"/>
    <w:rsid w:val="00F526C8"/>
    <w:rsid w:val="00F526E3"/>
    <w:rsid w:val="00F53289"/>
    <w:rsid w:val="00F53376"/>
    <w:rsid w:val="00F535F0"/>
    <w:rsid w:val="00F543EF"/>
    <w:rsid w:val="00F54496"/>
    <w:rsid w:val="00F54AD3"/>
    <w:rsid w:val="00F554D3"/>
    <w:rsid w:val="00F5659D"/>
    <w:rsid w:val="00F56801"/>
    <w:rsid w:val="00F56A3C"/>
    <w:rsid w:val="00F60E0F"/>
    <w:rsid w:val="00F61E51"/>
    <w:rsid w:val="00F630ED"/>
    <w:rsid w:val="00F64813"/>
    <w:rsid w:val="00F649FE"/>
    <w:rsid w:val="00F6590D"/>
    <w:rsid w:val="00F65D35"/>
    <w:rsid w:val="00F66334"/>
    <w:rsid w:val="00F6690F"/>
    <w:rsid w:val="00F66FAC"/>
    <w:rsid w:val="00F673F7"/>
    <w:rsid w:val="00F674B6"/>
    <w:rsid w:val="00F67815"/>
    <w:rsid w:val="00F67CD5"/>
    <w:rsid w:val="00F70C3A"/>
    <w:rsid w:val="00F734ED"/>
    <w:rsid w:val="00F7449F"/>
    <w:rsid w:val="00F74530"/>
    <w:rsid w:val="00F74EBF"/>
    <w:rsid w:val="00F757DB"/>
    <w:rsid w:val="00F75A94"/>
    <w:rsid w:val="00F75AB3"/>
    <w:rsid w:val="00F77860"/>
    <w:rsid w:val="00F77EE2"/>
    <w:rsid w:val="00F82430"/>
    <w:rsid w:val="00F838D7"/>
    <w:rsid w:val="00F83C05"/>
    <w:rsid w:val="00F83EB3"/>
    <w:rsid w:val="00F83ECE"/>
    <w:rsid w:val="00F83F9C"/>
    <w:rsid w:val="00F87BC1"/>
    <w:rsid w:val="00F90372"/>
    <w:rsid w:val="00F90DC1"/>
    <w:rsid w:val="00F90FF9"/>
    <w:rsid w:val="00F91200"/>
    <w:rsid w:val="00F91669"/>
    <w:rsid w:val="00F93008"/>
    <w:rsid w:val="00F9406B"/>
    <w:rsid w:val="00F94641"/>
    <w:rsid w:val="00F94E5B"/>
    <w:rsid w:val="00F95544"/>
    <w:rsid w:val="00F959A6"/>
    <w:rsid w:val="00F963FF"/>
    <w:rsid w:val="00F9790A"/>
    <w:rsid w:val="00F97FCA"/>
    <w:rsid w:val="00FA2671"/>
    <w:rsid w:val="00FA2A22"/>
    <w:rsid w:val="00FA317E"/>
    <w:rsid w:val="00FA322D"/>
    <w:rsid w:val="00FA33B8"/>
    <w:rsid w:val="00FA3C76"/>
    <w:rsid w:val="00FA4330"/>
    <w:rsid w:val="00FA4D84"/>
    <w:rsid w:val="00FA74A3"/>
    <w:rsid w:val="00FA771A"/>
    <w:rsid w:val="00FB214D"/>
    <w:rsid w:val="00FB2C3E"/>
    <w:rsid w:val="00FB414B"/>
    <w:rsid w:val="00FB4B48"/>
    <w:rsid w:val="00FB5A24"/>
    <w:rsid w:val="00FB5A68"/>
    <w:rsid w:val="00FB5D03"/>
    <w:rsid w:val="00FB6080"/>
    <w:rsid w:val="00FB6149"/>
    <w:rsid w:val="00FB6A7C"/>
    <w:rsid w:val="00FB7677"/>
    <w:rsid w:val="00FB7D94"/>
    <w:rsid w:val="00FB7F41"/>
    <w:rsid w:val="00FC0128"/>
    <w:rsid w:val="00FC05A5"/>
    <w:rsid w:val="00FC0C0C"/>
    <w:rsid w:val="00FC1E7A"/>
    <w:rsid w:val="00FC1EFE"/>
    <w:rsid w:val="00FC303D"/>
    <w:rsid w:val="00FC3FBF"/>
    <w:rsid w:val="00FC411C"/>
    <w:rsid w:val="00FC423A"/>
    <w:rsid w:val="00FC4344"/>
    <w:rsid w:val="00FC44F4"/>
    <w:rsid w:val="00FC6C99"/>
    <w:rsid w:val="00FC771D"/>
    <w:rsid w:val="00FD00AB"/>
    <w:rsid w:val="00FD1055"/>
    <w:rsid w:val="00FD16BA"/>
    <w:rsid w:val="00FD3323"/>
    <w:rsid w:val="00FD3F5C"/>
    <w:rsid w:val="00FD68B6"/>
    <w:rsid w:val="00FD6C0D"/>
    <w:rsid w:val="00FD6EFD"/>
    <w:rsid w:val="00FE026E"/>
    <w:rsid w:val="00FE1613"/>
    <w:rsid w:val="00FE18E2"/>
    <w:rsid w:val="00FE2F86"/>
    <w:rsid w:val="00FE37DB"/>
    <w:rsid w:val="00FE3B7D"/>
    <w:rsid w:val="00FE3EB0"/>
    <w:rsid w:val="00FE41B5"/>
    <w:rsid w:val="00FF0184"/>
    <w:rsid w:val="00FF04DD"/>
    <w:rsid w:val="00FF0694"/>
    <w:rsid w:val="00FF0FDB"/>
    <w:rsid w:val="00FF1108"/>
    <w:rsid w:val="00FF127D"/>
    <w:rsid w:val="00FF1584"/>
    <w:rsid w:val="00FF17E2"/>
    <w:rsid w:val="00FF26B3"/>
    <w:rsid w:val="00FF2722"/>
    <w:rsid w:val="00FF277B"/>
    <w:rsid w:val="00FF2F0A"/>
    <w:rsid w:val="00FF5A79"/>
    <w:rsid w:val="00FF6B37"/>
    <w:rsid w:val="01FC2816"/>
    <w:rsid w:val="02113974"/>
    <w:rsid w:val="031A1D51"/>
    <w:rsid w:val="03335CC3"/>
    <w:rsid w:val="03404493"/>
    <w:rsid w:val="035305E9"/>
    <w:rsid w:val="041B0A5C"/>
    <w:rsid w:val="04477AA3"/>
    <w:rsid w:val="047D5273"/>
    <w:rsid w:val="04F33787"/>
    <w:rsid w:val="050109F9"/>
    <w:rsid w:val="05834B0B"/>
    <w:rsid w:val="0599208A"/>
    <w:rsid w:val="05D801AC"/>
    <w:rsid w:val="071023CF"/>
    <w:rsid w:val="079052BE"/>
    <w:rsid w:val="08A76D63"/>
    <w:rsid w:val="09147AC9"/>
    <w:rsid w:val="091F4B4B"/>
    <w:rsid w:val="09A64A23"/>
    <w:rsid w:val="0A241C10"/>
    <w:rsid w:val="0A892BC4"/>
    <w:rsid w:val="0A984BB5"/>
    <w:rsid w:val="0AA3355A"/>
    <w:rsid w:val="0B0269B2"/>
    <w:rsid w:val="0B09160F"/>
    <w:rsid w:val="0C161A76"/>
    <w:rsid w:val="0C774C9E"/>
    <w:rsid w:val="0DD00B0A"/>
    <w:rsid w:val="0DE545B5"/>
    <w:rsid w:val="0E093993"/>
    <w:rsid w:val="0E567261"/>
    <w:rsid w:val="0E77406B"/>
    <w:rsid w:val="0F046CBD"/>
    <w:rsid w:val="0F4F5A9F"/>
    <w:rsid w:val="0F517A28"/>
    <w:rsid w:val="0F6B26E1"/>
    <w:rsid w:val="106A6FF4"/>
    <w:rsid w:val="115231C3"/>
    <w:rsid w:val="117F262B"/>
    <w:rsid w:val="11902A8A"/>
    <w:rsid w:val="11CA062F"/>
    <w:rsid w:val="12360DEA"/>
    <w:rsid w:val="12435D4E"/>
    <w:rsid w:val="12905D43"/>
    <w:rsid w:val="138A3509"/>
    <w:rsid w:val="14A95C11"/>
    <w:rsid w:val="14BA1BCC"/>
    <w:rsid w:val="14DA2D7C"/>
    <w:rsid w:val="150579F2"/>
    <w:rsid w:val="16D056D6"/>
    <w:rsid w:val="172577D0"/>
    <w:rsid w:val="172F68A1"/>
    <w:rsid w:val="17884203"/>
    <w:rsid w:val="17A74689"/>
    <w:rsid w:val="17C52D61"/>
    <w:rsid w:val="182757CA"/>
    <w:rsid w:val="18786026"/>
    <w:rsid w:val="18883EA5"/>
    <w:rsid w:val="18CB0C70"/>
    <w:rsid w:val="197B79A8"/>
    <w:rsid w:val="198D5B01"/>
    <w:rsid w:val="19DC4392"/>
    <w:rsid w:val="19FB2A6A"/>
    <w:rsid w:val="1A147FD0"/>
    <w:rsid w:val="1AB64BE3"/>
    <w:rsid w:val="1B3C6983"/>
    <w:rsid w:val="1B632FBD"/>
    <w:rsid w:val="1BC922AA"/>
    <w:rsid w:val="1BFA2696"/>
    <w:rsid w:val="1C1442B7"/>
    <w:rsid w:val="1C1B5646"/>
    <w:rsid w:val="1C2362A8"/>
    <w:rsid w:val="1C346708"/>
    <w:rsid w:val="1C393D1E"/>
    <w:rsid w:val="1C422BD3"/>
    <w:rsid w:val="1C4D2136"/>
    <w:rsid w:val="1CBA04E3"/>
    <w:rsid w:val="1D2B409D"/>
    <w:rsid w:val="1D3A23ED"/>
    <w:rsid w:val="1E761259"/>
    <w:rsid w:val="1F27791A"/>
    <w:rsid w:val="1F8F25D3"/>
    <w:rsid w:val="1F97758B"/>
    <w:rsid w:val="1F9F033C"/>
    <w:rsid w:val="20DE6C42"/>
    <w:rsid w:val="21025026"/>
    <w:rsid w:val="21115574"/>
    <w:rsid w:val="213D605E"/>
    <w:rsid w:val="223F09BD"/>
    <w:rsid w:val="22456F79"/>
    <w:rsid w:val="224F429B"/>
    <w:rsid w:val="22720320"/>
    <w:rsid w:val="22D12F02"/>
    <w:rsid w:val="230C3F3A"/>
    <w:rsid w:val="23304C18"/>
    <w:rsid w:val="235D02F2"/>
    <w:rsid w:val="23737B15"/>
    <w:rsid w:val="240115C5"/>
    <w:rsid w:val="246F652F"/>
    <w:rsid w:val="24AF4B7D"/>
    <w:rsid w:val="24ED56A6"/>
    <w:rsid w:val="25513E86"/>
    <w:rsid w:val="25EB7E37"/>
    <w:rsid w:val="26A5448A"/>
    <w:rsid w:val="26D66D39"/>
    <w:rsid w:val="26DC3C24"/>
    <w:rsid w:val="27335F39"/>
    <w:rsid w:val="274E2D73"/>
    <w:rsid w:val="280A408E"/>
    <w:rsid w:val="284321AC"/>
    <w:rsid w:val="2876193B"/>
    <w:rsid w:val="28846321"/>
    <w:rsid w:val="28F53B1A"/>
    <w:rsid w:val="29475CCC"/>
    <w:rsid w:val="29AA1DB7"/>
    <w:rsid w:val="2A3E70CF"/>
    <w:rsid w:val="2A497822"/>
    <w:rsid w:val="2B4D3342"/>
    <w:rsid w:val="2B9C229D"/>
    <w:rsid w:val="2BBE7D9C"/>
    <w:rsid w:val="2C6721E1"/>
    <w:rsid w:val="2C9D14F9"/>
    <w:rsid w:val="2CA376BD"/>
    <w:rsid w:val="2CB668DD"/>
    <w:rsid w:val="2CD07D87"/>
    <w:rsid w:val="2CEB2E12"/>
    <w:rsid w:val="2D1C13A1"/>
    <w:rsid w:val="2D1E4F96"/>
    <w:rsid w:val="2DE25FC3"/>
    <w:rsid w:val="2DEC299E"/>
    <w:rsid w:val="2E476967"/>
    <w:rsid w:val="2E9418AD"/>
    <w:rsid w:val="2F191EB9"/>
    <w:rsid w:val="2F425571"/>
    <w:rsid w:val="2FC1507F"/>
    <w:rsid w:val="2FD36F28"/>
    <w:rsid w:val="2FD7142C"/>
    <w:rsid w:val="2FF50215"/>
    <w:rsid w:val="2FFB336C"/>
    <w:rsid w:val="31C3435E"/>
    <w:rsid w:val="32056724"/>
    <w:rsid w:val="326611FE"/>
    <w:rsid w:val="3330157F"/>
    <w:rsid w:val="333C6176"/>
    <w:rsid w:val="336D2CB6"/>
    <w:rsid w:val="33F22CD8"/>
    <w:rsid w:val="3427167F"/>
    <w:rsid w:val="34963664"/>
    <w:rsid w:val="351153E0"/>
    <w:rsid w:val="355359F9"/>
    <w:rsid w:val="35BE7316"/>
    <w:rsid w:val="35E04853"/>
    <w:rsid w:val="36AA789A"/>
    <w:rsid w:val="36E36908"/>
    <w:rsid w:val="36E508D2"/>
    <w:rsid w:val="370B4103"/>
    <w:rsid w:val="3742663D"/>
    <w:rsid w:val="37607F59"/>
    <w:rsid w:val="37702892"/>
    <w:rsid w:val="37985945"/>
    <w:rsid w:val="37D03331"/>
    <w:rsid w:val="383907D1"/>
    <w:rsid w:val="38C42E95"/>
    <w:rsid w:val="38D94467"/>
    <w:rsid w:val="390E5EBF"/>
    <w:rsid w:val="3A1F234D"/>
    <w:rsid w:val="3A2859CA"/>
    <w:rsid w:val="3AA34D2C"/>
    <w:rsid w:val="3B377D7B"/>
    <w:rsid w:val="3BD3519D"/>
    <w:rsid w:val="3BFA4E20"/>
    <w:rsid w:val="3C1732DC"/>
    <w:rsid w:val="3C2F4ACA"/>
    <w:rsid w:val="3C3B6FE0"/>
    <w:rsid w:val="3CEA09F1"/>
    <w:rsid w:val="3CF47C16"/>
    <w:rsid w:val="3D0575D8"/>
    <w:rsid w:val="3D232155"/>
    <w:rsid w:val="3D4A5933"/>
    <w:rsid w:val="3D932E36"/>
    <w:rsid w:val="3DAB63D2"/>
    <w:rsid w:val="3DBA05F9"/>
    <w:rsid w:val="3DEB2AAC"/>
    <w:rsid w:val="3E245E28"/>
    <w:rsid w:val="3E5C76CC"/>
    <w:rsid w:val="3FAA58BB"/>
    <w:rsid w:val="3FBB0422"/>
    <w:rsid w:val="3FC6515D"/>
    <w:rsid w:val="3FE94F8F"/>
    <w:rsid w:val="40503261"/>
    <w:rsid w:val="408D0011"/>
    <w:rsid w:val="40D21EC7"/>
    <w:rsid w:val="411E0665"/>
    <w:rsid w:val="41405FEF"/>
    <w:rsid w:val="4168282C"/>
    <w:rsid w:val="429C09DF"/>
    <w:rsid w:val="42B929E3"/>
    <w:rsid w:val="436332AB"/>
    <w:rsid w:val="43A86F10"/>
    <w:rsid w:val="44332C7D"/>
    <w:rsid w:val="44BD4C3D"/>
    <w:rsid w:val="45051599"/>
    <w:rsid w:val="45392515"/>
    <w:rsid w:val="465670F7"/>
    <w:rsid w:val="46F30DEA"/>
    <w:rsid w:val="477B67F3"/>
    <w:rsid w:val="47D74267"/>
    <w:rsid w:val="47E04ECA"/>
    <w:rsid w:val="48404C8D"/>
    <w:rsid w:val="487F0B87"/>
    <w:rsid w:val="48E22EC4"/>
    <w:rsid w:val="490E381C"/>
    <w:rsid w:val="491D5A86"/>
    <w:rsid w:val="497A75A0"/>
    <w:rsid w:val="4A792E08"/>
    <w:rsid w:val="4AF67BC6"/>
    <w:rsid w:val="4B4D546B"/>
    <w:rsid w:val="4B5C0D0B"/>
    <w:rsid w:val="4BE625BC"/>
    <w:rsid w:val="4C0B4263"/>
    <w:rsid w:val="4CA0731E"/>
    <w:rsid w:val="4CCE26E3"/>
    <w:rsid w:val="4CFB6302"/>
    <w:rsid w:val="4D4F0070"/>
    <w:rsid w:val="4D93478D"/>
    <w:rsid w:val="4DD728CB"/>
    <w:rsid w:val="4E064BCA"/>
    <w:rsid w:val="4F045EE7"/>
    <w:rsid w:val="4F0C2A48"/>
    <w:rsid w:val="4FD64936"/>
    <w:rsid w:val="51EC090F"/>
    <w:rsid w:val="52120376"/>
    <w:rsid w:val="52AC0D6C"/>
    <w:rsid w:val="53130849"/>
    <w:rsid w:val="54041F40"/>
    <w:rsid w:val="54330A77"/>
    <w:rsid w:val="54E3249D"/>
    <w:rsid w:val="559E6EAA"/>
    <w:rsid w:val="56A70496"/>
    <w:rsid w:val="56B063AF"/>
    <w:rsid w:val="56D95906"/>
    <w:rsid w:val="571406EC"/>
    <w:rsid w:val="57154464"/>
    <w:rsid w:val="574F3973"/>
    <w:rsid w:val="576D24F2"/>
    <w:rsid w:val="57B343A9"/>
    <w:rsid w:val="57EE53E1"/>
    <w:rsid w:val="58801DB1"/>
    <w:rsid w:val="596B2465"/>
    <w:rsid w:val="5988716F"/>
    <w:rsid w:val="5A074538"/>
    <w:rsid w:val="5AE1122D"/>
    <w:rsid w:val="5C3B671B"/>
    <w:rsid w:val="5C55054B"/>
    <w:rsid w:val="5CC2508E"/>
    <w:rsid w:val="5D5757D7"/>
    <w:rsid w:val="5D814602"/>
    <w:rsid w:val="5D885990"/>
    <w:rsid w:val="5DA14CA4"/>
    <w:rsid w:val="5DD07337"/>
    <w:rsid w:val="5DFB44CF"/>
    <w:rsid w:val="5E3E24F3"/>
    <w:rsid w:val="5E5B4E53"/>
    <w:rsid w:val="5EB84053"/>
    <w:rsid w:val="5EE25574"/>
    <w:rsid w:val="5F2A3FC9"/>
    <w:rsid w:val="5F6F086D"/>
    <w:rsid w:val="5F7C32D2"/>
    <w:rsid w:val="601E438A"/>
    <w:rsid w:val="604069F6"/>
    <w:rsid w:val="6074044E"/>
    <w:rsid w:val="6082700E"/>
    <w:rsid w:val="60E07891"/>
    <w:rsid w:val="614B5652"/>
    <w:rsid w:val="61503C64"/>
    <w:rsid w:val="61504A17"/>
    <w:rsid w:val="632C5010"/>
    <w:rsid w:val="63422A85"/>
    <w:rsid w:val="63A31776"/>
    <w:rsid w:val="641E2F57"/>
    <w:rsid w:val="64923598"/>
    <w:rsid w:val="6514755F"/>
    <w:rsid w:val="651E6BDA"/>
    <w:rsid w:val="65C41E50"/>
    <w:rsid w:val="65E05BD0"/>
    <w:rsid w:val="65E63075"/>
    <w:rsid w:val="660B715E"/>
    <w:rsid w:val="665E7F09"/>
    <w:rsid w:val="66DE4873"/>
    <w:rsid w:val="66E16111"/>
    <w:rsid w:val="66F91029"/>
    <w:rsid w:val="67B53825"/>
    <w:rsid w:val="67C07655"/>
    <w:rsid w:val="67FF2204"/>
    <w:rsid w:val="687F3E33"/>
    <w:rsid w:val="68AA0EB0"/>
    <w:rsid w:val="690C0CC9"/>
    <w:rsid w:val="69414957"/>
    <w:rsid w:val="69F148BD"/>
    <w:rsid w:val="69F331D1"/>
    <w:rsid w:val="6A276531"/>
    <w:rsid w:val="6AC00E5F"/>
    <w:rsid w:val="6AFF300A"/>
    <w:rsid w:val="6C0703C8"/>
    <w:rsid w:val="6C272818"/>
    <w:rsid w:val="6C3C2767"/>
    <w:rsid w:val="6C4038DA"/>
    <w:rsid w:val="6C4C2328"/>
    <w:rsid w:val="6DE54739"/>
    <w:rsid w:val="6DFA27CA"/>
    <w:rsid w:val="6E245261"/>
    <w:rsid w:val="6E4476B1"/>
    <w:rsid w:val="6E9C573F"/>
    <w:rsid w:val="6ED50C51"/>
    <w:rsid w:val="6ED51DBD"/>
    <w:rsid w:val="6EDB5EB5"/>
    <w:rsid w:val="6FF43F24"/>
    <w:rsid w:val="7023779A"/>
    <w:rsid w:val="702909FF"/>
    <w:rsid w:val="70E94540"/>
    <w:rsid w:val="71436346"/>
    <w:rsid w:val="71494FDF"/>
    <w:rsid w:val="71B72890"/>
    <w:rsid w:val="71E80C9B"/>
    <w:rsid w:val="721A3A99"/>
    <w:rsid w:val="72822E9E"/>
    <w:rsid w:val="73734595"/>
    <w:rsid w:val="73A440F2"/>
    <w:rsid w:val="73C03C7E"/>
    <w:rsid w:val="73F676A0"/>
    <w:rsid w:val="74116287"/>
    <w:rsid w:val="745919DD"/>
    <w:rsid w:val="747B5DF7"/>
    <w:rsid w:val="75181B39"/>
    <w:rsid w:val="762F6A42"/>
    <w:rsid w:val="77974CF6"/>
    <w:rsid w:val="77C47AB5"/>
    <w:rsid w:val="78F47F26"/>
    <w:rsid w:val="798B6ADC"/>
    <w:rsid w:val="79BD656A"/>
    <w:rsid w:val="7A1A39BC"/>
    <w:rsid w:val="7A8C48BA"/>
    <w:rsid w:val="7B1D5512"/>
    <w:rsid w:val="7B5D1DB2"/>
    <w:rsid w:val="7BAD0F8C"/>
    <w:rsid w:val="7BCB7132"/>
    <w:rsid w:val="7CB7016E"/>
    <w:rsid w:val="7CDB0AD9"/>
    <w:rsid w:val="7CF02D66"/>
    <w:rsid w:val="7D814CF3"/>
    <w:rsid w:val="7DBD2FDC"/>
    <w:rsid w:val="7DC12ACC"/>
    <w:rsid w:val="7DCC76C3"/>
    <w:rsid w:val="7F6A2CF0"/>
    <w:rsid w:val="7FA837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等线" w:hAnsi="等线" w:eastAsia="等线" w:cs="等线"/>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qFormat="1"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480" w:lineRule="auto"/>
      <w:ind w:firstLine="240" w:firstLineChars="100"/>
      <w:jc w:val="both"/>
    </w:pPr>
    <w:rPr>
      <w:rFonts w:ascii="Times New Roman" w:hAnsi="Times New Roman" w:cs="Times New Roman" w:eastAsiaTheme="minorEastAsia"/>
      <w:color w:val="2E2E2E"/>
      <w:kern w:val="2"/>
      <w:sz w:val="24"/>
      <w:szCs w:val="24"/>
      <w:lang w:val="en-US" w:eastAsia="zh-CN" w:bidi="ar-SA"/>
    </w:rPr>
  </w:style>
  <w:style w:type="paragraph" w:styleId="2">
    <w:name w:val="heading 1"/>
    <w:basedOn w:val="1"/>
    <w:link w:val="24"/>
    <w:autoRedefine/>
    <w:qFormat/>
    <w:uiPriority w:val="9"/>
    <w:pPr>
      <w:widowControl/>
      <w:spacing w:before="100" w:beforeAutospacing="1" w:after="100" w:afterAutospacing="1" w:line="240" w:lineRule="auto"/>
      <w:jc w:val="left"/>
      <w:outlineLvl w:val="0"/>
    </w:pPr>
    <w:rPr>
      <w:rFonts w:ascii="宋体" w:hAnsi="宋体" w:eastAsia="宋体" w:cs="宋体"/>
      <w:b/>
      <w:bCs/>
      <w:color w:val="auto"/>
      <w:kern w:val="36"/>
      <w:sz w:val="48"/>
      <w:szCs w:val="48"/>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9"/>
    <w:autoRedefine/>
    <w:semiHidden/>
    <w:unhideWhenUsed/>
    <w:qFormat/>
    <w:uiPriority w:val="99"/>
    <w:pPr>
      <w:jc w:val="left"/>
    </w:pPr>
  </w:style>
  <w:style w:type="paragraph" w:styleId="4">
    <w:name w:val="footer"/>
    <w:basedOn w:val="1"/>
    <w:link w:val="14"/>
    <w:autoRedefine/>
    <w:unhideWhenUsed/>
    <w:qFormat/>
    <w:uiPriority w:val="99"/>
    <w:pPr>
      <w:tabs>
        <w:tab w:val="center" w:pos="4153"/>
        <w:tab w:val="right" w:pos="8306"/>
      </w:tabs>
      <w:snapToGrid w:val="0"/>
      <w:jc w:val="left"/>
    </w:pPr>
    <w:rPr>
      <w:sz w:val="18"/>
      <w:szCs w:val="18"/>
    </w:rPr>
  </w:style>
  <w:style w:type="paragraph" w:styleId="5">
    <w:name w:val="header"/>
    <w:basedOn w:val="1"/>
    <w:link w:val="13"/>
    <w:autoRedefine/>
    <w:unhideWhenUsed/>
    <w:qFormat/>
    <w:uiPriority w:val="99"/>
    <w:pPr>
      <w:tabs>
        <w:tab w:val="center" w:pos="4153"/>
        <w:tab w:val="right" w:pos="8306"/>
      </w:tabs>
      <w:snapToGrid w:val="0"/>
      <w:jc w:val="center"/>
    </w:pPr>
    <w:rPr>
      <w:sz w:val="18"/>
      <w:szCs w:val="18"/>
    </w:rPr>
  </w:style>
  <w:style w:type="paragraph" w:styleId="6">
    <w:name w:val="annotation subject"/>
    <w:basedOn w:val="3"/>
    <w:next w:val="3"/>
    <w:link w:val="20"/>
    <w:autoRedefine/>
    <w:semiHidden/>
    <w:unhideWhenUsed/>
    <w:qFormat/>
    <w:uiPriority w:val="99"/>
    <w:rPr>
      <w:b/>
      <w:bCs/>
    </w:rPr>
  </w:style>
  <w:style w:type="table" w:styleId="8">
    <w:name w:val="Table Grid"/>
    <w:basedOn w:val="7"/>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line number"/>
    <w:basedOn w:val="9"/>
    <w:autoRedefine/>
    <w:semiHidden/>
    <w:unhideWhenUsed/>
    <w:qFormat/>
    <w:uiPriority w:val="99"/>
  </w:style>
  <w:style w:type="character" w:styleId="11">
    <w:name w:val="Hyperlink"/>
    <w:basedOn w:val="9"/>
    <w:autoRedefine/>
    <w:unhideWhenUsed/>
    <w:qFormat/>
    <w:uiPriority w:val="99"/>
    <w:rPr>
      <w:color w:val="0000FF"/>
      <w:u w:val="single"/>
    </w:rPr>
  </w:style>
  <w:style w:type="character" w:styleId="12">
    <w:name w:val="annotation reference"/>
    <w:basedOn w:val="9"/>
    <w:autoRedefine/>
    <w:semiHidden/>
    <w:unhideWhenUsed/>
    <w:qFormat/>
    <w:uiPriority w:val="99"/>
    <w:rPr>
      <w:sz w:val="21"/>
      <w:szCs w:val="21"/>
    </w:rPr>
  </w:style>
  <w:style w:type="character" w:customStyle="1" w:styleId="13">
    <w:name w:val="页眉 字符"/>
    <w:basedOn w:val="9"/>
    <w:link w:val="5"/>
    <w:autoRedefine/>
    <w:qFormat/>
    <w:uiPriority w:val="99"/>
    <w:rPr>
      <w:sz w:val="18"/>
      <w:szCs w:val="18"/>
    </w:rPr>
  </w:style>
  <w:style w:type="character" w:customStyle="1" w:styleId="14">
    <w:name w:val="页脚 字符"/>
    <w:basedOn w:val="9"/>
    <w:link w:val="4"/>
    <w:autoRedefine/>
    <w:qFormat/>
    <w:uiPriority w:val="99"/>
    <w:rPr>
      <w:sz w:val="18"/>
      <w:szCs w:val="18"/>
    </w:rPr>
  </w:style>
  <w:style w:type="paragraph" w:customStyle="1" w:styleId="15">
    <w:name w:val="EndNote Bibliography Title"/>
    <w:basedOn w:val="1"/>
    <w:link w:val="16"/>
    <w:autoRedefine/>
    <w:qFormat/>
    <w:uiPriority w:val="0"/>
    <w:pPr>
      <w:jc w:val="center"/>
    </w:pPr>
    <w:rPr>
      <w:rFonts w:ascii="等线" w:hAnsi="等线" w:eastAsia="等线"/>
      <w:sz w:val="20"/>
    </w:rPr>
  </w:style>
  <w:style w:type="character" w:customStyle="1" w:styleId="16">
    <w:name w:val="EndNote Bibliography Title 字符"/>
    <w:basedOn w:val="9"/>
    <w:link w:val="15"/>
    <w:autoRedefine/>
    <w:qFormat/>
    <w:uiPriority w:val="0"/>
    <w:rPr>
      <w:rFonts w:cs="Times New Roman"/>
      <w:color w:val="2E2E2E"/>
      <w:kern w:val="2"/>
      <w:szCs w:val="24"/>
    </w:rPr>
  </w:style>
  <w:style w:type="paragraph" w:customStyle="1" w:styleId="17">
    <w:name w:val="EndNote Bibliography"/>
    <w:basedOn w:val="1"/>
    <w:link w:val="18"/>
    <w:autoRedefine/>
    <w:qFormat/>
    <w:uiPriority w:val="0"/>
    <w:pPr>
      <w:spacing w:line="240" w:lineRule="auto"/>
    </w:pPr>
    <w:rPr>
      <w:rFonts w:ascii="等线" w:hAnsi="等线" w:eastAsia="等线"/>
      <w:sz w:val="20"/>
    </w:rPr>
  </w:style>
  <w:style w:type="character" w:customStyle="1" w:styleId="18">
    <w:name w:val="EndNote Bibliography 字符"/>
    <w:basedOn w:val="9"/>
    <w:link w:val="17"/>
    <w:autoRedefine/>
    <w:qFormat/>
    <w:uiPriority w:val="0"/>
    <w:rPr>
      <w:rFonts w:cs="Times New Roman"/>
      <w:color w:val="2E2E2E"/>
      <w:kern w:val="2"/>
      <w:szCs w:val="24"/>
    </w:rPr>
  </w:style>
  <w:style w:type="character" w:customStyle="1" w:styleId="19">
    <w:name w:val="批注文字 字符"/>
    <w:basedOn w:val="9"/>
    <w:link w:val="3"/>
    <w:autoRedefine/>
    <w:semiHidden/>
    <w:qFormat/>
    <w:uiPriority w:val="99"/>
    <w:rPr>
      <w:kern w:val="2"/>
      <w:sz w:val="21"/>
      <w:szCs w:val="22"/>
    </w:rPr>
  </w:style>
  <w:style w:type="character" w:customStyle="1" w:styleId="20">
    <w:name w:val="批注主题 字符"/>
    <w:basedOn w:val="19"/>
    <w:link w:val="6"/>
    <w:autoRedefine/>
    <w:semiHidden/>
    <w:qFormat/>
    <w:uiPriority w:val="99"/>
    <w:rPr>
      <w:b/>
      <w:bCs/>
      <w:kern w:val="2"/>
      <w:sz w:val="21"/>
      <w:szCs w:val="22"/>
    </w:rPr>
  </w:style>
  <w:style w:type="character" w:customStyle="1" w:styleId="21">
    <w:name w:val="15"/>
    <w:basedOn w:val="9"/>
    <w:autoRedefine/>
    <w:qFormat/>
    <w:uiPriority w:val="0"/>
    <w:rPr>
      <w:rFonts w:hint="eastAsia" w:ascii="等线" w:hAnsi="等线" w:eastAsia="等线"/>
      <w:color w:val="0000FF"/>
      <w:u w:val="single"/>
    </w:rPr>
  </w:style>
  <w:style w:type="paragraph" w:styleId="22">
    <w:name w:val="List Paragraph"/>
    <w:basedOn w:val="1"/>
    <w:autoRedefine/>
    <w:unhideWhenUsed/>
    <w:qFormat/>
    <w:uiPriority w:val="99"/>
    <w:pPr>
      <w:ind w:firstLine="420" w:firstLineChars="200"/>
    </w:pPr>
  </w:style>
  <w:style w:type="character" w:customStyle="1" w:styleId="23">
    <w:name w:val="未处理的提及1"/>
    <w:basedOn w:val="9"/>
    <w:semiHidden/>
    <w:unhideWhenUsed/>
    <w:qFormat/>
    <w:uiPriority w:val="99"/>
    <w:rPr>
      <w:color w:val="605E5C"/>
      <w:shd w:val="clear" w:color="auto" w:fill="E1DFDD"/>
    </w:rPr>
  </w:style>
  <w:style w:type="character" w:customStyle="1" w:styleId="24">
    <w:name w:val="标题 1 字符"/>
    <w:basedOn w:val="9"/>
    <w:link w:val="2"/>
    <w:qFormat/>
    <w:uiPriority w:val="9"/>
    <w:rPr>
      <w:rFonts w:ascii="宋体" w:hAnsi="宋体" w:eastAsia="宋体" w:cs="宋体"/>
      <w:b/>
      <w:bCs/>
      <w:kern w:val="36"/>
      <w:sz w:val="48"/>
      <w:szCs w:val="48"/>
    </w:rPr>
  </w:style>
  <w:style w:type="character" w:customStyle="1" w:styleId="25">
    <w:name w:val="未处理的提及2"/>
    <w:basedOn w:val="9"/>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24D38E-C441-463F-9426-068051E16270}">
  <ds:schemaRefs/>
</ds:datastoreItem>
</file>

<file path=docProps/app.xml><?xml version="1.0" encoding="utf-8"?>
<Properties xmlns="http://schemas.openxmlformats.org/officeDocument/2006/extended-properties" xmlns:vt="http://schemas.openxmlformats.org/officeDocument/2006/docPropsVTypes">
  <Template>Normal.dotm</Template>
  <Pages>8</Pages>
  <Words>1536</Words>
  <Characters>9386</Characters>
  <Lines>89</Lines>
  <Paragraphs>25</Paragraphs>
  <TotalTime>896</TotalTime>
  <ScaleCrop>false</ScaleCrop>
  <LinksUpToDate>false</LinksUpToDate>
  <CharactersWithSpaces>10882</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2025-08-15T07:58:00Z</dcterms:created>
  <dc:creator>张 笑梅</dc:creator>
  <cp:lastModifiedBy>Xiaomei Zhang</cp:lastModifiedBy>
  <dcterms:modified xsi:type="dcterms:W3CDTF">2025-10-28T11:45:42Z</dcterms:modified>
  <cp:revision>144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263065A8617B4CF59FA280638D52CAEE_12</vt:lpwstr>
  </property>
  <property fmtid="{D5CDD505-2E9C-101B-9397-08002B2CF9AE}" pid="4" name="KSOTemplateDocerSaveRecord">
    <vt:lpwstr>eyJoZGlkIjoiMWM5MTVmMzgwZjQ0ZDcxNWUyYmNmZTNkN2YwOGUzZjMiLCJ1c2VySWQiOiIzMTM4NDYyNTkifQ==</vt:lpwstr>
  </property>
</Properties>
</file>