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74D2B" w14:textId="77777777" w:rsidR="0063039C" w:rsidRDefault="0063039C" w:rsidP="0063039C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OLE_LINK46"/>
      <w:bookmarkStart w:id="1" w:name="OLE_LINK47"/>
      <w:r>
        <w:rPr>
          <w:rFonts w:ascii="Times New Roman" w:hAnsi="Times New Roman" w:cs="Times New Roman"/>
          <w:b/>
          <w:bCs/>
          <w:color w:val="000000" w:themeColor="text1"/>
        </w:rPr>
        <w:t>Supplemental table 1</w:t>
      </w:r>
      <w:bookmarkEnd w:id="0"/>
      <w:r>
        <w:rPr>
          <w:rFonts w:ascii="Times New Roman" w:hAnsi="Times New Roman" w:cs="Times New Roman"/>
          <w:b/>
          <w:bCs/>
          <w:color w:val="000000" w:themeColor="text1"/>
        </w:rPr>
        <w:t>: Autoimmune diseases and the associated T cell abnormality</w:t>
      </w:r>
    </w:p>
    <w:tbl>
      <w:tblPr>
        <w:tblStyle w:val="af2"/>
        <w:tblW w:w="10348" w:type="dxa"/>
        <w:tblInd w:w="-1139" w:type="dxa"/>
        <w:tblLook w:val="04A0" w:firstRow="1" w:lastRow="0" w:firstColumn="1" w:lastColumn="0" w:noHBand="0" w:noVBand="1"/>
      </w:tblPr>
      <w:tblGrid>
        <w:gridCol w:w="1406"/>
        <w:gridCol w:w="2705"/>
        <w:gridCol w:w="2410"/>
        <w:gridCol w:w="1178"/>
        <w:gridCol w:w="2649"/>
      </w:tblGrid>
      <w:tr w:rsidR="0063039C" w14:paraId="5B4E6B5C" w14:textId="77777777"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981AB9" w14:textId="77777777" w:rsidR="0063039C" w:rsidRDefault="006303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Autoimmune diseases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61C92" w14:textId="77777777" w:rsidR="0063039C" w:rsidRDefault="006303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Phenotypic alteration of T cells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C3066C" w14:textId="77777777" w:rsidR="0063039C" w:rsidRDefault="006303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T cell activation abnormalities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DA40F8" w14:textId="77777777" w:rsidR="0063039C" w:rsidRDefault="006303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Secreted cytokines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FB1481" w14:textId="77777777" w:rsidR="0063039C" w:rsidRDefault="006303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References</w:t>
            </w:r>
          </w:p>
        </w:tc>
      </w:tr>
      <w:tr w:rsidR="0063039C" w14:paraId="7EC4EFC7" w14:textId="77777777"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7981BC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SLE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72F6EB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Th1, Th2, Th17, Treg,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Tfh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, Th10 cells and double negative T cells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77653F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TCR signaling pathway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73ED7D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IL-17, IL-21, IL-2, IFN-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γ</w:t>
            </w:r>
            <w:r>
              <w:rPr>
                <w:color w:val="000000" w:themeColor="text1"/>
                <w:sz w:val="18"/>
                <w:szCs w:val="18"/>
              </w:rPr>
              <w:t>, TGF-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β</w:t>
            </w:r>
            <w:r>
              <w:rPr>
                <w:color w:val="000000" w:themeColor="text1"/>
                <w:sz w:val="18"/>
                <w:szCs w:val="18"/>
              </w:rPr>
              <w:t>, and IL-23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AB8D0" w14:textId="6F728F9B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References:</w:t>
            </w:r>
            <w:r w:rsidR="005D1E53" w:rsidRPr="005D1E53">
              <w:rPr>
                <w:rFonts w:hint="eastAsia"/>
                <w:vertAlign w:val="superscript"/>
              </w:rPr>
              <w:t>1-3</w:t>
            </w:r>
            <w:r w:rsidR="005D1E53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D40ECB0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3039C" w14:paraId="1B7AB267" w14:textId="77777777"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FAF4F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RA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55A05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CD4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t>+</w:t>
            </w:r>
            <w:r>
              <w:rPr>
                <w:color w:val="000000" w:themeColor="text1"/>
                <w:sz w:val="18"/>
                <w:szCs w:val="18"/>
              </w:rPr>
              <w:t>CD45RO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t>+</w:t>
            </w:r>
            <w:r>
              <w:rPr>
                <w:color w:val="000000" w:themeColor="text1"/>
                <w:sz w:val="18"/>
                <w:szCs w:val="18"/>
              </w:rPr>
              <w:t xml:space="preserve"> memory T cells,</w:t>
            </w:r>
          </w:p>
          <w:p w14:paraId="0F3B3003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Th1, Th2, Th17, Treg and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Tfh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cells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D8D6C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JAK1-STAT1/3 pathway</w:t>
            </w:r>
          </w:p>
          <w:p w14:paraId="59175A20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TCR signaling pathway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95B0F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IL-17, IL-6, IL-1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β</w:t>
            </w:r>
            <w:r>
              <w:rPr>
                <w:color w:val="000000" w:themeColor="text1"/>
                <w:sz w:val="18"/>
                <w:szCs w:val="18"/>
              </w:rPr>
              <w:t>, IL-8, and TNF-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α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</w:tcPr>
          <w:p w14:paraId="66573BB1" w14:textId="713BA6EB" w:rsidR="0063039C" w:rsidRDefault="0063039C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References:</w:t>
            </w:r>
            <w:r w:rsidRPr="005D1E53">
              <w:rPr>
                <w:color w:val="000000" w:themeColor="text1"/>
                <w:szCs w:val="21"/>
                <w:vertAlign w:val="superscript"/>
              </w:rPr>
              <w:t xml:space="preserve"> </w:t>
            </w:r>
            <w:r w:rsidR="005D1E53" w:rsidRPr="005D1E53">
              <w:rPr>
                <w:rFonts w:hint="eastAsia"/>
                <w:color w:val="000000" w:themeColor="text1"/>
                <w:szCs w:val="21"/>
                <w:vertAlign w:val="superscript"/>
              </w:rPr>
              <w:t>4-6</w:t>
            </w:r>
          </w:p>
          <w:p w14:paraId="3B99EF36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3039C" w14:paraId="14DD8B70" w14:textId="77777777"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1ACD58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MS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447E17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CD8</w:t>
            </w:r>
            <w:r>
              <w:rPr>
                <w:color w:val="000000" w:themeColor="text1"/>
                <w:sz w:val="18"/>
                <w:szCs w:val="18"/>
                <w:vertAlign w:val="superscript"/>
              </w:rPr>
              <w:t>+</w:t>
            </w:r>
            <w:r>
              <w:rPr>
                <w:color w:val="000000" w:themeColor="text1"/>
                <w:sz w:val="18"/>
                <w:szCs w:val="18"/>
              </w:rPr>
              <w:t xml:space="preserve"> effector memory T cells with type II interferon signature,</w:t>
            </w:r>
          </w:p>
          <w:p w14:paraId="16A5F905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CTLA-4 expression on both CD4 and CD8 T cells,</w:t>
            </w:r>
          </w:p>
          <w:p w14:paraId="784F0549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Th17 cells,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8AC4DF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TCR signaling pathway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AF6287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IL-17, IFN-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γ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37B68" w14:textId="566EEF61" w:rsidR="0063039C" w:rsidRDefault="0063039C">
            <w:pPr>
              <w:jc w:val="center"/>
              <w:rPr>
                <w:rFonts w:hint="eastAsia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References: </w:t>
            </w:r>
            <w:r w:rsidR="005D1E53" w:rsidRPr="005D1E53">
              <w:rPr>
                <w:rFonts w:hint="eastAsia"/>
                <w:vertAlign w:val="superscript"/>
              </w:rPr>
              <w:t>7-9</w:t>
            </w:r>
          </w:p>
          <w:p w14:paraId="42821E9F" w14:textId="77777777" w:rsidR="0063039C" w:rsidRDefault="0063039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bookmarkEnd w:id="1"/>
      </w:tr>
    </w:tbl>
    <w:p w14:paraId="5F50DC12" w14:textId="77777777" w:rsidR="00527288" w:rsidRDefault="00527288"/>
    <w:p w14:paraId="225CBDD6" w14:textId="77777777" w:rsidR="005D1E53" w:rsidRDefault="005D1E53"/>
    <w:p w14:paraId="171AF30F" w14:textId="6525F9F0" w:rsidR="005D1E53" w:rsidRPr="005D1E53" w:rsidRDefault="005D1E53">
      <w:pPr>
        <w:rPr>
          <w:rFonts w:ascii="Times New Roman" w:hAnsi="Times New Roman" w:cs="Times New Roman"/>
          <w:b/>
          <w:bCs/>
          <w:szCs w:val="21"/>
        </w:rPr>
      </w:pPr>
      <w:r w:rsidRPr="005D1E53">
        <w:rPr>
          <w:rFonts w:ascii="Times New Roman" w:hAnsi="Times New Roman" w:cs="Times New Roman"/>
          <w:b/>
          <w:bCs/>
          <w:szCs w:val="21"/>
        </w:rPr>
        <w:t>References:</w:t>
      </w:r>
    </w:p>
    <w:p w14:paraId="76416308" w14:textId="316B6A0A" w:rsidR="005D1E53" w:rsidRPr="00C63866" w:rsidRDefault="005D1E53" w:rsidP="00C6386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C63866">
        <w:rPr>
          <w:rFonts w:ascii="Times New Roman" w:hAnsi="Times New Roman" w:cs="Times New Roman"/>
          <w:sz w:val="21"/>
          <w:szCs w:val="21"/>
        </w:rPr>
        <w:t xml:space="preserve">Li H, </w:t>
      </w:r>
      <w:proofErr w:type="spellStart"/>
      <w:r w:rsidRPr="00C63866">
        <w:rPr>
          <w:rFonts w:ascii="Times New Roman" w:hAnsi="Times New Roman" w:cs="Times New Roman"/>
          <w:sz w:val="21"/>
          <w:szCs w:val="21"/>
        </w:rPr>
        <w:t>Boulougoura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 xml:space="preserve"> A, Endo Y, </w:t>
      </w:r>
      <w:proofErr w:type="spellStart"/>
      <w:r w:rsidRPr="00C63866">
        <w:rPr>
          <w:rFonts w:ascii="Times New Roman" w:hAnsi="Times New Roman" w:cs="Times New Roman"/>
          <w:sz w:val="21"/>
          <w:szCs w:val="21"/>
        </w:rPr>
        <w:t>Tsokos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 xml:space="preserve"> GC. Abnormalities of T cells in systemic lupus </w:t>
      </w:r>
      <w:r w:rsidRPr="006F121F">
        <w:rPr>
          <w:rFonts w:ascii="Times New Roman" w:hAnsi="Times New Roman" w:cs="Times New Roman"/>
          <w:sz w:val="21"/>
          <w:szCs w:val="21"/>
        </w:rPr>
        <w:t xml:space="preserve">erythematosus: new insights in pathogenesis and therapeutic strategies. J </w:t>
      </w:r>
      <w:proofErr w:type="spellStart"/>
      <w:r w:rsidRPr="006F121F">
        <w:rPr>
          <w:rFonts w:ascii="Times New Roman" w:hAnsi="Times New Roman" w:cs="Times New Roman"/>
          <w:sz w:val="21"/>
          <w:szCs w:val="21"/>
        </w:rPr>
        <w:t>Autoimmun</w:t>
      </w:r>
      <w:proofErr w:type="spellEnd"/>
      <w:r w:rsidRPr="006F121F">
        <w:rPr>
          <w:rFonts w:ascii="Times New Roman" w:hAnsi="Times New Roman" w:cs="Times New Roman"/>
          <w:sz w:val="21"/>
          <w:szCs w:val="21"/>
        </w:rPr>
        <w:t>. 2022.</w:t>
      </w:r>
      <w:r w:rsidRPr="006F121F">
        <w:rPr>
          <w:rFonts w:ascii="Times New Roman" w:hAnsi="Times New Roman" w:cs="Times New Roman"/>
          <w:sz w:val="21"/>
          <w:szCs w:val="21"/>
          <w:shd w:val="clear" w:color="auto" w:fill="FFFFFF"/>
          <w14:ligatures w14:val="none"/>
        </w:rPr>
        <w:t xml:space="preserve"> </w:t>
      </w:r>
      <w:r w:rsidR="00C63866" w:rsidRPr="006F121F">
        <w:rPr>
          <w:rFonts w:ascii="Times New Roman" w:hAnsi="Times New Roman" w:cs="Times New Roman"/>
          <w:sz w:val="21"/>
          <w:szCs w:val="21"/>
          <w:shd w:val="clear" w:color="auto" w:fill="FFFFFF"/>
          <w14:ligatures w14:val="none"/>
        </w:rPr>
        <w:t>https://doi.org/10.1016/j.jaut.2022.102870.</w:t>
      </w:r>
    </w:p>
    <w:p w14:paraId="3D418245" w14:textId="1EC71997" w:rsidR="005D1E53" w:rsidRPr="00C63866" w:rsidRDefault="005D1E53" w:rsidP="00C6386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C63866">
        <w:rPr>
          <w:rFonts w:ascii="Times New Roman" w:hAnsi="Times New Roman" w:cs="Times New Roman"/>
          <w:sz w:val="21"/>
          <w:szCs w:val="21"/>
        </w:rPr>
        <w:t xml:space="preserve">Zhang Y, Du L, Wang C, Jiang Z, Duan Q, Li Y, et al. Neddylation is a novel therapeutic target for lupus by regulating double negative T cell homeostasis. Signal </w:t>
      </w:r>
      <w:proofErr w:type="spellStart"/>
      <w:r w:rsidRPr="00C63866">
        <w:rPr>
          <w:rFonts w:ascii="Times New Roman" w:hAnsi="Times New Roman" w:cs="Times New Roman"/>
          <w:sz w:val="21"/>
          <w:szCs w:val="21"/>
        </w:rPr>
        <w:t>Transduct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 xml:space="preserve"> Target Ther. 2024.</w:t>
      </w:r>
      <w:r w:rsidRPr="00C63866">
        <w:rPr>
          <w:rFonts w:ascii="Times New Roman" w:hAnsi="Times New Roman" w:cs="Times New Roman"/>
          <w:color w:val="5C6873"/>
          <w:sz w:val="21"/>
          <w:szCs w:val="21"/>
          <w:shd w:val="clear" w:color="auto" w:fill="FFFFFF"/>
          <w14:ligatures w14:val="none"/>
        </w:rPr>
        <w:t xml:space="preserve"> </w:t>
      </w:r>
      <w:r w:rsidRPr="00C63866">
        <w:rPr>
          <w:rFonts w:ascii="Times New Roman" w:hAnsi="Times New Roman" w:cs="Times New Roman"/>
          <w:sz w:val="21"/>
          <w:szCs w:val="21"/>
        </w:rPr>
        <w:t>https://doi.org/10.1038/s41392-023-01709-9.</w:t>
      </w:r>
    </w:p>
    <w:p w14:paraId="1632B305" w14:textId="3E1F7240" w:rsidR="005D1E53" w:rsidRPr="00C63866" w:rsidRDefault="005D1E53" w:rsidP="00C6386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C63866">
        <w:rPr>
          <w:rFonts w:ascii="Times New Roman" w:hAnsi="Times New Roman" w:cs="Times New Roman"/>
          <w:sz w:val="21"/>
          <w:szCs w:val="21"/>
        </w:rPr>
        <w:t>Maleknia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 xml:space="preserve"> S, Salehi Z, Rezaei Tabar V, Sharifi-</w:t>
      </w:r>
      <w:proofErr w:type="spellStart"/>
      <w:r w:rsidRPr="00C63866">
        <w:rPr>
          <w:rFonts w:ascii="Times New Roman" w:hAnsi="Times New Roman" w:cs="Times New Roman"/>
          <w:sz w:val="21"/>
          <w:szCs w:val="21"/>
        </w:rPr>
        <w:t>Zarchi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 xml:space="preserve"> A, </w:t>
      </w:r>
      <w:proofErr w:type="spellStart"/>
      <w:r w:rsidRPr="00C63866">
        <w:rPr>
          <w:rFonts w:ascii="Times New Roman" w:hAnsi="Times New Roman" w:cs="Times New Roman"/>
          <w:sz w:val="21"/>
          <w:szCs w:val="21"/>
        </w:rPr>
        <w:t>Kavousi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 xml:space="preserve"> K. An integrative Bayesian network approach to highlight key drivers in systemic lupus erythematosus. Arthritis Res Ther. 2020.</w:t>
      </w:r>
      <w:r w:rsidRPr="00C63866">
        <w:rPr>
          <w:rFonts w:ascii="Times New Roman" w:hAnsi="Times New Roman" w:cs="Times New Roman"/>
          <w:color w:val="5C6873"/>
          <w:sz w:val="21"/>
          <w:szCs w:val="21"/>
          <w:shd w:val="clear" w:color="auto" w:fill="FFFFFF"/>
          <w14:ligatures w14:val="none"/>
        </w:rPr>
        <w:t xml:space="preserve"> </w:t>
      </w:r>
      <w:r w:rsidRPr="00C63866">
        <w:rPr>
          <w:rFonts w:ascii="Times New Roman" w:hAnsi="Times New Roman" w:cs="Times New Roman"/>
          <w:sz w:val="21"/>
          <w:szCs w:val="21"/>
        </w:rPr>
        <w:t>https://doi.org/10.1186/s13075-020-02239-3.</w:t>
      </w:r>
    </w:p>
    <w:p w14:paraId="6CEC1138" w14:textId="6925098E" w:rsidR="005D1E53" w:rsidRPr="00C63866" w:rsidRDefault="005D1E53" w:rsidP="00C6386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C63866">
        <w:rPr>
          <w:rFonts w:ascii="Times New Roman" w:hAnsi="Times New Roman" w:cs="Times New Roman"/>
          <w:sz w:val="21"/>
          <w:szCs w:val="21"/>
        </w:rPr>
        <w:t>Guo N, Ye S, Zhang K, Yu X, Cui H, Yang X, et al. A critical epitope in CD147 facilitates memory CD4 + T-cell hyper-activation in rheumatoid arthritis. Cell Mol Immunol. 2018;16(6):568–79.</w:t>
      </w:r>
      <w:r w:rsidRPr="00C63866">
        <w:rPr>
          <w:rFonts w:ascii="Times New Roman" w:hAnsi="Times New Roman" w:cs="Times New Roman"/>
          <w:sz w:val="21"/>
          <w:szCs w:val="21"/>
        </w:rPr>
        <w:t xml:space="preserve"> </w:t>
      </w:r>
      <w:hyperlink r:id="rId7" w:history="1">
        <w:r w:rsidRPr="00C63866">
          <w:rPr>
            <w:rFonts w:ascii="Times New Roman" w:hAnsi="Times New Roman" w:cs="Times New Roman"/>
            <w:sz w:val="21"/>
            <w:szCs w:val="21"/>
          </w:rPr>
          <w:t>https://doi.org/10.1038/s41423-018-0012-4</w:t>
        </w:r>
      </w:hyperlink>
      <w:r w:rsidRPr="00C63866">
        <w:rPr>
          <w:rFonts w:ascii="Times New Roman" w:hAnsi="Times New Roman" w:cs="Times New Roman"/>
          <w:sz w:val="21"/>
          <w:szCs w:val="21"/>
        </w:rPr>
        <w:t>.</w:t>
      </w:r>
    </w:p>
    <w:p w14:paraId="143F8F7F" w14:textId="4EA7831A" w:rsidR="005D1E53" w:rsidRPr="00C63866" w:rsidRDefault="005D1E53" w:rsidP="00C6386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C63866">
        <w:rPr>
          <w:rFonts w:ascii="Times New Roman" w:hAnsi="Times New Roman" w:cs="Times New Roman"/>
          <w:sz w:val="21"/>
          <w:szCs w:val="21"/>
        </w:rPr>
        <w:t>Lee S-Y, Moon J, Lee AR, Moon Y-M, Choi JW, Lee CR, et al. mtSTAT3 suppresses rheumatoid arthritis by regulating Th17 and synovial fibroblast inflammatory cell death with IL-17-mediated autophagy dysfunction. Exp Mol Med. 2025;57(1):221–34.</w:t>
      </w:r>
      <w:r w:rsidRPr="00C63866">
        <w:rPr>
          <w:rFonts w:ascii="Times New Roman" w:hAnsi="Times New Roman" w:cs="Times New Roman"/>
          <w:sz w:val="21"/>
          <w:szCs w:val="21"/>
        </w:rPr>
        <w:t xml:space="preserve"> </w:t>
      </w:r>
      <w:hyperlink r:id="rId8" w:history="1">
        <w:r w:rsidRPr="00C63866">
          <w:rPr>
            <w:rFonts w:ascii="Times New Roman" w:hAnsi="Times New Roman" w:cs="Times New Roman"/>
            <w:sz w:val="21"/>
            <w:szCs w:val="21"/>
          </w:rPr>
          <w:t>https://doi.org/10.1038/s12276-024-01376-y</w:t>
        </w:r>
      </w:hyperlink>
      <w:r w:rsidRPr="00C63866">
        <w:rPr>
          <w:rFonts w:ascii="Times New Roman" w:hAnsi="Times New Roman" w:cs="Times New Roman"/>
          <w:sz w:val="21"/>
          <w:szCs w:val="21"/>
        </w:rPr>
        <w:t>.</w:t>
      </w:r>
    </w:p>
    <w:p w14:paraId="7E52F589" w14:textId="0DA26EB9" w:rsidR="005D1E53" w:rsidRPr="00C63866" w:rsidRDefault="005D1E53" w:rsidP="00C6386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C63866">
        <w:rPr>
          <w:rFonts w:ascii="Times New Roman" w:hAnsi="Times New Roman" w:cs="Times New Roman"/>
          <w:sz w:val="21"/>
          <w:szCs w:val="21"/>
        </w:rPr>
        <w:t xml:space="preserve">Jiang X, Wang S, Zhou C, Wu J, Jiao Y, Lin L, et al. Comprehensive TCR repertoire analysis of CD4 + T-cell subsets in rheumatoid arthritis. J </w:t>
      </w:r>
      <w:proofErr w:type="spellStart"/>
      <w:r w:rsidRPr="00C63866">
        <w:rPr>
          <w:rFonts w:ascii="Times New Roman" w:hAnsi="Times New Roman" w:cs="Times New Roman"/>
          <w:sz w:val="21"/>
          <w:szCs w:val="21"/>
        </w:rPr>
        <w:t>Autoimmun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>. 2020.</w:t>
      </w:r>
      <w:r w:rsidRPr="00C63866">
        <w:rPr>
          <w:rFonts w:ascii="Times New Roman" w:hAnsi="Times New Roman" w:cs="Times New Roman"/>
          <w:sz w:val="21"/>
          <w:szCs w:val="21"/>
        </w:rPr>
        <w:t xml:space="preserve"> </w:t>
      </w:r>
      <w:hyperlink r:id="rId9" w:history="1">
        <w:r w:rsidRPr="00C63866">
          <w:rPr>
            <w:rFonts w:ascii="Times New Roman" w:hAnsi="Times New Roman" w:cs="Times New Roman"/>
            <w:sz w:val="21"/>
            <w:szCs w:val="21"/>
          </w:rPr>
          <w:t>https://doi.org/10.1016/j.jaut.2020.102432</w:t>
        </w:r>
      </w:hyperlink>
      <w:r w:rsidRPr="00C63866">
        <w:rPr>
          <w:rFonts w:ascii="Times New Roman" w:hAnsi="Times New Roman" w:cs="Times New Roman"/>
          <w:sz w:val="21"/>
          <w:szCs w:val="21"/>
        </w:rPr>
        <w:t>.</w:t>
      </w:r>
    </w:p>
    <w:p w14:paraId="6EC5F72F" w14:textId="1A83FB83" w:rsidR="005D1E53" w:rsidRPr="00C63866" w:rsidRDefault="005D1E53" w:rsidP="00C6386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C63866">
        <w:rPr>
          <w:rFonts w:ascii="Times New Roman" w:hAnsi="Times New Roman" w:cs="Times New Roman"/>
          <w:sz w:val="21"/>
          <w:szCs w:val="21"/>
        </w:rPr>
        <w:t>Shimagami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 xml:space="preserve"> H, Nishimura K, Matsushita H, </w:t>
      </w:r>
      <w:proofErr w:type="spellStart"/>
      <w:r w:rsidRPr="00C63866">
        <w:rPr>
          <w:rFonts w:ascii="Times New Roman" w:hAnsi="Times New Roman" w:cs="Times New Roman"/>
          <w:sz w:val="21"/>
          <w:szCs w:val="21"/>
        </w:rPr>
        <w:t>Metsugi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 xml:space="preserve"> S, Kato Y, Kawasaki T, et al. Single-cell analysis reveals immune cell abnormalities underlying the clinical heterogeneity of patients with systemic sclerosis. Nat Commun. 2025.</w:t>
      </w:r>
      <w:r w:rsidRPr="00C63866">
        <w:rPr>
          <w:rFonts w:ascii="Times New Roman" w:hAnsi="Times New Roman" w:cs="Times New Roman"/>
          <w:sz w:val="21"/>
          <w:szCs w:val="21"/>
        </w:rPr>
        <w:t xml:space="preserve"> </w:t>
      </w:r>
      <w:hyperlink r:id="rId10" w:history="1">
        <w:r w:rsidRPr="00C63866">
          <w:rPr>
            <w:rFonts w:ascii="Times New Roman" w:hAnsi="Times New Roman" w:cs="Times New Roman"/>
            <w:sz w:val="21"/>
            <w:szCs w:val="21"/>
          </w:rPr>
          <w:t>https://doi.org/10.1038/s41467-025-60034-7</w:t>
        </w:r>
      </w:hyperlink>
      <w:r w:rsidRPr="00C63866">
        <w:rPr>
          <w:rFonts w:ascii="Times New Roman" w:hAnsi="Times New Roman" w:cs="Times New Roman"/>
          <w:sz w:val="21"/>
          <w:szCs w:val="21"/>
        </w:rPr>
        <w:t>.</w:t>
      </w:r>
    </w:p>
    <w:p w14:paraId="457E92CF" w14:textId="247AD20B" w:rsidR="005D1E53" w:rsidRPr="00C63866" w:rsidRDefault="005D1E53" w:rsidP="00C6386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C63866">
        <w:rPr>
          <w:rFonts w:ascii="Times New Roman" w:hAnsi="Times New Roman" w:cs="Times New Roman"/>
          <w:sz w:val="21"/>
          <w:szCs w:val="21"/>
        </w:rPr>
        <w:t xml:space="preserve">Zuroff L, Rezk A, Shinoda K, Espinoza DA, Elyahu Y, Zhang B, et al. Immune aging in </w:t>
      </w:r>
      <w:r w:rsidRPr="00C63866">
        <w:rPr>
          <w:rFonts w:ascii="Times New Roman" w:hAnsi="Times New Roman" w:cs="Times New Roman"/>
          <w:sz w:val="21"/>
          <w:szCs w:val="21"/>
        </w:rPr>
        <w:lastRenderedPageBreak/>
        <w:t xml:space="preserve">multiple sclerosis is characterized by abnormal CD4 T cell activation and increased frequencies of cytotoxic CD4 T cells with advancing age. </w:t>
      </w:r>
      <w:proofErr w:type="spellStart"/>
      <w:r w:rsidRPr="00C63866">
        <w:rPr>
          <w:rFonts w:ascii="Times New Roman" w:hAnsi="Times New Roman" w:cs="Times New Roman"/>
          <w:sz w:val="21"/>
          <w:szCs w:val="21"/>
        </w:rPr>
        <w:t>EBioMedicine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>. 2022.</w:t>
      </w:r>
      <w:r w:rsidRPr="00C63866">
        <w:rPr>
          <w:rFonts w:ascii="Times New Roman" w:hAnsi="Times New Roman" w:cs="Times New Roman"/>
          <w:sz w:val="21"/>
          <w:szCs w:val="21"/>
        </w:rPr>
        <w:t xml:space="preserve"> </w:t>
      </w:r>
      <w:hyperlink r:id="rId11" w:history="1">
        <w:r w:rsidRPr="00C63866">
          <w:rPr>
            <w:rFonts w:ascii="Times New Roman" w:hAnsi="Times New Roman" w:cs="Times New Roman"/>
            <w:sz w:val="21"/>
            <w:szCs w:val="21"/>
          </w:rPr>
          <w:t>https://doi.org/10.1016/j.ebiom.2022.104179</w:t>
        </w:r>
      </w:hyperlink>
      <w:r w:rsidRPr="00C63866">
        <w:rPr>
          <w:rFonts w:ascii="Times New Roman" w:hAnsi="Times New Roman" w:cs="Times New Roman"/>
          <w:sz w:val="21"/>
          <w:szCs w:val="21"/>
        </w:rPr>
        <w:t>.</w:t>
      </w:r>
    </w:p>
    <w:p w14:paraId="10B581C6" w14:textId="3559B600" w:rsidR="005D1E53" w:rsidRPr="00C63866" w:rsidRDefault="005D1E53" w:rsidP="00C63866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proofErr w:type="spellStart"/>
      <w:r w:rsidRPr="00C63866">
        <w:rPr>
          <w:rFonts w:ascii="Times New Roman" w:hAnsi="Times New Roman" w:cs="Times New Roman"/>
          <w:sz w:val="21"/>
          <w:szCs w:val="21"/>
        </w:rPr>
        <w:t>Luoqian</w:t>
      </w:r>
      <w:proofErr w:type="spellEnd"/>
      <w:r w:rsidRPr="00C63866">
        <w:rPr>
          <w:rFonts w:ascii="Times New Roman" w:hAnsi="Times New Roman" w:cs="Times New Roman"/>
          <w:sz w:val="21"/>
          <w:szCs w:val="21"/>
        </w:rPr>
        <w:t xml:space="preserve"> J, Yang W, Ding X, Tuo Q-z, Xiang Z, Zheng Z, et al. Ferroptosis promotes T-cell activation-induced neurodegeneration in multiple sclerosis. Cell Mol Immunol. 2022;19(8):913–24.</w:t>
      </w:r>
      <w:r w:rsidRPr="00C63866">
        <w:rPr>
          <w:rFonts w:ascii="Times New Roman" w:hAnsi="Times New Roman" w:cs="Times New Roman"/>
          <w:sz w:val="21"/>
          <w:szCs w:val="21"/>
        </w:rPr>
        <w:t xml:space="preserve"> </w:t>
      </w:r>
      <w:hyperlink r:id="rId12" w:history="1">
        <w:r w:rsidRPr="00C63866">
          <w:rPr>
            <w:rFonts w:ascii="Times New Roman" w:hAnsi="Times New Roman" w:cs="Times New Roman"/>
            <w:sz w:val="21"/>
            <w:szCs w:val="21"/>
          </w:rPr>
          <w:t>https://doi.org/10.1038/s41423-022-00883-0</w:t>
        </w:r>
      </w:hyperlink>
      <w:r w:rsidRPr="00C63866">
        <w:rPr>
          <w:rFonts w:ascii="Times New Roman" w:hAnsi="Times New Roman" w:cs="Times New Roman"/>
          <w:sz w:val="21"/>
          <w:szCs w:val="21"/>
        </w:rPr>
        <w:t>.</w:t>
      </w:r>
    </w:p>
    <w:sectPr w:rsidR="005D1E53" w:rsidRPr="00C63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251B" w14:textId="77777777" w:rsidR="004C205B" w:rsidRDefault="004C205B" w:rsidP="0063039C">
      <w:pPr>
        <w:rPr>
          <w:rFonts w:hint="eastAsia"/>
        </w:rPr>
      </w:pPr>
      <w:r>
        <w:separator/>
      </w:r>
    </w:p>
  </w:endnote>
  <w:endnote w:type="continuationSeparator" w:id="0">
    <w:p w14:paraId="04C9C68A" w14:textId="77777777" w:rsidR="004C205B" w:rsidRDefault="004C205B" w:rsidP="006303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BBF3" w14:textId="77777777" w:rsidR="004C205B" w:rsidRDefault="004C205B" w:rsidP="0063039C">
      <w:pPr>
        <w:rPr>
          <w:rFonts w:hint="eastAsia"/>
        </w:rPr>
      </w:pPr>
      <w:r>
        <w:separator/>
      </w:r>
    </w:p>
  </w:footnote>
  <w:footnote w:type="continuationSeparator" w:id="0">
    <w:p w14:paraId="556C5530" w14:textId="77777777" w:rsidR="004C205B" w:rsidRDefault="004C205B" w:rsidP="0063039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E126A"/>
    <w:multiLevelType w:val="hybridMultilevel"/>
    <w:tmpl w:val="F4DC3288"/>
    <w:lvl w:ilvl="0" w:tplc="F29A9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8379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03"/>
    <w:rsid w:val="00135E92"/>
    <w:rsid w:val="00176F03"/>
    <w:rsid w:val="001D0520"/>
    <w:rsid w:val="004C205B"/>
    <w:rsid w:val="00527288"/>
    <w:rsid w:val="005D1E53"/>
    <w:rsid w:val="0063039C"/>
    <w:rsid w:val="006F121F"/>
    <w:rsid w:val="008F56F6"/>
    <w:rsid w:val="00937173"/>
    <w:rsid w:val="009F60B7"/>
    <w:rsid w:val="00C6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7DE12"/>
  <w15:chartTrackingRefBased/>
  <w15:docId w15:val="{149B453A-68DF-40B5-AB91-71CD7B64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39C"/>
    <w:pPr>
      <w:spacing w:after="0" w:line="240" w:lineRule="auto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6F03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F03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F03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6F03"/>
    <w:pPr>
      <w:keepNext/>
      <w:keepLines/>
      <w:widowControl w:val="0"/>
      <w:spacing w:before="80" w:after="40" w:line="278" w:lineRule="auto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6F03"/>
    <w:pPr>
      <w:keepNext/>
      <w:keepLines/>
      <w:widowControl w:val="0"/>
      <w:spacing w:before="80" w:after="40" w:line="278" w:lineRule="auto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6F03"/>
    <w:pPr>
      <w:keepNext/>
      <w:keepLines/>
      <w:widowControl w:val="0"/>
      <w:spacing w:before="40" w:line="278" w:lineRule="auto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6F03"/>
    <w:pPr>
      <w:keepNext/>
      <w:keepLines/>
      <w:widowControl w:val="0"/>
      <w:spacing w:before="40" w:line="278" w:lineRule="auto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6F03"/>
    <w:pPr>
      <w:keepNext/>
      <w:keepLines/>
      <w:widowControl w:val="0"/>
      <w:spacing w:line="278" w:lineRule="auto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6F03"/>
    <w:pPr>
      <w:keepNext/>
      <w:keepLines/>
      <w:widowControl w:val="0"/>
      <w:spacing w:line="278" w:lineRule="auto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F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6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6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6F0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6F0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6F0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6F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6F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6F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6F03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76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6F03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76F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6F03"/>
    <w:pPr>
      <w:widowControl w:val="0"/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76F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6F03"/>
    <w:pPr>
      <w:widowControl w:val="0"/>
      <w:spacing w:after="160" w:line="278" w:lineRule="auto"/>
      <w:ind w:left="720"/>
      <w:contextualSpacing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176F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6F0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76F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6F0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039C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3039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3039C"/>
    <w:pPr>
      <w:widowControl w:val="0"/>
      <w:tabs>
        <w:tab w:val="center" w:pos="4153"/>
        <w:tab w:val="right" w:pos="8306"/>
      </w:tabs>
      <w:snapToGrid w:val="0"/>
      <w:spacing w:after="160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3039C"/>
    <w:rPr>
      <w:sz w:val="18"/>
      <w:szCs w:val="18"/>
    </w:rPr>
  </w:style>
  <w:style w:type="table" w:styleId="af2">
    <w:name w:val="Table Grid"/>
    <w:basedOn w:val="a1"/>
    <w:uiPriority w:val="39"/>
    <w:qFormat/>
    <w:rsid w:val="0063039C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5D1E53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5D1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8/s12276-024-01376-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38/s41423-018-0012-4" TargetMode="External"/><Relationship Id="rId12" Type="http://schemas.openxmlformats.org/officeDocument/2006/relationships/hyperlink" Target="https://doi.org/10.1038/s41423-022-00883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ebiom.2022.10417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1038/s41467-025-60034-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aut.2020.1024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Xiaomei Chen</dc:creator>
  <cp:keywords/>
  <dc:description/>
  <cp:lastModifiedBy>Xiaomei Chen</cp:lastModifiedBy>
  <cp:revision>4</cp:revision>
  <dcterms:created xsi:type="dcterms:W3CDTF">2025-11-06T14:27:00Z</dcterms:created>
  <dcterms:modified xsi:type="dcterms:W3CDTF">2025-11-25T14:50:00Z</dcterms:modified>
</cp:coreProperties>
</file>