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3CEFF" w14:textId="149CF108" w:rsidR="00AB09C7" w:rsidRPr="00AB09C7" w:rsidRDefault="00AB09C7" w:rsidP="00AB09C7">
      <w:pPr>
        <w:spacing w:before="240" w:after="240"/>
        <w:jc w:val="both"/>
        <w:rPr>
          <w:bCs/>
          <w:lang w:val="en-US"/>
        </w:rPr>
      </w:pPr>
      <w:r w:rsidRPr="00AB09C7">
        <w:rPr>
          <w:bCs/>
          <w:lang w:val="en-US"/>
        </w:rPr>
        <w:t>Supplement for:</w:t>
      </w:r>
    </w:p>
    <w:p w14:paraId="5E52272A" w14:textId="295BEDB7" w:rsidR="00AB09C7" w:rsidRDefault="00AB09C7" w:rsidP="00AB09C7">
      <w:pPr>
        <w:spacing w:before="240" w:after="240"/>
        <w:jc w:val="both"/>
        <w:rPr>
          <w:b/>
          <w:bCs/>
          <w:lang w:val="en-US"/>
        </w:rPr>
      </w:pPr>
      <w:r w:rsidRPr="00AB09C7">
        <w:rPr>
          <w:b/>
          <w:bCs/>
          <w:lang w:val="en-US"/>
        </w:rPr>
        <w:t>Standard-of-care ciltacabtagene autoleucel in earlier versus later lines of therapy for relapsed or refractory multiple myeloma: a nationwide registry analysis</w:t>
      </w:r>
    </w:p>
    <w:p w14:paraId="1B1137D0" w14:textId="6A5465E6" w:rsidR="00AB09C7" w:rsidRPr="00AB09C7" w:rsidRDefault="00AB09C7" w:rsidP="00AB09C7">
      <w:pPr>
        <w:spacing w:before="240" w:after="240"/>
        <w:jc w:val="both"/>
        <w:rPr>
          <w:bCs/>
          <w:lang w:val="en-US"/>
        </w:rPr>
      </w:pPr>
      <w:r w:rsidRPr="00AB09C7">
        <w:rPr>
          <w:bCs/>
          <w:lang w:val="en-US"/>
        </w:rPr>
        <w:t>Gagelmann et al.</w:t>
      </w:r>
    </w:p>
    <w:p w14:paraId="2879DF1B" w14:textId="77777777" w:rsidR="00AB09C7" w:rsidRDefault="00AB09C7" w:rsidP="00AB09C7">
      <w:pPr>
        <w:spacing w:before="240" w:after="240"/>
        <w:jc w:val="both"/>
        <w:rPr>
          <w:b/>
          <w:bCs/>
          <w:lang w:val="en-US"/>
        </w:rPr>
      </w:pPr>
    </w:p>
    <w:p w14:paraId="10A62781" w14:textId="77777777" w:rsidR="00AB09C7" w:rsidRDefault="00AB09C7" w:rsidP="00AB09C7">
      <w:pPr>
        <w:spacing w:after="160" w:line="259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7C787D1" w14:textId="597FDF61" w:rsidR="00990D8A" w:rsidRDefault="00990D8A" w:rsidP="00AB09C7">
      <w:pPr>
        <w:spacing w:before="240" w:after="240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Content</w:t>
      </w:r>
    </w:p>
    <w:p w14:paraId="5CBEC29B" w14:textId="352F0FAF" w:rsidR="00990D8A" w:rsidRDefault="00990D8A" w:rsidP="00990D8A">
      <w:pPr>
        <w:spacing w:before="240" w:after="24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Methods and Results</w:t>
      </w:r>
      <w:r w:rsidR="002271E4">
        <w:rPr>
          <w:b/>
          <w:bCs/>
          <w:lang w:val="en-US"/>
        </w:rPr>
        <w:t xml:space="preserve"> – pp. 3-5</w:t>
      </w:r>
    </w:p>
    <w:p w14:paraId="2B6FBC4C" w14:textId="1AC4D147" w:rsidR="00FA286C" w:rsidRDefault="00FA286C" w:rsidP="00990D8A">
      <w:pPr>
        <w:spacing w:before="240" w:after="24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Tables</w:t>
      </w:r>
      <w:r w:rsidR="002271E4">
        <w:rPr>
          <w:b/>
          <w:bCs/>
          <w:lang w:val="en-US"/>
        </w:rPr>
        <w:t xml:space="preserve"> – p. 6</w:t>
      </w:r>
    </w:p>
    <w:p w14:paraId="1D2C3AB0" w14:textId="6A8754BD" w:rsidR="00990D8A" w:rsidRDefault="00990D8A" w:rsidP="00990D8A">
      <w:pPr>
        <w:spacing w:before="240" w:after="24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Figures</w:t>
      </w:r>
      <w:r w:rsidR="002271E4">
        <w:rPr>
          <w:b/>
          <w:bCs/>
          <w:lang w:val="en-US"/>
        </w:rPr>
        <w:t xml:space="preserve"> – pp. 7-8</w:t>
      </w:r>
    </w:p>
    <w:p w14:paraId="66DC436B" w14:textId="6A5758EE" w:rsidR="00990D8A" w:rsidRPr="00275C5C" w:rsidRDefault="00990D8A" w:rsidP="00990D8A">
      <w:pPr>
        <w:spacing w:after="160" w:line="259" w:lineRule="auto"/>
        <w:rPr>
          <w:b/>
          <w:bCs/>
          <w:lang w:val="en-US"/>
        </w:rPr>
      </w:pPr>
      <w:r w:rsidRPr="00275C5C">
        <w:rPr>
          <w:b/>
          <w:bCs/>
          <w:lang w:val="en-US"/>
        </w:rPr>
        <w:t>DRST members contributing to this study</w:t>
      </w:r>
      <w:r w:rsidR="002271E4">
        <w:rPr>
          <w:b/>
          <w:bCs/>
          <w:lang w:val="en-US"/>
        </w:rPr>
        <w:t xml:space="preserve"> – p. 9</w:t>
      </w:r>
    </w:p>
    <w:p w14:paraId="4FC00290" w14:textId="77777777" w:rsidR="00990D8A" w:rsidRDefault="00990D8A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74A95AA" w14:textId="7417CA7D" w:rsidR="00AB09C7" w:rsidRDefault="00AB09C7" w:rsidP="00AB09C7">
      <w:pPr>
        <w:spacing w:before="240" w:after="240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Methods and Results</w:t>
      </w:r>
    </w:p>
    <w:p w14:paraId="09574B32" w14:textId="73BDE6C2" w:rsidR="00AB09C7" w:rsidRPr="00AB09C7" w:rsidRDefault="00AB09C7" w:rsidP="00AB09C7">
      <w:pPr>
        <w:spacing w:before="240" w:after="240" w:line="480" w:lineRule="auto"/>
        <w:jc w:val="both"/>
        <w:rPr>
          <w:b/>
          <w:bCs/>
          <w:lang w:val="en-US"/>
        </w:rPr>
      </w:pPr>
      <w:r w:rsidRPr="00AB09C7">
        <w:rPr>
          <w:b/>
          <w:bCs/>
          <w:lang w:val="en-US"/>
        </w:rPr>
        <w:t>Probabilistic identification of functional high-risk disease.</w:t>
      </w:r>
    </w:p>
    <w:p w14:paraId="74EC7D13" w14:textId="77777777" w:rsidR="00AB09C7" w:rsidRPr="00AB09C7" w:rsidRDefault="00AB09C7" w:rsidP="00AB09C7">
      <w:pPr>
        <w:spacing w:before="240" w:after="240" w:line="480" w:lineRule="auto"/>
        <w:jc w:val="both"/>
        <w:rPr>
          <w:bCs/>
          <w:lang w:val="en-US"/>
        </w:rPr>
      </w:pPr>
      <w:r w:rsidRPr="00AB09C7">
        <w:rPr>
          <w:bCs/>
          <w:lang w:val="en-US"/>
        </w:rPr>
        <w:t>The IMWG-consensus definition of functional high-risk (FHR) multiple myeloma — progression-free survival after frontline therapy (PFS1) &lt;18 months — cannot be computed directly from DRST because the date of frontline therapy initiation and the date of first progression are not captured as separable fields. We therefore used a two-step probabilistic strategy to identify FHR patients across the entire cohort.</w:t>
      </w:r>
    </w:p>
    <w:p w14:paraId="2F873FC8" w14:textId="3574604D" w:rsidR="00AB09C7" w:rsidRPr="00AB09C7" w:rsidRDefault="00AB09C7" w:rsidP="00AB09C7">
      <w:pPr>
        <w:spacing w:before="240" w:after="240" w:line="480" w:lineRule="auto"/>
        <w:jc w:val="both"/>
        <w:rPr>
          <w:bCs/>
          <w:lang w:val="en-US"/>
        </w:rPr>
      </w:pPr>
      <w:r w:rsidRPr="00AB09C7">
        <w:rPr>
          <w:bCs/>
          <w:i/>
          <w:iCs/>
          <w:lang w:val="en-US"/>
        </w:rPr>
        <w:t>Training label.</w:t>
      </w:r>
      <w:r w:rsidRPr="00AB09C7">
        <w:rPr>
          <w:bCs/>
          <w:lang w:val="en-US"/>
        </w:rPr>
        <w:t xml:space="preserve"> Among the patients with documented prior autologous stem-cell transplantation (ASCT) </w:t>
      </w:r>
      <w:r>
        <w:rPr>
          <w:bCs/>
          <w:lang w:val="en-US"/>
        </w:rPr>
        <w:t xml:space="preserve">– </w:t>
      </w:r>
      <w:r w:rsidRPr="00AB09C7">
        <w:rPr>
          <w:bCs/>
          <w:lang w:val="en-US"/>
        </w:rPr>
        <w:t xml:space="preserve">the canonical anchor for end-of-frontline therapy in transplant-eligible RRMM </w:t>
      </w:r>
      <w:r>
        <w:rPr>
          <w:bCs/>
          <w:lang w:val="en-US"/>
        </w:rPr>
        <w:t xml:space="preserve">– </w:t>
      </w:r>
      <w:r w:rsidRPr="00AB09C7">
        <w:rPr>
          <w:bCs/>
          <w:lang w:val="en-US"/>
        </w:rPr>
        <w:t>we derived a registry-observable reference label by dichotomizing the ASCT-to-cilta-cel interval at 24 months. This threshold places a strict upper bound on PFS1: any patient with ASCT-to-cilta-cel &lt;24 months must have had PFS1 below 24 months. For the Late-group training label, we used an extended definition (ASCT-to-cilta-cel &lt;36 months OR mean months-per-post-ASCT-line &lt;9 months) to capture FHR biology in patients whose originally rapid PFS1 was followed by multiple subsequent lines before CAR T-cell therapy.</w:t>
      </w:r>
    </w:p>
    <w:p w14:paraId="72A6BB7D" w14:textId="49D1BA05" w:rsidR="00AB09C7" w:rsidRPr="00AB09C7" w:rsidRDefault="00AB09C7" w:rsidP="00AB09C7">
      <w:pPr>
        <w:spacing w:before="240" w:after="240" w:line="480" w:lineRule="auto"/>
        <w:jc w:val="both"/>
        <w:rPr>
          <w:bCs/>
          <w:lang w:val="en-US"/>
        </w:rPr>
      </w:pPr>
      <w:r w:rsidRPr="00AB09C7">
        <w:rPr>
          <w:bCs/>
          <w:i/>
          <w:iCs/>
          <w:lang w:val="en-US"/>
        </w:rPr>
        <w:t>Group-specific models.</w:t>
      </w:r>
      <w:r w:rsidRPr="00AB09C7">
        <w:rPr>
          <w:bCs/>
          <w:lang w:val="en-US"/>
        </w:rPr>
        <w:t xml:space="preserve"> Preliminary analysis using a cohort-wide model revealed that the dominant predictor in the general logistic regression was confounded in the Late-line group, where heavily pretreated patients with originally rapid PFS1 but multiple subsequent lines have long total observation times that mask their underlying FHR biology. We therefore fitted two L2-penalized logistic regression models with class-balancing. For the Early group, a general model used 12 baseline predictors (diagnosis-to-infusion interval, number of prior lines, ISS stage, extramedullary disease, composite high-risk cytogenetics, ECOG ≥2, refractory disease status at infusion, and age at infusion). For the Late group, a velocity-based model used 16 predictors prioritizing features that capture early disease dynamics independent of total observation time: lines-per-year since diagnosis, mean months-per-line, number of prior lines, ISS stage, extramedullary disease, composite high-risk cytogenetics, </w:t>
      </w:r>
      <w:r w:rsidRPr="00AB09C7">
        <w:rPr>
          <w:bCs/>
          <w:lang w:val="en-US"/>
        </w:rPr>
        <w:lastRenderedPageBreak/>
        <w:t>ECOG ≥2, refractory disease status at infusion, prior CAR T-cell exposure (ide-cel), prior CD38 exposure, and age at infusion. Continuous predictors were z-score standardized; missing covariates were median-imputed.</w:t>
      </w:r>
    </w:p>
    <w:p w14:paraId="01739077" w14:textId="77777777" w:rsidR="00AB09C7" w:rsidRPr="00AB09C7" w:rsidRDefault="00AB09C7" w:rsidP="00AB09C7">
      <w:pPr>
        <w:spacing w:before="240" w:after="240" w:line="480" w:lineRule="auto"/>
        <w:jc w:val="both"/>
        <w:rPr>
          <w:bCs/>
          <w:lang w:val="en-US"/>
        </w:rPr>
      </w:pPr>
      <w:r w:rsidRPr="00AB09C7">
        <w:rPr>
          <w:bCs/>
          <w:i/>
          <w:iCs/>
          <w:lang w:val="en-US"/>
        </w:rPr>
        <w:t>Model performance.</w:t>
      </w:r>
      <w:r w:rsidRPr="00AB09C7">
        <w:rPr>
          <w:bCs/>
          <w:lang w:val="en-US"/>
        </w:rPr>
        <w:t xml:space="preserve"> The general model achieved a 5-fold stratified cross-validated area under the ROC curve (AUC) of 0.89; the Late-specific velocity model achieved a cross-validated AUC of 0.93. Internal calibration within the training sets was adequate, with median posterior probability of 0.83 in observed FHR patients versus 0.16 in non-FHR patients for the general model.</w:t>
      </w:r>
    </w:p>
    <w:p w14:paraId="4979E7FE" w14:textId="43CEC309" w:rsidR="00AB09C7" w:rsidRPr="00AB09C7" w:rsidRDefault="00AB09C7" w:rsidP="00AB09C7">
      <w:pPr>
        <w:spacing w:before="240" w:after="240" w:line="480" w:lineRule="auto"/>
        <w:jc w:val="both"/>
        <w:rPr>
          <w:bCs/>
          <w:lang w:val="en-US"/>
        </w:rPr>
      </w:pPr>
      <w:r w:rsidRPr="00AB09C7">
        <w:rPr>
          <w:bCs/>
          <w:i/>
          <w:iCs/>
          <w:lang w:val="en-US"/>
        </w:rPr>
        <w:t>Application and threshold calibration.</w:t>
      </w:r>
      <w:r w:rsidRPr="00AB09C7">
        <w:rPr>
          <w:bCs/>
          <w:lang w:val="en-US"/>
        </w:rPr>
        <w:t xml:space="preserve"> The fitted general model was applied to all Early-group patients and its classification threshold calibrated to a 20% target prevalence in the overall cohort, centered on the published real-world range for RRMM/CAR-T cohorts (15</w:t>
      </w:r>
      <w:r>
        <w:rPr>
          <w:bCs/>
          <w:lang w:val="en-US"/>
        </w:rPr>
        <w:t>-</w:t>
      </w:r>
      <w:r w:rsidRPr="00AB09C7">
        <w:rPr>
          <w:bCs/>
          <w:lang w:val="en-US"/>
        </w:rPr>
        <w:t xml:space="preserve">30%; Corre et al., </w:t>
      </w:r>
      <w:r w:rsidRPr="00AB09C7">
        <w:rPr>
          <w:bCs/>
          <w:i/>
          <w:iCs/>
          <w:lang w:val="en-US"/>
        </w:rPr>
        <w:t>Leukemia</w:t>
      </w:r>
      <w:r w:rsidRPr="00AB09C7">
        <w:rPr>
          <w:bCs/>
          <w:lang w:val="en-US"/>
        </w:rPr>
        <w:t xml:space="preserve"> 2020; Hashmi et al., </w:t>
      </w:r>
      <w:r w:rsidRPr="00AB09C7">
        <w:rPr>
          <w:bCs/>
          <w:i/>
          <w:iCs/>
          <w:lang w:val="en-US"/>
        </w:rPr>
        <w:t>Blood Cancer Journal</w:t>
      </w:r>
      <w:r w:rsidRPr="00AB09C7">
        <w:rPr>
          <w:bCs/>
          <w:lang w:val="en-US"/>
        </w:rPr>
        <w:t xml:space="preserve"> 2026). The Late-specific model was applied to all Late-group patients and its threshold calibrated to a strict 15% target prevalence within the Late group, deliberately chosen to isolate the biologically most distinct FHR subgroup</w:t>
      </w:r>
      <w:r>
        <w:rPr>
          <w:bCs/>
          <w:lang w:val="en-US"/>
        </w:rPr>
        <w:t xml:space="preserve"> – </w:t>
      </w:r>
      <w:r w:rsidRPr="00AB09C7">
        <w:rPr>
          <w:bCs/>
          <w:lang w:val="en-US"/>
        </w:rPr>
        <w:t>the concentration corresponding to the PFS1 &lt;18-month threshold reported in newly-diagnosed RRMM (Corre 2020)</w:t>
      </w:r>
      <w:r>
        <w:rPr>
          <w:bCs/>
          <w:lang w:val="en-US"/>
        </w:rPr>
        <w:t xml:space="preserve"> – </w:t>
      </w:r>
      <w:r w:rsidRPr="00AB09C7">
        <w:rPr>
          <w:bCs/>
          <w:lang w:val="en-US"/>
        </w:rPr>
        <w:t>rather than the ~25</w:t>
      </w:r>
      <w:r>
        <w:rPr>
          <w:bCs/>
          <w:lang w:val="en-US"/>
        </w:rPr>
        <w:t>-</w:t>
      </w:r>
      <w:r w:rsidRPr="00AB09C7">
        <w:rPr>
          <w:bCs/>
          <w:lang w:val="en-US"/>
        </w:rPr>
        <w:t>30% enrichment typical of CAR T-cell referral cohorts (Hashmi et al.). This strict calibration reflects the recognition that CAR T-cell cohorts are inherently enriched for FHR biology through clinician-driven referral patterns, and that a conservative threshold yields the cleanest biological separation for identifying residual prognostic signal.</w:t>
      </w:r>
    </w:p>
    <w:p w14:paraId="64C5CF0B" w14:textId="68DABFB5" w:rsidR="00AB09C7" w:rsidRDefault="00AB09C7" w:rsidP="00AB09C7">
      <w:pPr>
        <w:spacing w:before="240" w:after="240" w:line="480" w:lineRule="auto"/>
        <w:jc w:val="both"/>
        <w:rPr>
          <w:bCs/>
          <w:lang w:val="en-US"/>
        </w:rPr>
      </w:pPr>
      <w:r w:rsidRPr="00AB09C7">
        <w:rPr>
          <w:bCs/>
          <w:i/>
          <w:iCs/>
          <w:lang w:val="en-US"/>
        </w:rPr>
        <w:t>Sensitivity analyses.</w:t>
      </w:r>
      <w:r w:rsidRPr="00AB09C7">
        <w:rPr>
          <w:bCs/>
          <w:lang w:val="en-US"/>
        </w:rPr>
        <w:t xml:space="preserve"> Sensitivity analyses varying the Late-group prevalence target between 15% and 35% showed a monotonically attenuating effect size (HR 1.69 at 15%, 1.24 at 20%, 1.26 at 25%, 1.11 at 30%, 1.10 at 35%) supporting the 15% calibration as the threshold at which the FHR signal is most clearly separated from general treatment-refractoriness phenotypes. Directional consistency was preserved across all tested thresholds. Analogous </w:t>
      </w:r>
      <w:r w:rsidRPr="00AB09C7">
        <w:rPr>
          <w:bCs/>
          <w:lang w:val="en-US"/>
        </w:rPr>
        <w:lastRenderedPageBreak/>
        <w:t>sensitivity analyses for the Early-group model showed directional consistency of the null finding (no significant residual penalty) across thresholds of 15</w:t>
      </w:r>
      <w:r>
        <w:rPr>
          <w:bCs/>
          <w:lang w:val="en-US"/>
        </w:rPr>
        <w:t>-</w:t>
      </w:r>
      <w:r w:rsidRPr="00AB09C7">
        <w:rPr>
          <w:bCs/>
          <w:lang w:val="en-US"/>
        </w:rPr>
        <w:t>30%.</w:t>
      </w:r>
    </w:p>
    <w:p w14:paraId="210609D5" w14:textId="77777777" w:rsidR="00FA286C" w:rsidRDefault="00FA286C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17F3BD42" w14:textId="39FFAFBF" w:rsidR="00577F94" w:rsidRPr="00FA286C" w:rsidRDefault="00FA286C" w:rsidP="00AB09C7">
      <w:pPr>
        <w:spacing w:before="240" w:after="240" w:line="480" w:lineRule="auto"/>
        <w:jc w:val="both"/>
        <w:rPr>
          <w:b/>
          <w:bCs/>
          <w:lang w:val="en-US"/>
        </w:rPr>
      </w:pPr>
      <w:r w:rsidRPr="00FA286C">
        <w:rPr>
          <w:b/>
          <w:bCs/>
          <w:lang w:val="en-US"/>
        </w:rPr>
        <w:lastRenderedPageBreak/>
        <w:t>Supplementary Tables</w:t>
      </w:r>
    </w:p>
    <w:p w14:paraId="7FB3E2E1" w14:textId="7646E51C" w:rsidR="00FA286C" w:rsidRPr="00FA286C" w:rsidRDefault="00FA286C" w:rsidP="00FA286C">
      <w:pPr>
        <w:spacing w:after="200"/>
        <w:rPr>
          <w:lang w:val="en-US"/>
        </w:rPr>
      </w:pPr>
      <w:r>
        <w:rPr>
          <w:rFonts w:eastAsia="Calibri"/>
          <w:b/>
          <w:bCs/>
          <w:lang w:val="en-US"/>
        </w:rPr>
        <w:t>Table S1</w:t>
      </w:r>
      <w:r w:rsidRPr="00FA286C">
        <w:rPr>
          <w:rFonts w:eastAsia="Calibri"/>
          <w:b/>
          <w:bCs/>
          <w:lang w:val="en-US"/>
        </w:rPr>
        <w:t>. Bridging therapy regimens administered prior to ciltacabtagene autoleucel infusion, stratified by treatment line.</w:t>
      </w:r>
    </w:p>
    <w:p w14:paraId="3313BBEA" w14:textId="18D048DA" w:rsidR="00FA286C" w:rsidRPr="00FA286C" w:rsidRDefault="00FA286C" w:rsidP="00FA286C">
      <w:pPr>
        <w:spacing w:after="240"/>
        <w:rPr>
          <w:lang w:val="en-US"/>
        </w:rPr>
      </w:pPr>
      <w:r w:rsidRPr="00FA286C">
        <w:rPr>
          <w:rFonts w:eastAsia="Calibri"/>
          <w:i/>
          <w:iCs/>
          <w:sz w:val="20"/>
          <w:szCs w:val="20"/>
          <w:lang w:val="en-US"/>
        </w:rPr>
        <w:t xml:space="preserve">Counts and percentages are reported for </w:t>
      </w:r>
      <w:proofErr w:type="gramStart"/>
      <w:r w:rsidRPr="00FA286C">
        <w:rPr>
          <w:rFonts w:eastAsia="Calibri"/>
          <w:i/>
          <w:iCs/>
          <w:sz w:val="20"/>
          <w:szCs w:val="20"/>
          <w:lang w:val="en-US"/>
        </w:rPr>
        <w:t>the 159</w:t>
      </w:r>
      <w:proofErr w:type="gramEnd"/>
      <w:r w:rsidRPr="00FA286C">
        <w:rPr>
          <w:rFonts w:eastAsia="Calibri"/>
          <w:i/>
          <w:iCs/>
          <w:sz w:val="20"/>
          <w:szCs w:val="20"/>
          <w:lang w:val="en-US"/>
        </w:rPr>
        <w:t xml:space="preserve"> of 601 patients (26%) in whom regimen-level bridging therapy details were prospectively captured in DRST. </w:t>
      </w:r>
    </w:p>
    <w:tbl>
      <w:tblPr>
        <w:tblStyle w:val="Tabellenraster"/>
        <w:tblW w:w="9360" w:type="dxa"/>
        <w:tblLook w:val="04A0" w:firstRow="1" w:lastRow="0" w:firstColumn="1" w:lastColumn="0" w:noHBand="0" w:noVBand="1"/>
      </w:tblPr>
      <w:tblGrid>
        <w:gridCol w:w="3200"/>
        <w:gridCol w:w="2000"/>
        <w:gridCol w:w="2080"/>
        <w:gridCol w:w="2080"/>
      </w:tblGrid>
      <w:tr w:rsidR="00FA286C" w:rsidRPr="00FA286C" w14:paraId="78E04DFD" w14:textId="77777777" w:rsidTr="00FA286C">
        <w:tc>
          <w:tcPr>
            <w:tcW w:w="3200" w:type="dxa"/>
          </w:tcPr>
          <w:p w14:paraId="171CC252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b/>
                <w:bCs/>
                <w:sz w:val="20"/>
                <w:szCs w:val="20"/>
              </w:rPr>
              <w:t>Bridging therapy class</w:t>
            </w:r>
          </w:p>
        </w:tc>
        <w:tc>
          <w:tcPr>
            <w:tcW w:w="2000" w:type="dxa"/>
          </w:tcPr>
          <w:p w14:paraId="2F538FA7" w14:textId="77777777" w:rsidR="00FA286C" w:rsidRPr="00FA286C" w:rsidRDefault="00FA286C" w:rsidP="00FA286C">
            <w:pPr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286C">
              <w:rPr>
                <w:rFonts w:eastAsia="Calibri"/>
                <w:b/>
                <w:bCs/>
                <w:sz w:val="20"/>
                <w:szCs w:val="20"/>
              </w:rPr>
              <w:t xml:space="preserve">Overall </w:t>
            </w:r>
          </w:p>
          <w:p w14:paraId="4557941D" w14:textId="66C1AE96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b/>
                <w:bCs/>
                <w:sz w:val="20"/>
                <w:szCs w:val="20"/>
              </w:rPr>
              <w:t>(N=159)</w:t>
            </w:r>
          </w:p>
        </w:tc>
        <w:tc>
          <w:tcPr>
            <w:tcW w:w="2080" w:type="dxa"/>
          </w:tcPr>
          <w:p w14:paraId="711A95A7" w14:textId="77777777" w:rsidR="00FA286C" w:rsidRPr="00FA286C" w:rsidRDefault="00FA286C" w:rsidP="00FA286C">
            <w:pPr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FA286C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Early </w:t>
            </w:r>
          </w:p>
          <w:p w14:paraId="4BD9EB96" w14:textId="366C0034" w:rsidR="00FA286C" w:rsidRPr="00FA286C" w:rsidRDefault="00FA286C" w:rsidP="00FA286C">
            <w:pPr>
              <w:spacing w:line="240" w:lineRule="auto"/>
              <w:jc w:val="center"/>
              <w:rPr>
                <w:lang w:val="en-US"/>
              </w:rPr>
            </w:pPr>
            <w:r w:rsidRPr="00FA286C">
              <w:rPr>
                <w:rFonts w:eastAsia="Calibri"/>
                <w:b/>
                <w:bCs/>
                <w:sz w:val="20"/>
                <w:szCs w:val="20"/>
                <w:lang w:val="en-US"/>
              </w:rPr>
              <w:t>(N=47)</w:t>
            </w:r>
          </w:p>
        </w:tc>
        <w:tc>
          <w:tcPr>
            <w:tcW w:w="2080" w:type="dxa"/>
          </w:tcPr>
          <w:p w14:paraId="5935D7EE" w14:textId="77777777" w:rsidR="00FA286C" w:rsidRPr="00FA286C" w:rsidRDefault="00FA286C" w:rsidP="00FA286C">
            <w:pPr>
              <w:spacing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FA286C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Late </w:t>
            </w:r>
          </w:p>
          <w:p w14:paraId="022FA52D" w14:textId="67B7EBF2" w:rsidR="00FA286C" w:rsidRPr="00FA286C" w:rsidRDefault="00FA286C" w:rsidP="00FA286C">
            <w:pPr>
              <w:spacing w:line="240" w:lineRule="auto"/>
              <w:jc w:val="center"/>
              <w:rPr>
                <w:lang w:val="en-US"/>
              </w:rPr>
            </w:pPr>
            <w:r w:rsidRPr="00FA286C">
              <w:rPr>
                <w:rFonts w:eastAsia="Calibri"/>
                <w:b/>
                <w:bCs/>
                <w:sz w:val="20"/>
                <w:szCs w:val="20"/>
                <w:lang w:val="en-US"/>
              </w:rPr>
              <w:t>(N=112)</w:t>
            </w:r>
          </w:p>
        </w:tc>
      </w:tr>
      <w:tr w:rsidR="00FA286C" w:rsidRPr="00FA286C" w14:paraId="24D84846" w14:textId="77777777" w:rsidTr="00FA286C">
        <w:tc>
          <w:tcPr>
            <w:tcW w:w="3200" w:type="dxa"/>
          </w:tcPr>
          <w:p w14:paraId="501CEE47" w14:textId="58435B0D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b/>
                <w:bCs/>
                <w:sz w:val="20"/>
                <w:szCs w:val="20"/>
              </w:rPr>
              <w:t>Proteasome inhibitor-based regimens</w:t>
            </w:r>
          </w:p>
        </w:tc>
        <w:tc>
          <w:tcPr>
            <w:tcW w:w="2000" w:type="dxa"/>
          </w:tcPr>
          <w:p w14:paraId="00EE0505" w14:textId="77777777" w:rsidR="00FA286C" w:rsidRPr="00FA286C" w:rsidRDefault="00FA286C" w:rsidP="00FA286C">
            <w:pPr>
              <w:spacing w:line="240" w:lineRule="auto"/>
            </w:pPr>
          </w:p>
        </w:tc>
        <w:tc>
          <w:tcPr>
            <w:tcW w:w="2080" w:type="dxa"/>
          </w:tcPr>
          <w:p w14:paraId="46434185" w14:textId="77777777" w:rsidR="00FA286C" w:rsidRPr="00FA286C" w:rsidRDefault="00FA286C" w:rsidP="00FA286C">
            <w:pPr>
              <w:spacing w:line="240" w:lineRule="auto"/>
            </w:pPr>
          </w:p>
        </w:tc>
        <w:tc>
          <w:tcPr>
            <w:tcW w:w="2080" w:type="dxa"/>
          </w:tcPr>
          <w:p w14:paraId="1D3567B5" w14:textId="77777777" w:rsidR="00FA286C" w:rsidRPr="00FA286C" w:rsidRDefault="00FA286C" w:rsidP="00FA286C">
            <w:pPr>
              <w:spacing w:line="240" w:lineRule="auto"/>
            </w:pPr>
          </w:p>
        </w:tc>
      </w:tr>
      <w:tr w:rsidR="00FA286C" w:rsidRPr="00FA286C" w14:paraId="73E1EB16" w14:textId="77777777" w:rsidTr="00FA286C">
        <w:tc>
          <w:tcPr>
            <w:tcW w:w="3200" w:type="dxa"/>
          </w:tcPr>
          <w:p w14:paraId="18595DC7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>Any PI-containing regimen</w:t>
            </w:r>
          </w:p>
        </w:tc>
        <w:tc>
          <w:tcPr>
            <w:tcW w:w="2000" w:type="dxa"/>
          </w:tcPr>
          <w:p w14:paraId="376F658C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78 (49%)</w:t>
            </w:r>
          </w:p>
        </w:tc>
        <w:tc>
          <w:tcPr>
            <w:tcW w:w="2080" w:type="dxa"/>
          </w:tcPr>
          <w:p w14:paraId="479785EC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25 (53%)</w:t>
            </w:r>
          </w:p>
        </w:tc>
        <w:tc>
          <w:tcPr>
            <w:tcW w:w="2080" w:type="dxa"/>
          </w:tcPr>
          <w:p w14:paraId="1AF99550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53 (47%)</w:t>
            </w:r>
          </w:p>
        </w:tc>
      </w:tr>
      <w:tr w:rsidR="00FA286C" w:rsidRPr="00FA286C" w14:paraId="64A178CD" w14:textId="77777777" w:rsidTr="00FA286C">
        <w:tc>
          <w:tcPr>
            <w:tcW w:w="3200" w:type="dxa"/>
          </w:tcPr>
          <w:p w14:paraId="3D04A0B4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 xml:space="preserve">    Carfilzomib-based</w:t>
            </w:r>
          </w:p>
        </w:tc>
        <w:tc>
          <w:tcPr>
            <w:tcW w:w="2000" w:type="dxa"/>
          </w:tcPr>
          <w:p w14:paraId="75960103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58 (36%)</w:t>
            </w:r>
          </w:p>
        </w:tc>
        <w:tc>
          <w:tcPr>
            <w:tcW w:w="2080" w:type="dxa"/>
          </w:tcPr>
          <w:p w14:paraId="16B1D850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20 (43%)</w:t>
            </w:r>
          </w:p>
        </w:tc>
        <w:tc>
          <w:tcPr>
            <w:tcW w:w="2080" w:type="dxa"/>
          </w:tcPr>
          <w:p w14:paraId="3FC4313B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38 (34%)</w:t>
            </w:r>
          </w:p>
        </w:tc>
      </w:tr>
      <w:tr w:rsidR="00FA286C" w:rsidRPr="00FA286C" w14:paraId="14042FA4" w14:textId="77777777" w:rsidTr="00FA286C">
        <w:tc>
          <w:tcPr>
            <w:tcW w:w="3200" w:type="dxa"/>
          </w:tcPr>
          <w:p w14:paraId="21A43E8B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 xml:space="preserve">    Bortezomib-based</w:t>
            </w:r>
          </w:p>
        </w:tc>
        <w:tc>
          <w:tcPr>
            <w:tcW w:w="2000" w:type="dxa"/>
          </w:tcPr>
          <w:p w14:paraId="35002DD1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19 (12%)</w:t>
            </w:r>
          </w:p>
        </w:tc>
        <w:tc>
          <w:tcPr>
            <w:tcW w:w="2080" w:type="dxa"/>
          </w:tcPr>
          <w:p w14:paraId="62EA842A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5 (11%)</w:t>
            </w:r>
          </w:p>
        </w:tc>
        <w:tc>
          <w:tcPr>
            <w:tcW w:w="2080" w:type="dxa"/>
          </w:tcPr>
          <w:p w14:paraId="59DD25E9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14 (12%)</w:t>
            </w:r>
          </w:p>
        </w:tc>
      </w:tr>
      <w:tr w:rsidR="00FA286C" w:rsidRPr="002271E4" w14:paraId="31EE8FFE" w14:textId="77777777" w:rsidTr="00FA286C">
        <w:tc>
          <w:tcPr>
            <w:tcW w:w="3200" w:type="dxa"/>
          </w:tcPr>
          <w:p w14:paraId="7FA471CD" w14:textId="1062B7E4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  <w:r w:rsidRPr="00FA286C">
              <w:rPr>
                <w:rFonts w:eastAsia="Calibri"/>
                <w:b/>
                <w:bCs/>
                <w:sz w:val="20"/>
                <w:szCs w:val="20"/>
                <w:lang w:val="en-US"/>
              </w:rPr>
              <w:t>Anti-CD38 monoclonal antibody-containing</w:t>
            </w:r>
          </w:p>
        </w:tc>
        <w:tc>
          <w:tcPr>
            <w:tcW w:w="2000" w:type="dxa"/>
          </w:tcPr>
          <w:p w14:paraId="62AED3C2" w14:textId="77777777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</w:p>
        </w:tc>
        <w:tc>
          <w:tcPr>
            <w:tcW w:w="2080" w:type="dxa"/>
          </w:tcPr>
          <w:p w14:paraId="67FEB747" w14:textId="77777777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</w:p>
        </w:tc>
        <w:tc>
          <w:tcPr>
            <w:tcW w:w="2080" w:type="dxa"/>
          </w:tcPr>
          <w:p w14:paraId="31CA1E06" w14:textId="77777777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</w:p>
        </w:tc>
      </w:tr>
      <w:tr w:rsidR="00FA286C" w:rsidRPr="00FA286C" w14:paraId="502C7D24" w14:textId="77777777" w:rsidTr="00FA286C">
        <w:tc>
          <w:tcPr>
            <w:tcW w:w="3200" w:type="dxa"/>
          </w:tcPr>
          <w:p w14:paraId="2816C583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>Daratumumab or isatuximab</w:t>
            </w:r>
          </w:p>
        </w:tc>
        <w:tc>
          <w:tcPr>
            <w:tcW w:w="2000" w:type="dxa"/>
          </w:tcPr>
          <w:p w14:paraId="0CA3FBF3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56 (35%)</w:t>
            </w:r>
          </w:p>
        </w:tc>
        <w:tc>
          <w:tcPr>
            <w:tcW w:w="2080" w:type="dxa"/>
          </w:tcPr>
          <w:p w14:paraId="0A054617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24 (51%)</w:t>
            </w:r>
          </w:p>
        </w:tc>
        <w:tc>
          <w:tcPr>
            <w:tcW w:w="2080" w:type="dxa"/>
          </w:tcPr>
          <w:p w14:paraId="075E854D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32 (29%)</w:t>
            </w:r>
          </w:p>
        </w:tc>
      </w:tr>
      <w:tr w:rsidR="00FA286C" w:rsidRPr="00FA286C" w14:paraId="001BEA16" w14:textId="77777777" w:rsidTr="00FA286C">
        <w:tc>
          <w:tcPr>
            <w:tcW w:w="3200" w:type="dxa"/>
          </w:tcPr>
          <w:p w14:paraId="55C9A153" w14:textId="36A48309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b/>
                <w:bCs/>
                <w:sz w:val="20"/>
                <w:szCs w:val="20"/>
              </w:rPr>
              <w:t>Immunomodulatory drug (IMiD)-containing</w:t>
            </w:r>
          </w:p>
        </w:tc>
        <w:tc>
          <w:tcPr>
            <w:tcW w:w="2000" w:type="dxa"/>
          </w:tcPr>
          <w:p w14:paraId="333EBF6D" w14:textId="77777777" w:rsidR="00FA286C" w:rsidRPr="00FA286C" w:rsidRDefault="00FA286C" w:rsidP="00FA286C">
            <w:pPr>
              <w:spacing w:line="240" w:lineRule="auto"/>
            </w:pPr>
          </w:p>
        </w:tc>
        <w:tc>
          <w:tcPr>
            <w:tcW w:w="2080" w:type="dxa"/>
          </w:tcPr>
          <w:p w14:paraId="09427D03" w14:textId="77777777" w:rsidR="00FA286C" w:rsidRPr="00FA286C" w:rsidRDefault="00FA286C" w:rsidP="00FA286C">
            <w:pPr>
              <w:spacing w:line="240" w:lineRule="auto"/>
            </w:pPr>
          </w:p>
        </w:tc>
        <w:tc>
          <w:tcPr>
            <w:tcW w:w="2080" w:type="dxa"/>
          </w:tcPr>
          <w:p w14:paraId="56C28958" w14:textId="77777777" w:rsidR="00FA286C" w:rsidRPr="00FA286C" w:rsidRDefault="00FA286C" w:rsidP="00FA286C">
            <w:pPr>
              <w:spacing w:line="240" w:lineRule="auto"/>
            </w:pPr>
          </w:p>
        </w:tc>
      </w:tr>
      <w:tr w:rsidR="00FA286C" w:rsidRPr="00FA286C" w14:paraId="28E2FB98" w14:textId="77777777" w:rsidTr="00FA286C">
        <w:tc>
          <w:tcPr>
            <w:tcW w:w="3200" w:type="dxa"/>
          </w:tcPr>
          <w:p w14:paraId="49EFFDCC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>Lenalidomide, pomalidomide, or thalidomide</w:t>
            </w:r>
          </w:p>
        </w:tc>
        <w:tc>
          <w:tcPr>
            <w:tcW w:w="2000" w:type="dxa"/>
          </w:tcPr>
          <w:p w14:paraId="16E8509B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49 (31%)</w:t>
            </w:r>
          </w:p>
        </w:tc>
        <w:tc>
          <w:tcPr>
            <w:tcW w:w="2080" w:type="dxa"/>
          </w:tcPr>
          <w:p w14:paraId="696915D6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20 (43%)</w:t>
            </w:r>
          </w:p>
        </w:tc>
        <w:tc>
          <w:tcPr>
            <w:tcW w:w="2080" w:type="dxa"/>
          </w:tcPr>
          <w:p w14:paraId="7F77902D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29 (26%)</w:t>
            </w:r>
          </w:p>
        </w:tc>
      </w:tr>
      <w:tr w:rsidR="00FA286C" w:rsidRPr="00FA286C" w14:paraId="274788F3" w14:textId="77777777" w:rsidTr="00FA286C">
        <w:tc>
          <w:tcPr>
            <w:tcW w:w="3200" w:type="dxa"/>
          </w:tcPr>
          <w:p w14:paraId="26DAC9C4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b/>
                <w:bCs/>
                <w:sz w:val="20"/>
                <w:szCs w:val="20"/>
              </w:rPr>
              <w:t>SLAMF7-directed monoclonal antibody</w:t>
            </w:r>
          </w:p>
        </w:tc>
        <w:tc>
          <w:tcPr>
            <w:tcW w:w="2000" w:type="dxa"/>
          </w:tcPr>
          <w:p w14:paraId="327B2BFC" w14:textId="77777777" w:rsidR="00FA286C" w:rsidRPr="00FA286C" w:rsidRDefault="00FA286C" w:rsidP="00FA286C">
            <w:pPr>
              <w:spacing w:line="240" w:lineRule="auto"/>
            </w:pPr>
          </w:p>
        </w:tc>
        <w:tc>
          <w:tcPr>
            <w:tcW w:w="2080" w:type="dxa"/>
          </w:tcPr>
          <w:p w14:paraId="3A533CD6" w14:textId="77777777" w:rsidR="00FA286C" w:rsidRPr="00FA286C" w:rsidRDefault="00FA286C" w:rsidP="00FA286C">
            <w:pPr>
              <w:spacing w:line="240" w:lineRule="auto"/>
            </w:pPr>
          </w:p>
        </w:tc>
        <w:tc>
          <w:tcPr>
            <w:tcW w:w="2080" w:type="dxa"/>
          </w:tcPr>
          <w:p w14:paraId="2651B2DD" w14:textId="77777777" w:rsidR="00FA286C" w:rsidRPr="00FA286C" w:rsidRDefault="00FA286C" w:rsidP="00FA286C">
            <w:pPr>
              <w:spacing w:line="240" w:lineRule="auto"/>
            </w:pPr>
          </w:p>
        </w:tc>
      </w:tr>
      <w:tr w:rsidR="00FA286C" w:rsidRPr="00FA286C" w14:paraId="0F8B25F6" w14:textId="77777777" w:rsidTr="00FA286C">
        <w:tc>
          <w:tcPr>
            <w:tcW w:w="3200" w:type="dxa"/>
          </w:tcPr>
          <w:p w14:paraId="7E5DA2BF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>Elotuzumab-containing</w:t>
            </w:r>
          </w:p>
        </w:tc>
        <w:tc>
          <w:tcPr>
            <w:tcW w:w="2000" w:type="dxa"/>
          </w:tcPr>
          <w:p w14:paraId="69397CBC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24 (15%)</w:t>
            </w:r>
          </w:p>
        </w:tc>
        <w:tc>
          <w:tcPr>
            <w:tcW w:w="2080" w:type="dxa"/>
          </w:tcPr>
          <w:p w14:paraId="5D73222B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11 (23%)</w:t>
            </w:r>
          </w:p>
        </w:tc>
        <w:tc>
          <w:tcPr>
            <w:tcW w:w="2080" w:type="dxa"/>
          </w:tcPr>
          <w:p w14:paraId="24F2BEB7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13 (12%)</w:t>
            </w:r>
          </w:p>
        </w:tc>
      </w:tr>
      <w:tr w:rsidR="00FA286C" w:rsidRPr="00FA286C" w14:paraId="729404D1" w14:textId="77777777" w:rsidTr="00FA286C">
        <w:tc>
          <w:tcPr>
            <w:tcW w:w="3200" w:type="dxa"/>
          </w:tcPr>
          <w:p w14:paraId="683BF9AC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b/>
                <w:bCs/>
                <w:sz w:val="20"/>
                <w:szCs w:val="20"/>
              </w:rPr>
              <w:t>Classical cytotoxic chemotherapy</w:t>
            </w:r>
          </w:p>
        </w:tc>
        <w:tc>
          <w:tcPr>
            <w:tcW w:w="2000" w:type="dxa"/>
          </w:tcPr>
          <w:p w14:paraId="5FE63B3C" w14:textId="77777777" w:rsidR="00FA286C" w:rsidRPr="00FA286C" w:rsidRDefault="00FA286C" w:rsidP="00FA286C">
            <w:pPr>
              <w:spacing w:line="240" w:lineRule="auto"/>
            </w:pPr>
          </w:p>
        </w:tc>
        <w:tc>
          <w:tcPr>
            <w:tcW w:w="2080" w:type="dxa"/>
          </w:tcPr>
          <w:p w14:paraId="1E7B6163" w14:textId="77777777" w:rsidR="00FA286C" w:rsidRPr="00FA286C" w:rsidRDefault="00FA286C" w:rsidP="00FA286C">
            <w:pPr>
              <w:spacing w:line="240" w:lineRule="auto"/>
            </w:pPr>
          </w:p>
        </w:tc>
        <w:tc>
          <w:tcPr>
            <w:tcW w:w="2080" w:type="dxa"/>
          </w:tcPr>
          <w:p w14:paraId="7E53DEB7" w14:textId="77777777" w:rsidR="00FA286C" w:rsidRPr="00FA286C" w:rsidRDefault="00FA286C" w:rsidP="00FA286C">
            <w:pPr>
              <w:spacing w:line="240" w:lineRule="auto"/>
            </w:pPr>
          </w:p>
        </w:tc>
      </w:tr>
      <w:tr w:rsidR="00FA286C" w:rsidRPr="00FA286C" w14:paraId="0EC36A45" w14:textId="77777777" w:rsidTr="00FA286C">
        <w:tc>
          <w:tcPr>
            <w:tcW w:w="3200" w:type="dxa"/>
          </w:tcPr>
          <w:p w14:paraId="3389CD53" w14:textId="6043C948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>Alkylator or combination chemotherapy</w:t>
            </w:r>
          </w:p>
        </w:tc>
        <w:tc>
          <w:tcPr>
            <w:tcW w:w="2000" w:type="dxa"/>
          </w:tcPr>
          <w:p w14:paraId="4896A552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26 (16%)</w:t>
            </w:r>
          </w:p>
        </w:tc>
        <w:tc>
          <w:tcPr>
            <w:tcW w:w="2080" w:type="dxa"/>
          </w:tcPr>
          <w:p w14:paraId="56510F28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6 (13%)</w:t>
            </w:r>
          </w:p>
        </w:tc>
        <w:tc>
          <w:tcPr>
            <w:tcW w:w="2080" w:type="dxa"/>
          </w:tcPr>
          <w:p w14:paraId="7EBF5F99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20 (18%)</w:t>
            </w:r>
          </w:p>
        </w:tc>
      </w:tr>
      <w:tr w:rsidR="00FA286C" w:rsidRPr="002271E4" w14:paraId="02891203" w14:textId="77777777" w:rsidTr="00FA286C">
        <w:tc>
          <w:tcPr>
            <w:tcW w:w="3200" w:type="dxa"/>
          </w:tcPr>
          <w:p w14:paraId="79D08BF1" w14:textId="77777777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  <w:r w:rsidRPr="00FA286C">
              <w:rPr>
                <w:rFonts w:eastAsia="Calibri"/>
                <w:b/>
                <w:bCs/>
                <w:sz w:val="20"/>
                <w:szCs w:val="20"/>
                <w:lang w:val="en-US"/>
              </w:rPr>
              <w:t>Radiotherapy as part of bridging</w:t>
            </w:r>
          </w:p>
        </w:tc>
        <w:tc>
          <w:tcPr>
            <w:tcW w:w="2000" w:type="dxa"/>
          </w:tcPr>
          <w:p w14:paraId="50958334" w14:textId="77777777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</w:p>
        </w:tc>
        <w:tc>
          <w:tcPr>
            <w:tcW w:w="2080" w:type="dxa"/>
          </w:tcPr>
          <w:p w14:paraId="12D7360A" w14:textId="77777777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</w:p>
        </w:tc>
        <w:tc>
          <w:tcPr>
            <w:tcW w:w="2080" w:type="dxa"/>
          </w:tcPr>
          <w:p w14:paraId="6540D06F" w14:textId="77777777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</w:p>
        </w:tc>
      </w:tr>
      <w:tr w:rsidR="00FA286C" w:rsidRPr="00FA286C" w14:paraId="17507D6A" w14:textId="77777777" w:rsidTr="00FA286C">
        <w:tc>
          <w:tcPr>
            <w:tcW w:w="3200" w:type="dxa"/>
          </w:tcPr>
          <w:p w14:paraId="5F84AED7" w14:textId="238DC745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>Any radiotherapy</w:t>
            </w:r>
          </w:p>
        </w:tc>
        <w:tc>
          <w:tcPr>
            <w:tcW w:w="2000" w:type="dxa"/>
          </w:tcPr>
          <w:p w14:paraId="00345F54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61 (10%)</w:t>
            </w:r>
          </w:p>
        </w:tc>
        <w:tc>
          <w:tcPr>
            <w:tcW w:w="2080" w:type="dxa"/>
          </w:tcPr>
          <w:p w14:paraId="7439CF3D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10 (6%)</w:t>
            </w:r>
          </w:p>
        </w:tc>
        <w:tc>
          <w:tcPr>
            <w:tcW w:w="2080" w:type="dxa"/>
          </w:tcPr>
          <w:p w14:paraId="68D03A11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51 (12%)</w:t>
            </w:r>
          </w:p>
        </w:tc>
      </w:tr>
      <w:tr w:rsidR="00FA286C" w:rsidRPr="002271E4" w14:paraId="7E78D1F8" w14:textId="77777777" w:rsidTr="00FA286C">
        <w:tc>
          <w:tcPr>
            <w:tcW w:w="3200" w:type="dxa"/>
          </w:tcPr>
          <w:p w14:paraId="05E7F9D1" w14:textId="11225C10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  <w:r w:rsidRPr="00FA286C">
              <w:rPr>
                <w:rFonts w:eastAsia="Calibri"/>
                <w:b/>
                <w:bCs/>
                <w:sz w:val="20"/>
                <w:szCs w:val="20"/>
                <w:lang w:val="en-US"/>
              </w:rPr>
              <w:t>T-cell–redirecting and other novel agents</w:t>
            </w:r>
          </w:p>
        </w:tc>
        <w:tc>
          <w:tcPr>
            <w:tcW w:w="2000" w:type="dxa"/>
          </w:tcPr>
          <w:p w14:paraId="2F678425" w14:textId="77777777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</w:p>
        </w:tc>
        <w:tc>
          <w:tcPr>
            <w:tcW w:w="2080" w:type="dxa"/>
          </w:tcPr>
          <w:p w14:paraId="31454247" w14:textId="77777777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</w:p>
        </w:tc>
        <w:tc>
          <w:tcPr>
            <w:tcW w:w="2080" w:type="dxa"/>
          </w:tcPr>
          <w:p w14:paraId="490C7888" w14:textId="77777777" w:rsidR="00FA286C" w:rsidRPr="00FA286C" w:rsidRDefault="00FA286C" w:rsidP="00FA286C">
            <w:pPr>
              <w:spacing w:line="240" w:lineRule="auto"/>
              <w:rPr>
                <w:lang w:val="en-US"/>
              </w:rPr>
            </w:pPr>
          </w:p>
        </w:tc>
      </w:tr>
      <w:tr w:rsidR="00FA286C" w:rsidRPr="00FA286C" w14:paraId="64F41303" w14:textId="77777777" w:rsidTr="00FA286C">
        <w:tc>
          <w:tcPr>
            <w:tcW w:w="3200" w:type="dxa"/>
          </w:tcPr>
          <w:p w14:paraId="7C1C0BC1" w14:textId="6E329BEA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 xml:space="preserve">Talquetamab </w:t>
            </w:r>
          </w:p>
        </w:tc>
        <w:tc>
          <w:tcPr>
            <w:tcW w:w="2000" w:type="dxa"/>
          </w:tcPr>
          <w:p w14:paraId="5AFBE445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35 (22%)</w:t>
            </w:r>
          </w:p>
        </w:tc>
        <w:tc>
          <w:tcPr>
            <w:tcW w:w="2080" w:type="dxa"/>
          </w:tcPr>
          <w:p w14:paraId="0C712055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2080" w:type="dxa"/>
          </w:tcPr>
          <w:p w14:paraId="6AF21A9E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35 (31%)</w:t>
            </w:r>
          </w:p>
        </w:tc>
      </w:tr>
      <w:tr w:rsidR="00FA286C" w:rsidRPr="00FA286C" w14:paraId="363559FC" w14:textId="77777777" w:rsidTr="00FA286C">
        <w:tc>
          <w:tcPr>
            <w:tcW w:w="3200" w:type="dxa"/>
          </w:tcPr>
          <w:p w14:paraId="028A3E6C" w14:textId="2D504348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>Teclistamab</w:t>
            </w:r>
          </w:p>
        </w:tc>
        <w:tc>
          <w:tcPr>
            <w:tcW w:w="2000" w:type="dxa"/>
          </w:tcPr>
          <w:p w14:paraId="0C897108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1 (&lt;1%)</w:t>
            </w:r>
          </w:p>
        </w:tc>
        <w:tc>
          <w:tcPr>
            <w:tcW w:w="2080" w:type="dxa"/>
          </w:tcPr>
          <w:p w14:paraId="0FC1F171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2080" w:type="dxa"/>
          </w:tcPr>
          <w:p w14:paraId="1E5822A2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1 (&lt;1%)</w:t>
            </w:r>
          </w:p>
        </w:tc>
      </w:tr>
      <w:tr w:rsidR="00FA286C" w:rsidRPr="00FA286C" w14:paraId="58E4EA6E" w14:textId="77777777" w:rsidTr="00FA286C">
        <w:tc>
          <w:tcPr>
            <w:tcW w:w="3200" w:type="dxa"/>
          </w:tcPr>
          <w:p w14:paraId="547EC46D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>Selinexor-containing regimens</w:t>
            </w:r>
          </w:p>
        </w:tc>
        <w:tc>
          <w:tcPr>
            <w:tcW w:w="2000" w:type="dxa"/>
          </w:tcPr>
          <w:p w14:paraId="1E42628A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6 (4%)</w:t>
            </w:r>
          </w:p>
        </w:tc>
        <w:tc>
          <w:tcPr>
            <w:tcW w:w="2080" w:type="dxa"/>
          </w:tcPr>
          <w:p w14:paraId="73CB12E9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2080" w:type="dxa"/>
          </w:tcPr>
          <w:p w14:paraId="50A1591F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6 (5%)</w:t>
            </w:r>
          </w:p>
        </w:tc>
      </w:tr>
      <w:tr w:rsidR="00FA286C" w:rsidRPr="00FA286C" w14:paraId="3FAD4B32" w14:textId="77777777" w:rsidTr="00FA286C">
        <w:tc>
          <w:tcPr>
            <w:tcW w:w="3200" w:type="dxa"/>
          </w:tcPr>
          <w:p w14:paraId="61025494" w14:textId="77777777" w:rsidR="00FA286C" w:rsidRPr="00FA286C" w:rsidRDefault="00FA286C" w:rsidP="00FA286C">
            <w:pPr>
              <w:spacing w:line="240" w:lineRule="auto"/>
            </w:pPr>
            <w:r w:rsidRPr="00FA286C">
              <w:rPr>
                <w:rFonts w:eastAsia="Calibri"/>
                <w:sz w:val="20"/>
                <w:szCs w:val="20"/>
              </w:rPr>
              <w:t>Venetoclax-containing regimens</w:t>
            </w:r>
          </w:p>
        </w:tc>
        <w:tc>
          <w:tcPr>
            <w:tcW w:w="2000" w:type="dxa"/>
          </w:tcPr>
          <w:p w14:paraId="31738AB5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4 (3%)</w:t>
            </w:r>
          </w:p>
        </w:tc>
        <w:tc>
          <w:tcPr>
            <w:tcW w:w="2080" w:type="dxa"/>
          </w:tcPr>
          <w:p w14:paraId="389D0C88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2080" w:type="dxa"/>
          </w:tcPr>
          <w:p w14:paraId="7BF6A1E2" w14:textId="77777777" w:rsidR="00FA286C" w:rsidRPr="00FA286C" w:rsidRDefault="00FA286C" w:rsidP="00FA286C">
            <w:pPr>
              <w:spacing w:line="240" w:lineRule="auto"/>
              <w:jc w:val="center"/>
            </w:pPr>
            <w:r w:rsidRPr="00FA286C">
              <w:rPr>
                <w:rFonts w:eastAsia="Calibri"/>
                <w:sz w:val="20"/>
                <w:szCs w:val="20"/>
              </w:rPr>
              <w:t>4 (4%)</w:t>
            </w:r>
          </w:p>
        </w:tc>
      </w:tr>
    </w:tbl>
    <w:p w14:paraId="7DA1920E" w14:textId="77777777" w:rsidR="00FA286C" w:rsidRPr="00FA286C" w:rsidRDefault="00FA286C" w:rsidP="00FA286C">
      <w:pPr>
        <w:spacing w:before="240"/>
        <w:rPr>
          <w:lang w:val="en-US"/>
        </w:rPr>
      </w:pPr>
      <w:r w:rsidRPr="00FA286C">
        <w:rPr>
          <w:rFonts w:eastAsia="Calibri"/>
          <w:i/>
          <w:iCs/>
          <w:sz w:val="18"/>
          <w:szCs w:val="18"/>
          <w:lang w:val="en-US"/>
        </w:rPr>
        <w:t xml:space="preserve">Abbreviations: </w:t>
      </w:r>
      <w:r w:rsidRPr="00FA286C">
        <w:rPr>
          <w:rFonts w:eastAsia="Calibri"/>
          <w:sz w:val="18"/>
          <w:szCs w:val="18"/>
          <w:lang w:val="en-US"/>
        </w:rPr>
        <w:t>ADC, antibody–drug conjugate; BCMA, B-cell maturation antigen; BsAb, bispecific antibody; EMA, European Medicines Agency; FDA, US Food and Drug Administration; GPRC5D, G-protein–coupled receptor family C group 5 member D; IMiD, immunomodulatory drug; MM, multiple myeloma; PI, proteasome inhibitor; SLAMF7, signaling lymphocytic activation molecule family member 7.</w:t>
      </w:r>
    </w:p>
    <w:p w14:paraId="0D9576EA" w14:textId="77777777" w:rsidR="00FA286C" w:rsidRPr="00AB09C7" w:rsidRDefault="00FA286C" w:rsidP="00AB09C7">
      <w:pPr>
        <w:spacing w:before="240" w:after="240" w:line="480" w:lineRule="auto"/>
        <w:jc w:val="both"/>
        <w:rPr>
          <w:bCs/>
          <w:lang w:val="en-US"/>
        </w:rPr>
      </w:pPr>
    </w:p>
    <w:p w14:paraId="62BC4CE2" w14:textId="77777777" w:rsidR="00FA286C" w:rsidRDefault="00FA286C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AEADDE1" w14:textId="77777777" w:rsidR="00FA286C" w:rsidRDefault="00FA286C" w:rsidP="00AB09C7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Figures.</w:t>
      </w:r>
    </w:p>
    <w:p w14:paraId="6D91C38A" w14:textId="0D87E7A6" w:rsidR="00FA286C" w:rsidRDefault="00FA286C" w:rsidP="00AB09C7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t>Figure S1. PFS by functional high risk (FHR) status.</w:t>
      </w:r>
    </w:p>
    <w:p w14:paraId="353683E3" w14:textId="7A66BF23" w:rsidR="000C2FF9" w:rsidRPr="000C2FF9" w:rsidRDefault="000C2FF9" w:rsidP="000C2FF9">
      <w:pPr>
        <w:spacing w:after="160" w:line="259" w:lineRule="auto"/>
        <w:jc w:val="both"/>
        <w:rPr>
          <w:bCs/>
          <w:sz w:val="20"/>
          <w:szCs w:val="20"/>
          <w:lang w:val="en-US"/>
        </w:rPr>
      </w:pPr>
      <w:r w:rsidRPr="000C2FF9">
        <w:rPr>
          <w:bCs/>
          <w:sz w:val="20"/>
          <w:szCs w:val="20"/>
          <w:lang w:val="en-US"/>
        </w:rPr>
        <w:t>Kaplan-Meier estimates of PFS in (A) the Early-line cohort (1</w:t>
      </w:r>
      <w:r>
        <w:rPr>
          <w:bCs/>
          <w:sz w:val="20"/>
          <w:szCs w:val="20"/>
          <w:lang w:val="en-US"/>
        </w:rPr>
        <w:t>-</w:t>
      </w:r>
      <w:r w:rsidRPr="000C2FF9">
        <w:rPr>
          <w:bCs/>
          <w:sz w:val="20"/>
          <w:szCs w:val="20"/>
          <w:lang w:val="en-US"/>
        </w:rPr>
        <w:t>3 prior lines)</w:t>
      </w:r>
      <w:r>
        <w:rPr>
          <w:bCs/>
          <w:sz w:val="20"/>
          <w:szCs w:val="20"/>
          <w:lang w:val="en-US"/>
        </w:rPr>
        <w:t xml:space="preserve"> and</w:t>
      </w:r>
      <w:r w:rsidRPr="000C2FF9">
        <w:rPr>
          <w:bCs/>
          <w:sz w:val="20"/>
          <w:szCs w:val="20"/>
          <w:lang w:val="en-US"/>
        </w:rPr>
        <w:t xml:space="preserve"> (B) the Late-line cohort (&gt;3 prior lines), </w:t>
      </w:r>
      <w:r>
        <w:rPr>
          <w:bCs/>
          <w:sz w:val="20"/>
          <w:szCs w:val="20"/>
          <w:lang w:val="en-US"/>
        </w:rPr>
        <w:t>stratified by predicted FHR status</w:t>
      </w:r>
      <w:r w:rsidRPr="000C2FF9">
        <w:rPr>
          <w:bCs/>
          <w:sz w:val="20"/>
          <w:szCs w:val="20"/>
          <w:lang w:val="en-US"/>
        </w:rPr>
        <w:t>. Shaded bands represent 95% confidence intervals (log-log transformation); vertical tick marks denote censored observations. 6- and 12-month landmark PFS estimates with 95% confidence intervals are shown in each panel, with numbers at risk below.</w:t>
      </w:r>
    </w:p>
    <w:p w14:paraId="0E1ACCFB" w14:textId="77777777" w:rsidR="000C2FF9" w:rsidRDefault="000C2FF9" w:rsidP="00AB09C7">
      <w:pPr>
        <w:spacing w:after="160" w:line="259" w:lineRule="auto"/>
        <w:rPr>
          <w:b/>
          <w:bCs/>
          <w:lang w:val="en-US"/>
        </w:rPr>
      </w:pPr>
    </w:p>
    <w:p w14:paraId="03D0895B" w14:textId="0A9C2BBB" w:rsidR="00FA286C" w:rsidRDefault="00FA286C" w:rsidP="00AB09C7">
      <w:pPr>
        <w:spacing w:after="160" w:line="259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13E80D2" wp14:editId="62285ADD">
            <wp:extent cx="5760000" cy="2219953"/>
            <wp:effectExtent l="0" t="0" r="0" b="9525"/>
            <wp:docPr id="136530485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219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746C2" w14:textId="77777777" w:rsidR="00FA286C" w:rsidRDefault="00FA286C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04E12EB" w14:textId="3C360211" w:rsidR="000C2FF9" w:rsidRDefault="000C2FF9" w:rsidP="00AB09C7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Figure S2. Bridging outcomes.</w:t>
      </w:r>
    </w:p>
    <w:p w14:paraId="591A8B2E" w14:textId="0099F4C0" w:rsidR="000C2FF9" w:rsidRPr="000C2FF9" w:rsidRDefault="000C2FF9" w:rsidP="000C2FF9">
      <w:pPr>
        <w:spacing w:after="160" w:line="259" w:lineRule="auto"/>
        <w:jc w:val="both"/>
        <w:rPr>
          <w:bCs/>
          <w:sz w:val="20"/>
          <w:szCs w:val="20"/>
          <w:lang w:val="en-US"/>
        </w:rPr>
      </w:pPr>
      <w:r w:rsidRPr="000C2FF9">
        <w:rPr>
          <w:bCs/>
          <w:sz w:val="20"/>
          <w:szCs w:val="20"/>
          <w:lang w:val="en-US"/>
        </w:rPr>
        <w:t>Kaplan-Meier estimates of PFS in (A) the Early-line bridging cohort (1</w:t>
      </w:r>
      <w:r>
        <w:rPr>
          <w:bCs/>
          <w:sz w:val="20"/>
          <w:szCs w:val="20"/>
          <w:lang w:val="en-US"/>
        </w:rPr>
        <w:t>-</w:t>
      </w:r>
      <w:r w:rsidRPr="000C2FF9">
        <w:rPr>
          <w:bCs/>
          <w:sz w:val="20"/>
          <w:szCs w:val="20"/>
          <w:lang w:val="en-US"/>
        </w:rPr>
        <w:t>3 prior lines; n=47), (B) the Late-line bridging cohort (&gt;3 prior lines; n=112), and (C) the subgroup receiving talquetamab-containing bridging regardless of original line assignment (n=35). Shaded bands represent 95% confidence intervals (log-log transformation); vertical tick marks denote censored observations. 6- and 12-month landmark PFS estimates with 95% confidence intervals are shown in each panel, with numbers at risk below.</w:t>
      </w:r>
    </w:p>
    <w:p w14:paraId="5B6639BD" w14:textId="25CA7271" w:rsidR="000C2FF9" w:rsidRDefault="000C2FF9" w:rsidP="00AB09C7">
      <w:pPr>
        <w:spacing w:after="160" w:line="259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5C2B4B69" wp14:editId="41B620C0">
            <wp:extent cx="5760000" cy="4573278"/>
            <wp:effectExtent l="0" t="0" r="0" b="0"/>
            <wp:docPr id="26739753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573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87C2C" w14:textId="77777777" w:rsidR="002271E4" w:rsidRDefault="002271E4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75AF332C" w14:textId="7FC9D4DF" w:rsidR="00E946E4" w:rsidRPr="00275C5C" w:rsidRDefault="00E946E4" w:rsidP="00AB09C7">
      <w:pPr>
        <w:spacing w:after="160" w:line="259" w:lineRule="auto"/>
        <w:rPr>
          <w:b/>
          <w:bCs/>
          <w:lang w:val="en-US"/>
        </w:rPr>
      </w:pPr>
      <w:r w:rsidRPr="00275C5C">
        <w:rPr>
          <w:b/>
          <w:bCs/>
          <w:lang w:val="en-US"/>
        </w:rPr>
        <w:lastRenderedPageBreak/>
        <w:t>DRST members contributing to this study</w:t>
      </w:r>
    </w:p>
    <w:p w14:paraId="5D4B1811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Würzburg, 85 patients</w:t>
      </w:r>
    </w:p>
    <w:p w14:paraId="24E73266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Leipzig, 76 patients</w:t>
      </w:r>
    </w:p>
    <w:p w14:paraId="54852DF3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Köln, 70 patients</w:t>
      </w:r>
    </w:p>
    <w:p w14:paraId="14409447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Charité - Universitätsmedizin Berlin, 68 patients</w:t>
      </w:r>
    </w:p>
    <w:p w14:paraId="0C8528D6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Heidelberg, 57 patients</w:t>
      </w:r>
    </w:p>
    <w:p w14:paraId="6B7C4054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Freiburg, 42 patients</w:t>
      </w:r>
    </w:p>
    <w:p w14:paraId="18BCC543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Essen, 32 patients</w:t>
      </w:r>
    </w:p>
    <w:p w14:paraId="1CE860CD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Carl Gustav Carus a. d. TU Dresden, 31 patients</w:t>
      </w:r>
    </w:p>
    <w:p w14:paraId="19D65A90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Hamburg-Eppendorf, 30 patients</w:t>
      </w:r>
    </w:p>
    <w:p w14:paraId="4F5D01BB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Tübingen, 25 patients</w:t>
      </w:r>
    </w:p>
    <w:p w14:paraId="3E183E59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Regensburg, 18 patients</w:t>
      </w:r>
    </w:p>
    <w:p w14:paraId="431CA6E3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Schleswig-Holstein / Campus Kiel, 14 patients</w:t>
      </w:r>
    </w:p>
    <w:p w14:paraId="3D3B220A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Hamburg-Eppendorf,</w:t>
      </w:r>
      <w:r>
        <w:rPr>
          <w:bCs/>
          <w:lang w:val="de-DE"/>
        </w:rPr>
        <w:t xml:space="preserve"> Klinik für Stammzelltransplantation,</w:t>
      </w:r>
      <w:r w:rsidRPr="00275C5C">
        <w:rPr>
          <w:bCs/>
          <w:lang w:val="de-DE"/>
        </w:rPr>
        <w:t xml:space="preserve"> 12 patients</w:t>
      </w:r>
    </w:p>
    <w:p w14:paraId="2095AFBA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proofErr w:type="gramStart"/>
      <w:r w:rsidRPr="00275C5C">
        <w:rPr>
          <w:bCs/>
          <w:lang w:val="de-DE"/>
        </w:rPr>
        <w:t>TUM Universitätsklinikum</w:t>
      </w:r>
      <w:proofErr w:type="gramEnd"/>
      <w:r w:rsidRPr="00275C5C">
        <w:rPr>
          <w:bCs/>
          <w:lang w:val="de-DE"/>
        </w:rPr>
        <w:t>, Klinikum rechts der Isar, 11 patients</w:t>
      </w:r>
    </w:p>
    <w:p w14:paraId="29834119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Med. Hochschule Hannover, 9 patients</w:t>
      </w:r>
    </w:p>
    <w:p w14:paraId="2B651D59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Knappschaft Kliniken Universitätsklinikum Bochum, 7 patients</w:t>
      </w:r>
    </w:p>
    <w:p w14:paraId="61239AD3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Klinikum Chemnitz gGmbH, 6 patients</w:t>
      </w:r>
    </w:p>
    <w:p w14:paraId="2DF77309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Robert-Bosch-Krankenhaus, 4 patients</w:t>
      </w:r>
    </w:p>
    <w:p w14:paraId="0904E6B5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Asklepios Klinik St. Georg, 2 patients</w:t>
      </w:r>
    </w:p>
    <w:p w14:paraId="1C135757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Univ.-Klinikum Gießen und Marburg GmbH, 2 patients</w:t>
      </w:r>
    </w:p>
    <w:p w14:paraId="2D0A772E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Halle (Saale), 1 patient</w:t>
      </w:r>
    </w:p>
    <w:p w14:paraId="058AD9A2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Magdeburg A. ö. R., 1 patient</w:t>
      </w:r>
    </w:p>
    <w:p w14:paraId="3ACBDEFD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Klinikum Nürnberg Nord, 1 patient</w:t>
      </w:r>
    </w:p>
    <w:p w14:paraId="3A366029" w14:textId="77777777" w:rsidR="00E946E4" w:rsidRPr="00275C5C" w:rsidRDefault="00E946E4" w:rsidP="00AB09C7">
      <w:pPr>
        <w:spacing w:before="240" w:after="240"/>
        <w:jc w:val="both"/>
        <w:rPr>
          <w:bCs/>
          <w:lang w:val="de-DE"/>
        </w:rPr>
      </w:pPr>
      <w:r w:rsidRPr="00275C5C">
        <w:rPr>
          <w:bCs/>
          <w:lang w:val="de-DE"/>
        </w:rPr>
        <w:t>Universitätsklinikum Erlangen, 1 patient</w:t>
      </w:r>
    </w:p>
    <w:p w14:paraId="5CE0B88E" w14:textId="77777777" w:rsidR="00FF4022" w:rsidRPr="00E946E4" w:rsidRDefault="00FF4022" w:rsidP="00AB09C7">
      <w:pPr>
        <w:jc w:val="both"/>
        <w:rPr>
          <w:lang w:val="de-DE"/>
        </w:rPr>
      </w:pPr>
    </w:p>
    <w:sectPr w:rsidR="00FF4022" w:rsidRPr="00E946E4" w:rsidSect="00E946E4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FE5BB" w14:textId="77777777" w:rsidR="000A5168" w:rsidRDefault="000A5168">
      <w:pPr>
        <w:spacing w:line="240" w:lineRule="auto"/>
      </w:pPr>
      <w:r>
        <w:separator/>
      </w:r>
    </w:p>
  </w:endnote>
  <w:endnote w:type="continuationSeparator" w:id="0">
    <w:p w14:paraId="3AB30714" w14:textId="77777777" w:rsidR="000A5168" w:rsidRDefault="000A5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6616050"/>
      <w:docPartObj>
        <w:docPartGallery w:val="Page Numbers (Bottom of Page)"/>
        <w:docPartUnique/>
      </w:docPartObj>
    </w:sdtPr>
    <w:sdtContent>
      <w:p w14:paraId="2E5DFD7D" w14:textId="30E99576" w:rsidR="002271E4" w:rsidRDefault="002271E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46C823C" w14:textId="77777777" w:rsidR="002271E4" w:rsidRDefault="002271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53BBE" w14:textId="77777777" w:rsidR="000A5168" w:rsidRDefault="000A5168">
      <w:pPr>
        <w:spacing w:line="240" w:lineRule="auto"/>
      </w:pPr>
      <w:r>
        <w:separator/>
      </w:r>
    </w:p>
  </w:footnote>
  <w:footnote w:type="continuationSeparator" w:id="0">
    <w:p w14:paraId="76F5BD2D" w14:textId="77777777" w:rsidR="000A5168" w:rsidRDefault="000A51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CCFA" w14:textId="77777777" w:rsidR="00E946E4" w:rsidRDefault="00E946E4">
    <w:pPr>
      <w:widowControl w:val="0"/>
      <w:pBdr>
        <w:top w:val="nil"/>
        <w:left w:val="nil"/>
        <w:bottom w:val="nil"/>
        <w:right w:val="nil"/>
        <w:between w:val="nil"/>
      </w:pBdr>
      <w:rPr>
        <w:vertAlign w:val="superscri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E4"/>
    <w:rsid w:val="000A5168"/>
    <w:rsid w:val="000C2FF9"/>
    <w:rsid w:val="000E565A"/>
    <w:rsid w:val="002271E4"/>
    <w:rsid w:val="002A760D"/>
    <w:rsid w:val="002B40E2"/>
    <w:rsid w:val="00483200"/>
    <w:rsid w:val="00577F94"/>
    <w:rsid w:val="006B6E58"/>
    <w:rsid w:val="0085635F"/>
    <w:rsid w:val="008F6A57"/>
    <w:rsid w:val="00990D8A"/>
    <w:rsid w:val="00AB09C7"/>
    <w:rsid w:val="00AD6925"/>
    <w:rsid w:val="00B62FC1"/>
    <w:rsid w:val="00D366A0"/>
    <w:rsid w:val="00D658F5"/>
    <w:rsid w:val="00E946E4"/>
    <w:rsid w:val="00FA286C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7691"/>
  <w15:chartTrackingRefBased/>
  <w15:docId w15:val="{505B04C5-7AA9-4FEB-B067-AF5CC619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46E4"/>
    <w:pPr>
      <w:spacing w:after="0" w:line="276" w:lineRule="auto"/>
    </w:pPr>
    <w:rPr>
      <w:rFonts w:ascii="Arial" w:eastAsia="Arial" w:hAnsi="Arial" w:cs="Arial"/>
      <w:kern w:val="0"/>
      <w:sz w:val="22"/>
      <w:lang w:val="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46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46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46E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46E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US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46E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US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46E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US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46E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US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46E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US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46E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US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46E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46E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46E4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46E4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46E4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46E4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46E4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46E4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46E4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94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946E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46E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46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E946E4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:lang w:val="en-US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946E4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E946E4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kern w:val="2"/>
      <w:sz w:val="24"/>
      <w:lang w:val="en-US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946E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4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kern w:val="2"/>
      <w:sz w:val="24"/>
      <w:lang w:val="en-US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46E4"/>
    <w:rPr>
      <w:i/>
      <w:iCs/>
      <w:color w:val="0F4761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E946E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A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271E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71E4"/>
    <w:rPr>
      <w:rFonts w:ascii="Arial" w:eastAsia="Arial" w:hAnsi="Arial" w:cs="Arial"/>
      <w:kern w:val="0"/>
      <w:sz w:val="22"/>
      <w:lang w:val="de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2271E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71E4"/>
    <w:rPr>
      <w:rFonts w:ascii="Arial" w:eastAsia="Arial" w:hAnsi="Arial" w:cs="Arial"/>
      <w:kern w:val="0"/>
      <w:sz w:val="22"/>
      <w:lang w:val="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1190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Gagelmann, Nico</dc:creator>
  <cp:keywords/>
  <dc:description/>
  <cp:lastModifiedBy>Gagelmann, Nico</cp:lastModifiedBy>
  <cp:revision>3</cp:revision>
  <dcterms:created xsi:type="dcterms:W3CDTF">2026-04-02T15:44:00Z</dcterms:created>
  <dcterms:modified xsi:type="dcterms:W3CDTF">2026-04-19T18:50:00Z</dcterms:modified>
</cp:coreProperties>
</file>