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C33" w:rsidRDefault="00BA4C33" w:rsidP="00BA4C33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eastAsiaTheme="majorEastAsia" w:hAnsi="Arial" w:cs="Arial"/>
          <w:b/>
          <w:bCs/>
          <w:noProof/>
          <w:color w:val="000000" w:themeColor="text1"/>
          <w:sz w:val="32"/>
          <w:szCs w:val="32"/>
          <w:lang w:eastAsia="en-IN"/>
        </w:rPr>
        <w:drawing>
          <wp:anchor distT="0" distB="0" distL="114300" distR="114300" simplePos="0" relativeHeight="251659264" behindDoc="0" locked="0" layoutInCell="1" allowOverlap="1" wp14:anchorId="7E8BCC0E" wp14:editId="542038BC">
            <wp:simplePos x="0" y="0"/>
            <wp:positionH relativeFrom="column">
              <wp:posOffset>32444</wp:posOffset>
            </wp:positionH>
            <wp:positionV relativeFrom="paragraph">
              <wp:posOffset>499553</wp:posOffset>
            </wp:positionV>
            <wp:extent cx="5937885" cy="1999615"/>
            <wp:effectExtent l="0" t="0" r="5715" b="635"/>
            <wp:wrapSquare wrapText="bothSides"/>
            <wp:docPr id="19317261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Supplemental F</w:t>
      </w:r>
      <w:r w:rsidRPr="00B1377B">
        <w:rPr>
          <w:rFonts w:ascii="Arial" w:hAnsi="Arial" w:cs="Arial"/>
          <w:b/>
          <w:bCs/>
          <w:color w:val="000000" w:themeColor="text1"/>
          <w:sz w:val="32"/>
          <w:szCs w:val="32"/>
        </w:rPr>
        <w:t>igure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s &amp;</w:t>
      </w:r>
      <w:r w:rsidRPr="00B1377B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L</w:t>
      </w:r>
      <w:r w:rsidRPr="00B1377B">
        <w:rPr>
          <w:rFonts w:ascii="Arial" w:hAnsi="Arial" w:cs="Arial"/>
          <w:b/>
          <w:bCs/>
          <w:color w:val="000000" w:themeColor="text1"/>
          <w:sz w:val="32"/>
          <w:szCs w:val="32"/>
        </w:rPr>
        <w:t>egends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:</w:t>
      </w:r>
    </w:p>
    <w:p w:rsidR="00BA4C33" w:rsidRDefault="00BA4C33" w:rsidP="00BA4C33">
      <w:pPr>
        <w:spacing w:line="24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BA4C33" w:rsidRPr="00952446" w:rsidRDefault="00BA4C33" w:rsidP="00BA4C3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F</w:t>
      </w:r>
      <w:r w:rsidRPr="00AB7DE6">
        <w:rPr>
          <w:rFonts w:ascii="Arial" w:hAnsi="Arial" w:cs="Arial"/>
          <w:b/>
          <w:bCs/>
        </w:rPr>
        <w:t xml:space="preserve">igure 1: KRAS </w:t>
      </w:r>
      <w:r>
        <w:rPr>
          <w:rFonts w:ascii="Arial" w:hAnsi="Arial" w:cs="Arial"/>
          <w:b/>
          <w:bCs/>
        </w:rPr>
        <w:t xml:space="preserve">mutant allele frequency. </w:t>
      </w:r>
      <w:r>
        <w:rPr>
          <w:rFonts w:ascii="Arial" w:hAnsi="Arial" w:cs="Arial"/>
        </w:rPr>
        <w:t xml:space="preserve"> </w:t>
      </w:r>
      <w:r w:rsidRPr="00952446">
        <w:rPr>
          <w:rFonts w:ascii="Arial" w:hAnsi="Arial" w:cs="Arial"/>
        </w:rPr>
        <w:t xml:space="preserve">Distributions of different </w:t>
      </w:r>
      <w:r w:rsidRPr="00952446">
        <w:rPr>
          <w:rFonts w:ascii="Arial" w:hAnsi="Arial" w:cs="Arial"/>
          <w:i/>
          <w:iCs/>
        </w:rPr>
        <w:t>KRAS</w:t>
      </w:r>
      <w:r w:rsidRPr="00952446">
        <w:rPr>
          <w:rFonts w:ascii="Arial" w:hAnsi="Arial" w:cs="Arial"/>
        </w:rPr>
        <w:t xml:space="preserve"> alleles across different </w:t>
      </w:r>
      <w:proofErr w:type="spellStart"/>
      <w:r w:rsidRPr="00952446">
        <w:rPr>
          <w:rFonts w:ascii="Arial" w:hAnsi="Arial" w:cs="Arial"/>
        </w:rPr>
        <w:t>tumor</w:t>
      </w:r>
      <w:proofErr w:type="spellEnd"/>
      <w:r w:rsidRPr="00952446">
        <w:rPr>
          <w:rFonts w:ascii="Arial" w:hAnsi="Arial" w:cs="Arial"/>
        </w:rPr>
        <w:t xml:space="preserve"> </w:t>
      </w:r>
      <w:proofErr w:type="spellStart"/>
      <w:r w:rsidRPr="00952446">
        <w:rPr>
          <w:rFonts w:ascii="Arial" w:hAnsi="Arial" w:cs="Arial"/>
        </w:rPr>
        <w:t>histologies</w:t>
      </w:r>
      <w:proofErr w:type="spellEnd"/>
      <w:r w:rsidRPr="00952446">
        <w:rPr>
          <w:rFonts w:ascii="Arial" w:hAnsi="Arial" w:cs="Arial"/>
        </w:rPr>
        <w:t xml:space="preserve"> in (</w:t>
      </w:r>
      <w:r>
        <w:rPr>
          <w:rFonts w:ascii="Arial" w:hAnsi="Arial" w:cs="Arial"/>
        </w:rPr>
        <w:t>A</w:t>
      </w:r>
      <w:r w:rsidRPr="00952446">
        <w:rPr>
          <w:rFonts w:ascii="Arial" w:hAnsi="Arial" w:cs="Arial"/>
        </w:rPr>
        <w:t>) MDACC and (</w:t>
      </w:r>
      <w:r>
        <w:rPr>
          <w:rFonts w:ascii="Arial" w:hAnsi="Arial" w:cs="Arial"/>
        </w:rPr>
        <w:t>B</w:t>
      </w:r>
      <w:r w:rsidRPr="00952446">
        <w:rPr>
          <w:rFonts w:ascii="Arial" w:hAnsi="Arial" w:cs="Arial"/>
        </w:rPr>
        <w:t>) MSKCC cohorts.</w:t>
      </w:r>
    </w:p>
    <w:p w:rsidR="00BA4C33" w:rsidRPr="00BD58A9" w:rsidRDefault="00BA4C33" w:rsidP="00BA4C33">
      <w:pPr>
        <w:spacing w:line="240" w:lineRule="auto"/>
        <w:jc w:val="both"/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br w:type="page"/>
      </w:r>
      <w:r>
        <w:rPr>
          <w:rFonts w:ascii="Arial" w:eastAsiaTheme="majorEastAsia" w:hAnsi="Arial" w:cs="Arial"/>
          <w:b/>
          <w:bCs/>
          <w:noProof/>
          <w:color w:val="000000" w:themeColor="text1"/>
          <w:sz w:val="28"/>
          <w:szCs w:val="28"/>
          <w:lang w:eastAsia="en-IN"/>
        </w:rPr>
        <w:lastRenderedPageBreak/>
        <w:drawing>
          <wp:inline distT="0" distB="0" distL="0" distR="0" wp14:anchorId="732D63AE" wp14:editId="2F55ECD1">
            <wp:extent cx="4811151" cy="5976416"/>
            <wp:effectExtent l="0" t="0" r="8890" b="5715"/>
            <wp:docPr id="1923391995" name="Picture 8" descr="A collage of graphs and diagram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91995" name="Picture 8" descr="A collage of graphs and diagrams  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261" cy="598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C33" w:rsidRPr="00952446" w:rsidRDefault="00BA4C33" w:rsidP="00BA4C3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F</w:t>
      </w:r>
      <w:r w:rsidRPr="00AB7DE6">
        <w:rPr>
          <w:rFonts w:ascii="Arial" w:hAnsi="Arial" w:cs="Arial"/>
          <w:b/>
          <w:bCs/>
        </w:rPr>
        <w:t xml:space="preserve">igure </w:t>
      </w:r>
      <w:r>
        <w:rPr>
          <w:rFonts w:ascii="Arial" w:hAnsi="Arial" w:cs="Arial"/>
          <w:b/>
          <w:bCs/>
        </w:rPr>
        <w:t>2</w:t>
      </w:r>
      <w:r w:rsidRPr="00AB7DE6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Effects of KRAS inhibition </w:t>
      </w:r>
      <w:r w:rsidRPr="004A67ED">
        <w:rPr>
          <w:rFonts w:ascii="Arial" w:hAnsi="Arial" w:cs="Arial"/>
          <w:b/>
          <w:bCs/>
          <w:i/>
          <w:iCs/>
        </w:rPr>
        <w:t>in vivo</w:t>
      </w:r>
      <w:r>
        <w:rPr>
          <w:rFonts w:ascii="Arial" w:hAnsi="Arial" w:cs="Arial"/>
          <w:b/>
          <w:bCs/>
        </w:rPr>
        <w:t xml:space="preserve">. </w:t>
      </w:r>
      <w:r w:rsidRPr="004A67ED">
        <w:rPr>
          <w:rFonts w:ascii="Arial" w:hAnsi="Arial" w:cs="Arial"/>
        </w:rPr>
        <w:t>(</w:t>
      </w:r>
      <w:r w:rsidRPr="00ED10E4">
        <w:rPr>
          <w:rFonts w:ascii="Arial" w:hAnsi="Arial" w:cs="Arial"/>
        </w:rPr>
        <w:t>A)</w:t>
      </w:r>
      <w:r w:rsidRPr="009524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Change in body weight for mice treated with MRTX1133 or control. </w:t>
      </w:r>
      <w:r w:rsidRPr="00952446">
        <w:rPr>
          <w:rFonts w:ascii="Arial" w:hAnsi="Arial" w:cs="Arial"/>
        </w:rPr>
        <w:t>(</w:t>
      </w:r>
      <w:r>
        <w:rPr>
          <w:rFonts w:ascii="Arial" w:hAnsi="Arial" w:cs="Arial"/>
        </w:rPr>
        <w:t>B</w:t>
      </w:r>
      <w:r w:rsidRPr="00952446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Fraction of cells positive for Ki67 following treatment with MRTX1133 or control. </w:t>
      </w:r>
      <w:r w:rsidRPr="00952446">
        <w:rPr>
          <w:rFonts w:ascii="Arial" w:hAnsi="Arial" w:cs="Arial"/>
        </w:rPr>
        <w:t>(</w:t>
      </w:r>
      <w:r>
        <w:rPr>
          <w:rFonts w:ascii="Arial" w:hAnsi="Arial" w:cs="Arial"/>
        </w:rPr>
        <w:t>C</w:t>
      </w:r>
      <w:r w:rsidRPr="0095244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CDX2 and Caspase3 staining after treatment with MRTX1133 or vehicle control, note the decrease in CDX2+ (</w:t>
      </w:r>
      <w:proofErr w:type="spellStart"/>
      <w:r>
        <w:rPr>
          <w:rFonts w:ascii="Arial" w:hAnsi="Arial" w:cs="Arial"/>
        </w:rPr>
        <w:t>tumor</w:t>
      </w:r>
      <w:proofErr w:type="spellEnd"/>
      <w:r>
        <w:rPr>
          <w:rFonts w:ascii="Arial" w:hAnsi="Arial" w:cs="Arial"/>
        </w:rPr>
        <w:t xml:space="preserve">) cells and increase in caspase3 specifically in CDX2+ cells. </w:t>
      </w:r>
      <w:r w:rsidRPr="00952446">
        <w:rPr>
          <w:rFonts w:ascii="Arial" w:hAnsi="Arial" w:cs="Arial"/>
        </w:rPr>
        <w:t>(</w:t>
      </w:r>
      <w:r>
        <w:rPr>
          <w:rFonts w:ascii="Arial" w:hAnsi="Arial" w:cs="Arial"/>
        </w:rPr>
        <w:t>D</w:t>
      </w:r>
      <w:r w:rsidRPr="0095244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Change in body weight for mice treated with RMC-6236 or vehicle control. </w:t>
      </w:r>
      <w:r w:rsidRPr="00952446">
        <w:rPr>
          <w:rFonts w:ascii="Arial" w:hAnsi="Arial" w:cs="Arial"/>
        </w:rPr>
        <w:t>(</w:t>
      </w:r>
      <w:r>
        <w:rPr>
          <w:rFonts w:ascii="Arial" w:hAnsi="Arial" w:cs="Arial"/>
        </w:rPr>
        <w:t>E</w:t>
      </w:r>
      <w:r w:rsidRPr="0095244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Ku80 (marker of human cells), </w:t>
      </w:r>
      <w:proofErr w:type="spellStart"/>
      <w:r>
        <w:rPr>
          <w:rFonts w:ascii="Arial" w:hAnsi="Arial" w:cs="Arial"/>
        </w:rPr>
        <w:t>vimentin</w:t>
      </w:r>
      <w:proofErr w:type="spellEnd"/>
      <w:r>
        <w:rPr>
          <w:rFonts w:ascii="Arial" w:hAnsi="Arial" w:cs="Arial"/>
        </w:rPr>
        <w:t xml:space="preserve"> (marker of fibroblasts), and </w:t>
      </w:r>
      <w:proofErr w:type="spellStart"/>
      <w:r>
        <w:rPr>
          <w:rFonts w:ascii="Arial" w:hAnsi="Arial" w:cs="Arial"/>
        </w:rPr>
        <w:t>pERK</w:t>
      </w:r>
      <w:proofErr w:type="spellEnd"/>
      <w:r>
        <w:rPr>
          <w:rFonts w:ascii="Arial" w:hAnsi="Arial" w:cs="Arial"/>
        </w:rPr>
        <w:t xml:space="preserve"> IHC following treatment with RMC-6236 or vehicle control, note reduced presence of Ku80+ (human </w:t>
      </w:r>
      <w:proofErr w:type="spellStart"/>
      <w:r>
        <w:rPr>
          <w:rFonts w:ascii="Arial" w:hAnsi="Arial" w:cs="Arial"/>
        </w:rPr>
        <w:t>tumor</w:t>
      </w:r>
      <w:proofErr w:type="spellEnd"/>
      <w:r>
        <w:rPr>
          <w:rFonts w:ascii="Arial" w:hAnsi="Arial" w:cs="Arial"/>
        </w:rPr>
        <w:t xml:space="preserve">) cells and decreased </w:t>
      </w:r>
      <w:proofErr w:type="spellStart"/>
      <w:r>
        <w:rPr>
          <w:rFonts w:ascii="Arial" w:hAnsi="Arial" w:cs="Arial"/>
        </w:rPr>
        <w:t>pERK</w:t>
      </w:r>
      <w:proofErr w:type="spellEnd"/>
      <w:r>
        <w:rPr>
          <w:rFonts w:ascii="Arial" w:hAnsi="Arial" w:cs="Arial"/>
        </w:rPr>
        <w:t xml:space="preserve"> following RMC-6236 treatment.</w:t>
      </w:r>
    </w:p>
    <w:p w:rsidR="00BA4C33" w:rsidRDefault="00BA4C33" w:rsidP="00BA4C33">
      <w:pPr>
        <w:spacing w:line="240" w:lineRule="auto"/>
        <w:rPr>
          <w:rFonts w:ascii="Arial" w:eastAsia="Times New Roman" w:hAnsi="Arial" w:cs="Arial"/>
          <w:b/>
          <w:bCs/>
          <w:color w:val="1F1F1F"/>
        </w:rPr>
      </w:pPr>
      <w:r>
        <w:rPr>
          <w:rFonts w:ascii="Arial" w:eastAsia="Times New Roman" w:hAnsi="Arial" w:cs="Arial"/>
          <w:color w:val="1F1F1F"/>
        </w:rPr>
        <w:br w:type="page"/>
      </w:r>
      <w:r>
        <w:rPr>
          <w:rFonts w:ascii="Arial" w:eastAsia="Times New Roman" w:hAnsi="Arial" w:cs="Arial"/>
          <w:b/>
          <w:bCs/>
          <w:noProof/>
          <w:color w:val="1F1F1F"/>
          <w:lang w:eastAsia="en-IN"/>
        </w:rPr>
        <w:lastRenderedPageBreak/>
        <w:drawing>
          <wp:inline distT="0" distB="0" distL="0" distR="0" wp14:anchorId="0E6AE944" wp14:editId="3683994A">
            <wp:extent cx="5943600" cy="7541260"/>
            <wp:effectExtent l="0" t="0" r="0" b="2540"/>
            <wp:docPr id="885618447" name="Picture 9" descr="A screenshot of a graph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18447" name="Picture 9" descr="A screenshot of a graph  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C33" w:rsidRDefault="00BA4C33" w:rsidP="00BA4C33">
      <w:pPr>
        <w:spacing w:line="240" w:lineRule="auto"/>
        <w:ind w:left="270" w:hanging="270"/>
        <w:jc w:val="both"/>
        <w:rPr>
          <w:rFonts w:ascii="Arial" w:hAnsi="Arial" w:cs="Arial"/>
          <w:b/>
          <w:bCs/>
        </w:rPr>
      </w:pPr>
      <w:r w:rsidRPr="004517E8">
        <w:rPr>
          <w:rFonts w:ascii="Arial" w:eastAsia="Times New Roman" w:hAnsi="Arial" w:cs="Arial"/>
          <w:b/>
          <w:bCs/>
          <w:color w:val="1F1F1F"/>
        </w:rPr>
        <w:t>S</w:t>
      </w:r>
      <w:r>
        <w:rPr>
          <w:rFonts w:ascii="Arial" w:hAnsi="Arial" w:cs="Arial"/>
          <w:b/>
          <w:bCs/>
        </w:rPr>
        <w:t>upplemental F</w:t>
      </w:r>
      <w:r w:rsidRPr="00AB7DE6">
        <w:rPr>
          <w:rFonts w:ascii="Arial" w:hAnsi="Arial" w:cs="Arial"/>
          <w:b/>
          <w:bCs/>
        </w:rPr>
        <w:t xml:space="preserve">igure </w:t>
      </w:r>
      <w:r>
        <w:rPr>
          <w:rFonts w:ascii="Arial" w:hAnsi="Arial" w:cs="Arial"/>
          <w:b/>
          <w:bCs/>
        </w:rPr>
        <w:t>3</w:t>
      </w:r>
      <w:r w:rsidRPr="00AB7DE6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Transcriptional effects of KRAS inhibition </w:t>
      </w:r>
      <w:r w:rsidRPr="00FB0070">
        <w:rPr>
          <w:rFonts w:ascii="Arial" w:hAnsi="Arial" w:cs="Arial"/>
          <w:b/>
          <w:bCs/>
          <w:i/>
          <w:iCs/>
        </w:rPr>
        <w:t>in vivo</w:t>
      </w:r>
      <w:r>
        <w:rPr>
          <w:rFonts w:ascii="Arial" w:hAnsi="Arial" w:cs="Arial"/>
          <w:b/>
          <w:bCs/>
        </w:rPr>
        <w:t>.</w:t>
      </w:r>
    </w:p>
    <w:p w:rsidR="00BA4C33" w:rsidRPr="00977D7D" w:rsidRDefault="00BA4C33" w:rsidP="00BA4C33">
      <w:pPr>
        <w:pStyle w:val="ListParagraph"/>
        <w:numPr>
          <w:ilvl w:val="0"/>
          <w:numId w:val="1"/>
        </w:numPr>
        <w:tabs>
          <w:tab w:val="left" w:pos="450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977D7D">
        <w:rPr>
          <w:rFonts w:ascii="Arial" w:hAnsi="Arial" w:cs="Arial"/>
        </w:rPr>
        <w:t>Volcano plots from differential gene expression analyses performed between MRTX1133-treated tumors and vehicle control. Leading edge genes contributing enrichment scores of (B) KRAS-ERK_UP and (C) KRAS-</w:t>
      </w:r>
      <w:proofErr w:type="spellStart"/>
      <w:r w:rsidRPr="00977D7D">
        <w:rPr>
          <w:rFonts w:ascii="Arial" w:hAnsi="Arial" w:cs="Arial"/>
        </w:rPr>
        <w:t>ERK_Down</w:t>
      </w:r>
      <w:proofErr w:type="spellEnd"/>
      <w:r w:rsidRPr="00977D7D">
        <w:rPr>
          <w:rFonts w:ascii="Arial" w:hAnsi="Arial" w:cs="Arial"/>
        </w:rPr>
        <w:t xml:space="preserve"> gene sets in GSEA of MRTX1133 vs Control analysis. Note decreased expression of </w:t>
      </w:r>
      <w:r w:rsidRPr="00977D7D">
        <w:rPr>
          <w:rFonts w:ascii="Arial" w:eastAsia="Times New Roman" w:hAnsi="Arial" w:cs="Arial"/>
          <w:i/>
          <w:iCs/>
          <w:color w:val="1F1F1F"/>
          <w:kern w:val="0"/>
          <w14:ligatures w14:val="none"/>
        </w:rPr>
        <w:t>MYC</w:t>
      </w:r>
      <w:r w:rsidRPr="00977D7D">
        <w:rPr>
          <w:rFonts w:ascii="Arial" w:eastAsia="Times New Roman" w:hAnsi="Arial" w:cs="Arial"/>
          <w:color w:val="1F1F1F"/>
          <w:kern w:val="0"/>
          <w14:ligatures w14:val="none"/>
        </w:rPr>
        <w:t xml:space="preserve">, </w:t>
      </w:r>
      <w:r w:rsidRPr="00977D7D">
        <w:rPr>
          <w:rFonts w:ascii="Arial" w:eastAsia="Times New Roman" w:hAnsi="Arial" w:cs="Arial"/>
          <w:i/>
          <w:iCs/>
          <w:color w:val="1F1F1F"/>
          <w:kern w:val="0"/>
          <w14:ligatures w14:val="none"/>
        </w:rPr>
        <w:t>AREG</w:t>
      </w:r>
      <w:r w:rsidRPr="00977D7D">
        <w:rPr>
          <w:rFonts w:ascii="Arial" w:eastAsia="Times New Roman" w:hAnsi="Arial" w:cs="Arial"/>
          <w:color w:val="1F1F1F"/>
          <w:kern w:val="0"/>
          <w14:ligatures w14:val="none"/>
        </w:rPr>
        <w:t xml:space="preserve">, and </w:t>
      </w:r>
      <w:r w:rsidRPr="00977D7D">
        <w:rPr>
          <w:rFonts w:ascii="Arial" w:eastAsia="Times New Roman" w:hAnsi="Arial" w:cs="Arial"/>
          <w:i/>
          <w:iCs/>
          <w:color w:val="1F1F1F"/>
          <w:kern w:val="0"/>
          <w14:ligatures w14:val="none"/>
        </w:rPr>
        <w:t xml:space="preserve">CCND1 </w:t>
      </w:r>
      <w:r w:rsidRPr="00977D7D">
        <w:rPr>
          <w:rFonts w:ascii="Arial" w:eastAsia="Times New Roman" w:hAnsi="Arial" w:cs="Arial"/>
          <w:color w:val="1F1F1F"/>
          <w:kern w:val="0"/>
          <w14:ligatures w14:val="none"/>
        </w:rPr>
        <w:t xml:space="preserve">following MRTX1133 treatment. </w:t>
      </w:r>
      <w:r w:rsidRPr="00977D7D">
        <w:rPr>
          <w:rFonts w:ascii="Arial" w:hAnsi="Arial" w:cs="Arial"/>
        </w:rPr>
        <w:t xml:space="preserve">Volcano plots from differential gene </w:t>
      </w:r>
      <w:r w:rsidRPr="00977D7D">
        <w:rPr>
          <w:rFonts w:ascii="Arial" w:hAnsi="Arial" w:cs="Arial"/>
        </w:rPr>
        <w:lastRenderedPageBreak/>
        <w:t>expression analyses comparing RMC-6236-treated tumors to vehicle control. Leading edge genes contributing enrichment scores of (E) KRAS-ERK_UP and (F) KRAS-</w:t>
      </w:r>
      <w:proofErr w:type="spellStart"/>
      <w:r w:rsidRPr="00977D7D">
        <w:rPr>
          <w:rFonts w:ascii="Arial" w:hAnsi="Arial" w:cs="Arial"/>
        </w:rPr>
        <w:t>ERK_Down</w:t>
      </w:r>
      <w:proofErr w:type="spellEnd"/>
      <w:r w:rsidRPr="00977D7D">
        <w:rPr>
          <w:rFonts w:ascii="Arial" w:hAnsi="Arial" w:cs="Arial"/>
        </w:rPr>
        <w:t xml:space="preserve"> gene sets in GSEA of RMC-6236 treated tumors vs vehicle control. (G) A Venn diagram showing common and unique genes identified in the leading-edge genes of EMT pathway observed in GSEA analyses of </w:t>
      </w:r>
      <w:r w:rsidRPr="00977D7D">
        <w:rPr>
          <w:rFonts w:ascii="Arial" w:eastAsia="Times New Roman" w:hAnsi="Arial" w:cs="Arial"/>
          <w:color w:val="1F1F1F"/>
          <w:kern w:val="0"/>
          <w14:ligatures w14:val="none"/>
        </w:rPr>
        <w:t xml:space="preserve">MRTX1133-treatment vs vehicle control and </w:t>
      </w:r>
      <w:r w:rsidRPr="00977D7D">
        <w:rPr>
          <w:rFonts w:ascii="Arial" w:hAnsi="Arial" w:cs="Arial"/>
        </w:rPr>
        <w:t xml:space="preserve">RMC-6236-treatment vs vehicle control. Leading edge genes contributing enrichment scores of the EMT pathway in GSEA analyses of (I) </w:t>
      </w:r>
      <w:r w:rsidRPr="00977D7D">
        <w:rPr>
          <w:rFonts w:ascii="Arial" w:eastAsia="Times New Roman" w:hAnsi="Arial" w:cs="Arial"/>
          <w:color w:val="1F1F1F"/>
          <w:kern w:val="0"/>
          <w14:ligatures w14:val="none"/>
        </w:rPr>
        <w:t xml:space="preserve">MRTX1133-treatment vs vehicle, </w:t>
      </w:r>
      <w:r w:rsidRPr="00977D7D">
        <w:rPr>
          <w:rFonts w:ascii="Arial" w:hAnsi="Arial" w:cs="Arial"/>
        </w:rPr>
        <w:t>and (J) RMC-6236-treatment vs vehicle control.</w:t>
      </w:r>
      <w:r w:rsidRPr="00977D7D">
        <w:rPr>
          <w:rFonts w:ascii="Arial" w:eastAsia="Times New Roman" w:hAnsi="Arial" w:cs="Arial"/>
          <w:color w:val="1F1F1F"/>
          <w:kern w:val="0"/>
          <w14:ligatures w14:val="none"/>
        </w:rPr>
        <w:t xml:space="preserve"> </w:t>
      </w:r>
      <w:r w:rsidRPr="00977D7D">
        <w:rPr>
          <w:rFonts w:ascii="Arial" w:hAnsi="Arial" w:cs="Arial"/>
        </w:rPr>
        <w:t xml:space="preserve">    </w:t>
      </w:r>
    </w:p>
    <w:p w:rsidR="00BA4C33" w:rsidRDefault="00BA4C33" w:rsidP="00BA4C33">
      <w:pPr>
        <w:spacing w:line="240" w:lineRule="auto"/>
        <w:jc w:val="both"/>
        <w:rPr>
          <w:rFonts w:ascii="Arial" w:eastAsia="Times New Roman" w:hAnsi="Arial" w:cs="Arial"/>
          <w:color w:val="1F1F1F"/>
        </w:rPr>
      </w:pPr>
      <w:r>
        <w:rPr>
          <w:rFonts w:ascii="Arial" w:hAnsi="Arial" w:cs="Arial"/>
        </w:rPr>
        <w:t xml:space="preserve">  </w:t>
      </w:r>
    </w:p>
    <w:p w:rsidR="00BA4C33" w:rsidRDefault="00BA4C33" w:rsidP="00BA4C33">
      <w:pPr>
        <w:spacing w:line="240" w:lineRule="auto"/>
        <w:jc w:val="both"/>
        <w:rPr>
          <w:rFonts w:ascii="Arial" w:eastAsia="Times New Roman" w:hAnsi="Arial" w:cs="Arial"/>
          <w:b/>
          <w:bCs/>
          <w:color w:val="1F1F1F"/>
        </w:rPr>
      </w:pPr>
      <w:r>
        <w:rPr>
          <w:rFonts w:ascii="Arial" w:eastAsia="Times New Roman" w:hAnsi="Arial" w:cs="Arial"/>
          <w:b/>
          <w:bCs/>
          <w:noProof/>
          <w:color w:val="1F1F1F"/>
          <w:lang w:eastAsia="en-IN"/>
        </w:rPr>
        <w:drawing>
          <wp:inline distT="0" distB="0" distL="0" distR="0" wp14:anchorId="719C7F93" wp14:editId="1BD7267C">
            <wp:extent cx="5240215" cy="5192068"/>
            <wp:effectExtent l="0" t="0" r="0" b="8890"/>
            <wp:docPr id="553580420" name="Picture 2" descr="A group of colorful dot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80420" name="Picture 2" descr="A group of colorful dots  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597" cy="519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C33" w:rsidRDefault="00BA4C33" w:rsidP="00BA4C33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F</w:t>
      </w:r>
      <w:r w:rsidRPr="00AB7DE6">
        <w:rPr>
          <w:rFonts w:ascii="Arial" w:hAnsi="Arial" w:cs="Arial"/>
          <w:b/>
          <w:bCs/>
        </w:rPr>
        <w:t xml:space="preserve">igure </w:t>
      </w:r>
      <w:r>
        <w:rPr>
          <w:rFonts w:ascii="Arial" w:hAnsi="Arial" w:cs="Arial"/>
          <w:b/>
          <w:bCs/>
        </w:rPr>
        <w:t>4</w:t>
      </w:r>
      <w:r w:rsidRPr="00AB7DE6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Markers for epithelial, stromal, and fibroblast cell subtypes. </w:t>
      </w:r>
    </w:p>
    <w:p w:rsidR="00BA4C33" w:rsidRDefault="00BA4C33" w:rsidP="00BA4C3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Dot plot identifying major subtypes of (A) epithelial cells, (B) Stromal cells, and (C) Fibroblast cells.  </w:t>
      </w:r>
    </w:p>
    <w:p w:rsidR="00BA4C33" w:rsidRDefault="00BA4C33" w:rsidP="00BA4C3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27EC3518" wp14:editId="2BBDAF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2965" cy="2399665"/>
            <wp:effectExtent l="0" t="0" r="635" b="635"/>
            <wp:wrapSquare wrapText="bothSides"/>
            <wp:docPr id="13471613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C33" w:rsidRDefault="00BA4C33" w:rsidP="00BA4C33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F</w:t>
      </w:r>
      <w:r w:rsidRPr="00AB7DE6">
        <w:rPr>
          <w:rFonts w:ascii="Arial" w:hAnsi="Arial" w:cs="Arial"/>
          <w:b/>
          <w:bCs/>
        </w:rPr>
        <w:t xml:space="preserve">igure </w:t>
      </w:r>
      <w:r>
        <w:rPr>
          <w:rFonts w:ascii="Arial" w:hAnsi="Arial" w:cs="Arial"/>
          <w:b/>
          <w:bCs/>
        </w:rPr>
        <w:t>5</w:t>
      </w:r>
      <w:r w:rsidRPr="00AB7DE6"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  <w:b/>
          <w:bCs/>
        </w:rPr>
        <w:t>Tumor</w:t>
      </w:r>
      <w:proofErr w:type="spellEnd"/>
      <w:r>
        <w:rPr>
          <w:rFonts w:ascii="Arial" w:hAnsi="Arial" w:cs="Arial"/>
          <w:b/>
          <w:bCs/>
        </w:rPr>
        <w:t xml:space="preserve"> Marker Response for Patients #5 and #12. </w:t>
      </w:r>
    </w:p>
    <w:p w:rsidR="00BA4C33" w:rsidRDefault="00BA4C33" w:rsidP="00BA4C3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Serial measurement of Ca19-9 for patient #5 (A) and patient #12 (B). Vertical dashed lines indicate the start of a new line of chemotherapy (</w:t>
      </w:r>
      <w:proofErr w:type="spellStart"/>
      <w:r>
        <w:rPr>
          <w:rFonts w:ascii="Arial" w:hAnsi="Arial" w:cs="Arial"/>
        </w:rPr>
        <w:t>labeled</w:t>
      </w:r>
      <w:proofErr w:type="spellEnd"/>
      <w:r>
        <w:rPr>
          <w:rFonts w:ascii="Arial" w:hAnsi="Arial" w:cs="Arial"/>
        </w:rPr>
        <w:t xml:space="preserve"> L1, L2, </w:t>
      </w:r>
      <w:proofErr w:type="spellStart"/>
      <w:proofErr w:type="gramStart"/>
      <w:r>
        <w:rPr>
          <w:rFonts w:ascii="Arial" w:hAnsi="Arial" w:cs="Arial"/>
        </w:rPr>
        <w:t>ect</w:t>
      </w:r>
      <w:proofErr w:type="spellEnd"/>
      <w:proofErr w:type="gramEnd"/>
      <w:r>
        <w:rPr>
          <w:rFonts w:ascii="Arial" w:hAnsi="Arial" w:cs="Arial"/>
        </w:rPr>
        <w:t>) or surgical resection (</w:t>
      </w:r>
      <w:proofErr w:type="spellStart"/>
      <w:r>
        <w:rPr>
          <w:rFonts w:ascii="Arial" w:hAnsi="Arial" w:cs="Arial"/>
        </w:rPr>
        <w:t>labeled</w:t>
      </w:r>
      <w:proofErr w:type="spellEnd"/>
      <w:r>
        <w:rPr>
          <w:rFonts w:ascii="Arial" w:hAnsi="Arial" w:cs="Arial"/>
        </w:rPr>
        <w:t xml:space="preserve"> CRS/HIPEC). KRAS inhibitor was 8</w:t>
      </w:r>
      <w:r w:rsidRPr="0052545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line of therapy for patient #5 and 2</w:t>
      </w:r>
      <w:r w:rsidRPr="00525451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line of therapy for patient #12 (red font).</w:t>
      </w:r>
    </w:p>
    <w:p w:rsidR="00BA4C33" w:rsidRDefault="00BA4C33" w:rsidP="00BA4C33">
      <w:pPr>
        <w:spacing w:line="240" w:lineRule="auto"/>
        <w:jc w:val="both"/>
        <w:rPr>
          <w:rFonts w:ascii="Arial" w:eastAsia="Times New Roman" w:hAnsi="Arial" w:cs="Arial"/>
          <w:b/>
          <w:bCs/>
          <w:color w:val="1F1F1F"/>
        </w:rPr>
      </w:pPr>
    </w:p>
    <w:p w:rsidR="00BA4C33" w:rsidRDefault="00BA4C33" w:rsidP="00BA4C33">
      <w:pPr>
        <w:spacing w:line="240" w:lineRule="auto"/>
        <w:jc w:val="both"/>
        <w:rPr>
          <w:rFonts w:ascii="Arial" w:eastAsia="Times New Roman" w:hAnsi="Arial" w:cs="Arial"/>
          <w:b/>
          <w:bCs/>
          <w:color w:val="1F1F1F"/>
        </w:rPr>
      </w:pPr>
      <w:r>
        <w:rPr>
          <w:rFonts w:ascii="Arial" w:hAnsi="Arial" w:cs="Arial"/>
          <w:b/>
          <w:bCs/>
        </w:rPr>
        <w:t>Supplemental Table 1: Immunohistochemistry Quantification</w:t>
      </w:r>
    </w:p>
    <w:p w:rsidR="00BA4C33" w:rsidRPr="007E588B" w:rsidRDefault="00BA4C33" w:rsidP="00BA4C33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Table 2: Summary information for clinical cohort</w:t>
      </w:r>
    </w:p>
    <w:p w:rsidR="005E71C6" w:rsidRDefault="005E71C6">
      <w:bookmarkStart w:id="0" w:name="_GoBack"/>
      <w:bookmarkEnd w:id="0"/>
    </w:p>
    <w:sectPr w:rsidR="005E71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5393"/>
    <w:multiLevelType w:val="hybridMultilevel"/>
    <w:tmpl w:val="048E21CA"/>
    <w:lvl w:ilvl="0" w:tplc="0EF4F5D2">
      <w:start w:val="1"/>
      <w:numFmt w:val="upp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33"/>
    <w:rsid w:val="005E41F9"/>
    <w:rsid w:val="005E71C6"/>
    <w:rsid w:val="00832EBE"/>
    <w:rsid w:val="00AE21DA"/>
    <w:rsid w:val="00BA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17B960-354E-4CFD-8DAE-7F7CD02C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C33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val="en-US"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SORUBARAJAN SELVAM</dc:creator>
  <cp:keywords/>
  <dc:description/>
  <cp:lastModifiedBy>SORUBARAJAN SELVAM</cp:lastModifiedBy>
  <cp:revision>1</cp:revision>
  <dcterms:created xsi:type="dcterms:W3CDTF">2026-06-16T10:08:00Z</dcterms:created>
  <dcterms:modified xsi:type="dcterms:W3CDTF">2026-06-16T10:09:00Z</dcterms:modified>
</cp:coreProperties>
</file>