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C278" w14:textId="77777777" w:rsidR="009A1178" w:rsidRPr="00B94164" w:rsidRDefault="009A1178" w:rsidP="009A1178">
      <w:pPr>
        <w:rPr>
          <w:rFonts w:cstheme="minorHAnsi"/>
          <w:b/>
          <w:color w:val="FF7C80"/>
          <w:sz w:val="28"/>
          <w:szCs w:val="28"/>
        </w:rPr>
      </w:pPr>
      <w:r w:rsidRPr="00B94164">
        <w:rPr>
          <w:rFonts w:cstheme="minorHAnsi"/>
          <w:b/>
          <w:color w:val="FF7C80"/>
          <w:sz w:val="28"/>
          <w:szCs w:val="28"/>
        </w:rPr>
        <w:t>Supplementary Materials</w:t>
      </w:r>
    </w:p>
    <w:p w14:paraId="50D45852" w14:textId="77777777" w:rsidR="009A1178" w:rsidRDefault="009A1178" w:rsidP="009A1178">
      <w:pPr>
        <w:spacing w:before="120" w:after="120"/>
        <w:rPr>
          <w:rFonts w:cstheme="minorHAnsi"/>
          <w:sz w:val="28"/>
          <w:szCs w:val="28"/>
        </w:rPr>
      </w:pPr>
    </w:p>
    <w:p w14:paraId="63946EC2" w14:textId="23C26B07" w:rsidR="009A1178" w:rsidRPr="00B94164" w:rsidRDefault="009A1178" w:rsidP="009A1178">
      <w:pPr>
        <w:spacing w:before="120" w:after="120"/>
        <w:rPr>
          <w:rFonts w:eastAsiaTheme="minorEastAsia" w:hAnsi="Calibri"/>
          <w:b/>
          <w:bCs/>
          <w:kern w:val="24"/>
          <w:sz w:val="24"/>
          <w:szCs w:val="24"/>
        </w:rPr>
      </w:pPr>
      <w:r w:rsidRPr="00B94164">
        <w:rPr>
          <w:rFonts w:cstheme="minorHAnsi"/>
          <w:sz w:val="24"/>
          <w:szCs w:val="24"/>
        </w:rPr>
        <w:t xml:space="preserve">Supplement to: </w:t>
      </w:r>
      <w:r w:rsidRPr="00B94164">
        <w:rPr>
          <w:rFonts w:cstheme="minorHAnsi"/>
          <w:kern w:val="0"/>
          <w:sz w:val="24"/>
          <w:szCs w:val="24"/>
          <w14:ligatures w14:val="none"/>
        </w:rPr>
        <w:t>Ignacio Melero</w:t>
      </w:r>
      <w:r w:rsidRPr="00B94164">
        <w:rPr>
          <w:rFonts w:cstheme="minorHAnsi"/>
          <w:sz w:val="24"/>
          <w:szCs w:val="24"/>
        </w:rPr>
        <w:t xml:space="preserve">, </w:t>
      </w:r>
      <w:r w:rsidRPr="00B94164">
        <w:rPr>
          <w:rFonts w:cstheme="minorHAnsi"/>
          <w:i/>
          <w:iCs/>
          <w:sz w:val="24"/>
          <w:szCs w:val="24"/>
        </w:rPr>
        <w:t>et al</w:t>
      </w:r>
      <w:r w:rsidRPr="00B94164">
        <w:rPr>
          <w:rFonts w:cstheme="minorHAnsi"/>
          <w:sz w:val="24"/>
          <w:szCs w:val="24"/>
        </w:rPr>
        <w:t xml:space="preserve">. </w:t>
      </w:r>
      <w:r w:rsidR="00B94164" w:rsidRPr="00B94164">
        <w:rPr>
          <w:rFonts w:eastAsiaTheme="minorEastAsia" w:hAnsi="Calibri"/>
          <w:b/>
          <w:bCs/>
          <w:i/>
          <w:iCs/>
          <w:kern w:val="24"/>
          <w:sz w:val="24"/>
          <w:szCs w:val="24"/>
        </w:rPr>
        <w:t>Long-term follow-up of a phase 1/2 trial of anti-GDF-15 antibody visugromab plus anti-PD-1 antibody nivolumab in anti-PD-1/-L1 relapsed/refractory solid tumors</w:t>
      </w:r>
      <w:r w:rsidR="00B94164" w:rsidRPr="00B94164">
        <w:rPr>
          <w:rFonts w:eastAsiaTheme="minorEastAsia" w:hAnsi="Calibri"/>
          <w:b/>
          <w:bCs/>
          <w:kern w:val="24"/>
          <w:sz w:val="24"/>
          <w:szCs w:val="24"/>
        </w:rPr>
        <w:t xml:space="preserve"> </w:t>
      </w:r>
    </w:p>
    <w:p w14:paraId="32DD4F95" w14:textId="5069EF6D" w:rsidR="009A1178" w:rsidRPr="000F53CB" w:rsidRDefault="009A1178" w:rsidP="009A1178">
      <w:pPr>
        <w:ind w:right="-227"/>
        <w:rPr>
          <w:sz w:val="24"/>
          <w:szCs w:val="24"/>
        </w:rPr>
      </w:pPr>
    </w:p>
    <w:p w14:paraId="749AB1CE" w14:textId="77777777" w:rsidR="009A1178" w:rsidRDefault="009A1178" w:rsidP="009A1178"/>
    <w:p w14:paraId="6DA4213F" w14:textId="731182D2" w:rsidR="009A1178" w:rsidRPr="0068379B" w:rsidRDefault="009A1178" w:rsidP="009A1178">
      <w:pPr>
        <w:rPr>
          <w:rFonts w:ascii="Times New Roman" w:hAnsi="Times New Roman" w:cs="Times New Roman"/>
          <w:b/>
          <w:kern w:val="0"/>
          <w:sz w:val="24"/>
          <w:szCs w:val="24"/>
          <w:lang w:val="en-US"/>
          <w14:ligatures w14:val="none"/>
        </w:rPr>
      </w:pPr>
      <w:bookmarkStart w:id="0" w:name="_Hlk207984925"/>
      <w:r w:rsidRPr="0068379B">
        <w:rPr>
          <w:rFonts w:ascii="Times New Roman" w:hAnsi="Times New Roman" w:cs="Times New Roman"/>
          <w:b/>
          <w:kern w:val="0"/>
          <w:sz w:val="24"/>
          <w:szCs w:val="24"/>
          <w:lang w:val="en-US"/>
          <w14:ligatures w14:val="none"/>
        </w:rPr>
        <w:t>Content</w:t>
      </w:r>
    </w:p>
    <w:tbl>
      <w:tblPr>
        <w:tblStyle w:val="TableGrid"/>
        <w:tblW w:w="9493" w:type="dxa"/>
        <w:tblLook w:val="04A0" w:firstRow="1" w:lastRow="0" w:firstColumn="1" w:lastColumn="0" w:noHBand="0" w:noVBand="1"/>
      </w:tblPr>
      <w:tblGrid>
        <w:gridCol w:w="8500"/>
        <w:gridCol w:w="993"/>
      </w:tblGrid>
      <w:tr w:rsidR="009A1178" w:rsidRPr="0068379B" w14:paraId="0F2553D3" w14:textId="77777777" w:rsidTr="00F76BBB">
        <w:tc>
          <w:tcPr>
            <w:tcW w:w="8500" w:type="dxa"/>
          </w:tcPr>
          <w:p w14:paraId="2BA89E5D" w14:textId="60947819" w:rsidR="009A1178" w:rsidRPr="009A1178" w:rsidRDefault="009A1178" w:rsidP="00F76BBB">
            <w:pPr>
              <w:spacing w:before="120" w:after="120"/>
              <w:rPr>
                <w:rFonts w:ascii="Calibri" w:hAnsi="Calibri" w:cs="Calibri"/>
                <w:color w:val="000000" w:themeColor="text1"/>
                <w:lang w:val="en-US"/>
              </w:rPr>
            </w:pPr>
            <w:r w:rsidRPr="009A1178">
              <w:rPr>
                <w:rFonts w:ascii="Calibri" w:hAnsi="Calibri" w:cs="Calibri"/>
                <w:color w:val="000000" w:themeColor="text1"/>
                <w:lang w:val="en-US"/>
              </w:rPr>
              <w:t>Figure S.1: Trial design</w:t>
            </w:r>
            <w:r w:rsidR="00C355BD">
              <w:rPr>
                <w:rFonts w:ascii="Calibri" w:hAnsi="Calibri" w:cs="Calibri"/>
                <w:color w:val="000000" w:themeColor="text1"/>
                <w:lang w:val="en-US"/>
              </w:rPr>
              <w:t xml:space="preserve"> phase 1/2a GDF</w:t>
            </w:r>
            <w:r w:rsidR="00B45D9D">
              <w:rPr>
                <w:rFonts w:ascii="Calibri" w:hAnsi="Calibri" w:cs="Calibri"/>
                <w:color w:val="000000" w:themeColor="text1"/>
                <w:lang w:val="en-US"/>
              </w:rPr>
              <w:t>ATHER</w:t>
            </w:r>
            <w:r w:rsidR="00C355BD">
              <w:rPr>
                <w:rFonts w:ascii="Calibri" w:hAnsi="Calibri" w:cs="Calibri"/>
                <w:color w:val="000000" w:themeColor="text1"/>
                <w:lang w:val="en-US"/>
              </w:rPr>
              <w:t xml:space="preserve"> trial (</w:t>
            </w:r>
            <w:r w:rsidRPr="009A1178">
              <w:rPr>
                <w:rFonts w:ascii="Calibri" w:hAnsi="Calibri" w:cs="Calibri"/>
                <w:color w:val="000000" w:themeColor="text1"/>
                <w:lang w:val="en-US"/>
              </w:rPr>
              <w:t>Flow chart</w:t>
            </w:r>
            <w:r w:rsidR="00C355BD">
              <w:rPr>
                <w:rFonts w:ascii="Calibri" w:hAnsi="Calibri" w:cs="Calibri"/>
                <w:color w:val="000000" w:themeColor="text1"/>
                <w:lang w:val="en-US"/>
              </w:rPr>
              <w:t>)</w:t>
            </w:r>
            <w:r w:rsidRPr="009A1178">
              <w:rPr>
                <w:rFonts w:ascii="Calibri" w:hAnsi="Calibri" w:cs="Calibri"/>
                <w:color w:val="000000" w:themeColor="text1"/>
                <w:lang w:val="en-US"/>
              </w:rPr>
              <w:t xml:space="preserve"> </w:t>
            </w:r>
          </w:p>
        </w:tc>
        <w:tc>
          <w:tcPr>
            <w:tcW w:w="993" w:type="dxa"/>
          </w:tcPr>
          <w:p w14:paraId="7ED010E6" w14:textId="160B3E6A" w:rsidR="009A1178" w:rsidRPr="001377BB" w:rsidRDefault="009A1178" w:rsidP="00F76BBB">
            <w:pPr>
              <w:spacing w:before="120" w:after="120"/>
              <w:rPr>
                <w:rFonts w:ascii="Calibri" w:hAnsi="Calibri" w:cs="Calibri"/>
                <w:sz w:val="20"/>
                <w:szCs w:val="20"/>
                <w:lang w:val="en-US"/>
              </w:rPr>
            </w:pPr>
            <w:r>
              <w:rPr>
                <w:rFonts w:ascii="Calibri" w:hAnsi="Calibri" w:cs="Calibri"/>
                <w:sz w:val="20"/>
                <w:szCs w:val="20"/>
                <w:lang w:val="en-US"/>
              </w:rPr>
              <w:t>Page 2</w:t>
            </w:r>
          </w:p>
        </w:tc>
      </w:tr>
      <w:tr w:rsidR="009A1178" w:rsidRPr="0068379B" w14:paraId="246569DA" w14:textId="77777777" w:rsidTr="00F76BBB">
        <w:tc>
          <w:tcPr>
            <w:tcW w:w="8500" w:type="dxa"/>
          </w:tcPr>
          <w:p w14:paraId="444BFF24" w14:textId="77777777" w:rsidR="009A1178" w:rsidRPr="001377BB" w:rsidRDefault="009A1178" w:rsidP="00F76BBB">
            <w:pPr>
              <w:spacing w:before="120" w:after="120"/>
              <w:rPr>
                <w:rFonts w:ascii="Calibri" w:hAnsi="Calibri" w:cs="Calibri"/>
                <w:sz w:val="20"/>
                <w:szCs w:val="20"/>
                <w:lang w:val="en-US"/>
              </w:rPr>
            </w:pPr>
          </w:p>
        </w:tc>
        <w:tc>
          <w:tcPr>
            <w:tcW w:w="993" w:type="dxa"/>
          </w:tcPr>
          <w:p w14:paraId="3287F241" w14:textId="77777777" w:rsidR="009A1178" w:rsidRPr="001377BB" w:rsidRDefault="009A1178" w:rsidP="00F76BBB">
            <w:pPr>
              <w:spacing w:before="120" w:after="120"/>
              <w:rPr>
                <w:rFonts w:ascii="Calibri" w:hAnsi="Calibri" w:cs="Calibri"/>
                <w:sz w:val="20"/>
                <w:szCs w:val="20"/>
                <w:lang w:val="en-US"/>
              </w:rPr>
            </w:pPr>
          </w:p>
        </w:tc>
      </w:tr>
      <w:tr w:rsidR="009A1178" w:rsidRPr="0068379B" w14:paraId="6D00B2FE" w14:textId="77777777" w:rsidTr="00F76BBB">
        <w:tc>
          <w:tcPr>
            <w:tcW w:w="8500" w:type="dxa"/>
          </w:tcPr>
          <w:p w14:paraId="619A998C" w14:textId="4B19B54B" w:rsidR="009A1178" w:rsidRPr="00DD4473" w:rsidRDefault="009A1178" w:rsidP="00F76BBB">
            <w:pPr>
              <w:spacing w:before="120" w:after="120"/>
              <w:rPr>
                <w:rFonts w:ascii="Calibri" w:hAnsi="Calibri" w:cs="Calibri"/>
                <w:sz w:val="20"/>
                <w:szCs w:val="20"/>
                <w:lang w:val="en-US"/>
              </w:rPr>
            </w:pPr>
            <w:r w:rsidRPr="00DD4473">
              <w:rPr>
                <w:rFonts w:ascii="Calibri" w:hAnsi="Calibri" w:cs="Calibri"/>
                <w:sz w:val="20"/>
                <w:szCs w:val="20"/>
                <w:lang w:val="en-US"/>
              </w:rPr>
              <w:t>Table S.1</w:t>
            </w:r>
            <w:r w:rsidR="00EF0D51">
              <w:rPr>
                <w:rFonts w:ascii="Calibri" w:hAnsi="Calibri" w:cs="Calibri"/>
                <w:sz w:val="20"/>
                <w:szCs w:val="20"/>
                <w:lang w:val="en-US"/>
              </w:rPr>
              <w:t xml:space="preserve">: </w:t>
            </w:r>
            <w:r w:rsidR="00EF0D51" w:rsidRPr="00C355BD">
              <w:rPr>
                <w:rFonts w:ascii="Calibri" w:eastAsia="Calibri" w:hAnsi="Calibri" w:cs="Calibri"/>
                <w:color w:val="000000" w:themeColor="text1"/>
              </w:rPr>
              <w:t xml:space="preserve">Treatment-Related Adverse Events </w:t>
            </w:r>
            <w:r w:rsidR="00EF0D51">
              <w:rPr>
                <w:rFonts w:ascii="Calibri" w:eastAsia="Calibri" w:hAnsi="Calibri" w:cs="Calibri"/>
                <w:color w:val="000000" w:themeColor="text1"/>
              </w:rPr>
              <w:t>(any grade), per MedDRA preferred term</w:t>
            </w:r>
          </w:p>
        </w:tc>
        <w:tc>
          <w:tcPr>
            <w:tcW w:w="993" w:type="dxa"/>
          </w:tcPr>
          <w:p w14:paraId="03018966" w14:textId="6B1ECADA" w:rsidR="009A1178" w:rsidRPr="001377BB" w:rsidRDefault="009A1178" w:rsidP="00F76BBB">
            <w:pPr>
              <w:spacing w:before="120" w:after="120"/>
              <w:rPr>
                <w:rFonts w:ascii="Calibri" w:hAnsi="Calibri" w:cs="Calibri"/>
                <w:sz w:val="20"/>
                <w:szCs w:val="20"/>
                <w:lang w:val="en-US"/>
              </w:rPr>
            </w:pPr>
            <w:r w:rsidRPr="001377BB">
              <w:rPr>
                <w:rFonts w:ascii="Calibri" w:hAnsi="Calibri" w:cs="Calibri"/>
                <w:sz w:val="20"/>
                <w:szCs w:val="20"/>
                <w:lang w:val="en-US"/>
              </w:rPr>
              <w:t xml:space="preserve">Page </w:t>
            </w:r>
            <w:r w:rsidR="00C355BD">
              <w:rPr>
                <w:rFonts w:ascii="Calibri" w:hAnsi="Calibri" w:cs="Calibri"/>
                <w:sz w:val="20"/>
                <w:szCs w:val="20"/>
                <w:lang w:val="en-US"/>
              </w:rPr>
              <w:t>3</w:t>
            </w:r>
          </w:p>
        </w:tc>
      </w:tr>
      <w:tr w:rsidR="000937B9" w:rsidRPr="0068379B" w14:paraId="495D443A" w14:textId="77777777" w:rsidTr="00F76BBB">
        <w:tc>
          <w:tcPr>
            <w:tcW w:w="8500" w:type="dxa"/>
          </w:tcPr>
          <w:p w14:paraId="5F494893" w14:textId="56B0B2D8" w:rsidR="000937B9" w:rsidRPr="00C355BD" w:rsidRDefault="000937B9" w:rsidP="00F76BBB">
            <w:pPr>
              <w:spacing w:before="120" w:after="120"/>
              <w:rPr>
                <w:color w:val="000000" w:themeColor="text1"/>
                <w:sz w:val="20"/>
                <w:szCs w:val="20"/>
              </w:rPr>
            </w:pPr>
            <w:r>
              <w:rPr>
                <w:color w:val="000000" w:themeColor="text1"/>
                <w:sz w:val="20"/>
                <w:szCs w:val="20"/>
              </w:rPr>
              <w:t>Table S.</w:t>
            </w:r>
            <w:r w:rsidR="00BD3B61">
              <w:rPr>
                <w:color w:val="000000" w:themeColor="text1"/>
                <w:sz w:val="20"/>
                <w:szCs w:val="20"/>
              </w:rPr>
              <w:t>2</w:t>
            </w:r>
            <w:r w:rsidR="00EF0D51" w:rsidRPr="00C355BD">
              <w:rPr>
                <w:rFonts w:ascii="Calibri" w:hAnsi="Calibri" w:cs="Calibri"/>
                <w:color w:val="000000" w:themeColor="text1"/>
                <w:lang w:val="en-US"/>
              </w:rPr>
              <w:t xml:space="preserve">: </w:t>
            </w:r>
            <w:r w:rsidR="00EF0D51" w:rsidRPr="00040478">
              <w:rPr>
                <w:color w:val="000000" w:themeColor="text1"/>
              </w:rPr>
              <w:t>Reasons for Treatment Discontinuation</w:t>
            </w:r>
            <w:r w:rsidR="00EF0D51" w:rsidRPr="00C355BD">
              <w:rPr>
                <w:rFonts w:ascii="Calibri" w:eastAsia="Calibri" w:hAnsi="Calibri" w:cs="Calibri"/>
                <w:color w:val="000000" w:themeColor="text1"/>
              </w:rPr>
              <w:t xml:space="preserve"> </w:t>
            </w:r>
          </w:p>
        </w:tc>
        <w:tc>
          <w:tcPr>
            <w:tcW w:w="993" w:type="dxa"/>
          </w:tcPr>
          <w:p w14:paraId="19721A07" w14:textId="47DD197D" w:rsidR="000937B9" w:rsidRPr="00C355BD" w:rsidRDefault="000937B9" w:rsidP="00F76BBB">
            <w:pPr>
              <w:spacing w:before="120" w:after="120"/>
              <w:rPr>
                <w:rFonts w:ascii="Calibri" w:hAnsi="Calibri" w:cs="Calibri"/>
                <w:color w:val="000000" w:themeColor="text1"/>
                <w:sz w:val="20"/>
                <w:szCs w:val="20"/>
                <w:lang w:val="en-US"/>
              </w:rPr>
            </w:pPr>
            <w:r>
              <w:rPr>
                <w:rFonts w:ascii="Calibri" w:hAnsi="Calibri" w:cs="Calibri"/>
                <w:color w:val="000000" w:themeColor="text1"/>
                <w:sz w:val="20"/>
                <w:szCs w:val="20"/>
                <w:lang w:val="en-US"/>
              </w:rPr>
              <w:t xml:space="preserve">Page </w:t>
            </w:r>
            <w:r w:rsidR="00040478">
              <w:rPr>
                <w:rFonts w:ascii="Calibri" w:hAnsi="Calibri" w:cs="Calibri"/>
                <w:color w:val="000000" w:themeColor="text1"/>
                <w:sz w:val="20"/>
                <w:szCs w:val="20"/>
                <w:lang w:val="en-US"/>
              </w:rPr>
              <w:t>4</w:t>
            </w:r>
          </w:p>
        </w:tc>
      </w:tr>
      <w:tr w:rsidR="00C15E2E" w:rsidRPr="0068379B" w14:paraId="201324B8" w14:textId="77777777" w:rsidTr="00F76BBB">
        <w:tc>
          <w:tcPr>
            <w:tcW w:w="8500" w:type="dxa"/>
          </w:tcPr>
          <w:p w14:paraId="233AAC00" w14:textId="77777777" w:rsidR="00C15E2E" w:rsidRDefault="00C15E2E" w:rsidP="00F76BBB">
            <w:pPr>
              <w:spacing w:before="120" w:after="120"/>
              <w:rPr>
                <w:color w:val="000000" w:themeColor="text1"/>
                <w:sz w:val="20"/>
                <w:szCs w:val="20"/>
              </w:rPr>
            </w:pPr>
          </w:p>
        </w:tc>
        <w:tc>
          <w:tcPr>
            <w:tcW w:w="993" w:type="dxa"/>
          </w:tcPr>
          <w:p w14:paraId="1CE53446" w14:textId="77777777" w:rsidR="00C15E2E" w:rsidRDefault="00C15E2E" w:rsidP="00F76BBB">
            <w:pPr>
              <w:spacing w:before="120" w:after="120"/>
              <w:rPr>
                <w:rFonts w:ascii="Calibri" w:hAnsi="Calibri" w:cs="Calibri"/>
                <w:color w:val="000000" w:themeColor="text1"/>
                <w:sz w:val="20"/>
                <w:szCs w:val="20"/>
                <w:lang w:val="en-US"/>
              </w:rPr>
            </w:pPr>
          </w:p>
        </w:tc>
      </w:tr>
      <w:tr w:rsidR="003C3EDE" w:rsidRPr="0068379B" w14:paraId="21A7AD48" w14:textId="77777777" w:rsidTr="00EC638C">
        <w:tc>
          <w:tcPr>
            <w:tcW w:w="8500" w:type="dxa"/>
            <w:tcBorders>
              <w:top w:val="single" w:sz="6" w:space="0" w:color="auto"/>
              <w:left w:val="single" w:sz="6" w:space="0" w:color="auto"/>
              <w:bottom w:val="single" w:sz="6" w:space="0" w:color="auto"/>
              <w:right w:val="single" w:sz="6" w:space="0" w:color="auto"/>
            </w:tcBorders>
          </w:tcPr>
          <w:p w14:paraId="7610FFD4" w14:textId="3D463B10" w:rsidR="003C3EDE" w:rsidRPr="006F49A7" w:rsidRDefault="003C3EDE" w:rsidP="003C3EDE">
            <w:pPr>
              <w:spacing w:before="120" w:after="120"/>
              <w:rPr>
                <w:color w:val="000000" w:themeColor="text1"/>
                <w:sz w:val="20"/>
                <w:szCs w:val="20"/>
              </w:rPr>
            </w:pPr>
            <w:r w:rsidRPr="006F49A7">
              <w:rPr>
                <w:rStyle w:val="normaltextrun"/>
                <w:rFonts w:ascii="Calibri" w:hAnsi="Calibri" w:cs="Calibri"/>
                <w:color w:val="000000"/>
                <w:sz w:val="20"/>
                <w:szCs w:val="20"/>
              </w:rPr>
              <w:t>Safety - Patient narrative 3-02-003: 70 years old male, nsq NSCLC (grade 5 TRAE)</w:t>
            </w:r>
          </w:p>
        </w:tc>
        <w:tc>
          <w:tcPr>
            <w:tcW w:w="993" w:type="dxa"/>
          </w:tcPr>
          <w:p w14:paraId="053371F6" w14:textId="723FE780" w:rsidR="003C3EDE" w:rsidRDefault="003C3EDE" w:rsidP="003C3EDE">
            <w:pPr>
              <w:spacing w:before="120" w:after="120"/>
              <w:rPr>
                <w:rFonts w:ascii="Calibri" w:hAnsi="Calibri" w:cs="Calibri"/>
                <w:color w:val="000000" w:themeColor="text1"/>
                <w:sz w:val="20"/>
                <w:szCs w:val="20"/>
                <w:lang w:val="en-US"/>
              </w:rPr>
            </w:pPr>
            <w:r>
              <w:rPr>
                <w:rFonts w:ascii="Calibri" w:hAnsi="Calibri" w:cs="Calibri"/>
                <w:color w:val="000000" w:themeColor="text1"/>
                <w:sz w:val="20"/>
                <w:szCs w:val="20"/>
                <w:lang w:val="en-US"/>
              </w:rPr>
              <w:t>Page</w:t>
            </w:r>
            <w:r w:rsidR="00040478">
              <w:rPr>
                <w:rFonts w:ascii="Calibri" w:hAnsi="Calibri" w:cs="Calibri"/>
                <w:color w:val="000000" w:themeColor="text1"/>
                <w:sz w:val="20"/>
                <w:szCs w:val="20"/>
                <w:lang w:val="en-US"/>
              </w:rPr>
              <w:t xml:space="preserve"> 5</w:t>
            </w:r>
          </w:p>
        </w:tc>
      </w:tr>
      <w:tr w:rsidR="003C3EDE" w:rsidRPr="0068379B" w14:paraId="6069287A" w14:textId="77777777" w:rsidTr="00EC638C">
        <w:tc>
          <w:tcPr>
            <w:tcW w:w="8500" w:type="dxa"/>
            <w:tcBorders>
              <w:top w:val="single" w:sz="6" w:space="0" w:color="auto"/>
              <w:left w:val="single" w:sz="6" w:space="0" w:color="auto"/>
              <w:bottom w:val="single" w:sz="6" w:space="0" w:color="auto"/>
              <w:right w:val="single" w:sz="6" w:space="0" w:color="auto"/>
            </w:tcBorders>
          </w:tcPr>
          <w:p w14:paraId="35C4A9B4" w14:textId="3D591130" w:rsidR="003C3EDE" w:rsidRPr="006F49A7" w:rsidRDefault="003C3EDE" w:rsidP="003C3EDE">
            <w:pPr>
              <w:spacing w:before="120" w:after="120"/>
              <w:rPr>
                <w:color w:val="000000" w:themeColor="text1"/>
                <w:sz w:val="20"/>
                <w:szCs w:val="20"/>
              </w:rPr>
            </w:pPr>
            <w:r w:rsidRPr="006F49A7">
              <w:rPr>
                <w:rStyle w:val="normaltextrun"/>
                <w:rFonts w:ascii="Calibri" w:hAnsi="Calibri" w:cs="Calibri"/>
                <w:color w:val="000000"/>
                <w:sz w:val="20"/>
                <w:szCs w:val="20"/>
              </w:rPr>
              <w:t xml:space="preserve">Safety - Patient narrative </w:t>
            </w:r>
            <w:r w:rsidR="00065DE8" w:rsidRPr="006F49A7">
              <w:rPr>
                <w:rStyle w:val="normaltextrun"/>
                <w:rFonts w:ascii="Calibri" w:hAnsi="Calibri" w:cs="Calibri"/>
                <w:color w:val="000000"/>
                <w:sz w:val="20"/>
                <w:szCs w:val="20"/>
              </w:rPr>
              <w:t xml:space="preserve">2-01-006: </w:t>
            </w:r>
            <w:r w:rsidR="006F49A7" w:rsidRPr="006F49A7">
              <w:rPr>
                <w:rStyle w:val="normaltextrun"/>
                <w:rFonts w:ascii="Calibri" w:hAnsi="Calibri" w:cs="Calibri"/>
                <w:color w:val="000000"/>
                <w:sz w:val="20"/>
                <w:szCs w:val="20"/>
              </w:rPr>
              <w:t>5</w:t>
            </w:r>
            <w:r w:rsidR="006F49A7" w:rsidRPr="006F49A7">
              <w:rPr>
                <w:rStyle w:val="normaltextrun"/>
                <w:color w:val="000000"/>
                <w:sz w:val="20"/>
                <w:szCs w:val="20"/>
              </w:rPr>
              <w:t xml:space="preserve">6 years old male, </w:t>
            </w:r>
            <w:r w:rsidR="00065DE8" w:rsidRPr="006F49A7">
              <w:rPr>
                <w:rStyle w:val="normaltextrun"/>
                <w:rFonts w:ascii="Calibri" w:hAnsi="Calibri" w:cs="Calibri"/>
                <w:color w:val="000000"/>
                <w:sz w:val="20"/>
                <w:szCs w:val="20"/>
              </w:rPr>
              <w:t>nsq NSCLC (grade 5 TRAE)</w:t>
            </w:r>
          </w:p>
        </w:tc>
        <w:tc>
          <w:tcPr>
            <w:tcW w:w="993" w:type="dxa"/>
          </w:tcPr>
          <w:p w14:paraId="54AF33F5" w14:textId="4D556039" w:rsidR="003C3EDE" w:rsidRDefault="003C3EDE" w:rsidP="003C3EDE">
            <w:pPr>
              <w:spacing w:before="120" w:after="120"/>
              <w:rPr>
                <w:rFonts w:ascii="Calibri" w:hAnsi="Calibri" w:cs="Calibri"/>
                <w:color w:val="000000" w:themeColor="text1"/>
                <w:sz w:val="20"/>
                <w:szCs w:val="20"/>
                <w:lang w:val="en-US"/>
              </w:rPr>
            </w:pPr>
            <w:r>
              <w:rPr>
                <w:rFonts w:ascii="Calibri" w:hAnsi="Calibri" w:cs="Calibri"/>
                <w:color w:val="000000" w:themeColor="text1"/>
                <w:sz w:val="20"/>
                <w:szCs w:val="20"/>
                <w:lang w:val="en-US"/>
              </w:rPr>
              <w:t>Page</w:t>
            </w:r>
            <w:r w:rsidR="00040478">
              <w:rPr>
                <w:rFonts w:ascii="Calibri" w:hAnsi="Calibri" w:cs="Calibri"/>
                <w:color w:val="000000" w:themeColor="text1"/>
                <w:sz w:val="20"/>
                <w:szCs w:val="20"/>
                <w:lang w:val="en-US"/>
              </w:rPr>
              <w:t xml:space="preserve"> </w:t>
            </w:r>
            <w:r w:rsidR="00065DE8">
              <w:rPr>
                <w:rFonts w:ascii="Calibri" w:hAnsi="Calibri" w:cs="Calibri"/>
                <w:color w:val="000000" w:themeColor="text1"/>
                <w:sz w:val="20"/>
                <w:szCs w:val="20"/>
                <w:lang w:val="en-US"/>
              </w:rPr>
              <w:t>7</w:t>
            </w:r>
          </w:p>
        </w:tc>
      </w:tr>
      <w:tr w:rsidR="003C3EDE" w:rsidRPr="0068379B" w14:paraId="5C59D50B" w14:textId="77777777" w:rsidTr="00EC638C">
        <w:tc>
          <w:tcPr>
            <w:tcW w:w="8500" w:type="dxa"/>
            <w:tcBorders>
              <w:top w:val="single" w:sz="6" w:space="0" w:color="auto"/>
              <w:left w:val="single" w:sz="6" w:space="0" w:color="auto"/>
              <w:bottom w:val="single" w:sz="6" w:space="0" w:color="auto"/>
              <w:right w:val="single" w:sz="6" w:space="0" w:color="auto"/>
            </w:tcBorders>
          </w:tcPr>
          <w:p w14:paraId="31FFFEEB" w14:textId="05E31495" w:rsidR="003C3EDE" w:rsidRPr="006F49A7" w:rsidRDefault="003C3EDE" w:rsidP="003C3EDE">
            <w:pPr>
              <w:spacing w:before="120" w:after="120"/>
              <w:rPr>
                <w:color w:val="000000" w:themeColor="text1"/>
                <w:sz w:val="20"/>
                <w:szCs w:val="20"/>
              </w:rPr>
            </w:pPr>
            <w:r w:rsidRPr="006F49A7">
              <w:rPr>
                <w:rStyle w:val="normaltextrun"/>
                <w:rFonts w:ascii="Calibri" w:hAnsi="Calibri" w:cs="Calibri"/>
                <w:color w:val="000000"/>
                <w:sz w:val="20"/>
                <w:szCs w:val="20"/>
              </w:rPr>
              <w:t xml:space="preserve">Efficacy - Patient narrative </w:t>
            </w:r>
            <w:r w:rsidR="00065DE8" w:rsidRPr="006F49A7">
              <w:rPr>
                <w:rStyle w:val="normaltextrun"/>
                <w:rFonts w:ascii="Calibri" w:hAnsi="Calibri" w:cs="Calibri"/>
                <w:sz w:val="20"/>
                <w:szCs w:val="20"/>
                <w:lang w:val="en-US"/>
              </w:rPr>
              <w:t xml:space="preserve">1-01-021: </w:t>
            </w:r>
            <w:r w:rsidR="00891D96" w:rsidRPr="006F49A7">
              <w:rPr>
                <w:rStyle w:val="normaltextrun"/>
                <w:rFonts w:ascii="Calibri" w:hAnsi="Calibri" w:cs="Calibri"/>
                <w:sz w:val="20"/>
                <w:szCs w:val="20"/>
                <w:lang w:val="en-US"/>
              </w:rPr>
              <w:t>6</w:t>
            </w:r>
            <w:r w:rsidR="00891D96" w:rsidRPr="006F49A7">
              <w:rPr>
                <w:rStyle w:val="normaltextrun"/>
                <w:sz w:val="20"/>
                <w:szCs w:val="20"/>
                <w:lang w:val="en-US"/>
              </w:rPr>
              <w:t>0 years old male</w:t>
            </w:r>
            <w:r w:rsidR="006F49A7" w:rsidRPr="006F49A7">
              <w:rPr>
                <w:rStyle w:val="normaltextrun"/>
                <w:sz w:val="20"/>
                <w:szCs w:val="20"/>
                <w:lang w:val="en-US"/>
              </w:rPr>
              <w:t xml:space="preserve">, </w:t>
            </w:r>
            <w:r w:rsidR="00065DE8" w:rsidRPr="006F49A7">
              <w:rPr>
                <w:rStyle w:val="normaltextrun"/>
                <w:rFonts w:ascii="Calibri" w:hAnsi="Calibri" w:cs="Calibri"/>
                <w:sz w:val="20"/>
                <w:szCs w:val="20"/>
                <w:lang w:val="en-US"/>
              </w:rPr>
              <w:t>n</w:t>
            </w:r>
            <w:r w:rsidR="00065DE8" w:rsidRPr="006F49A7">
              <w:rPr>
                <w:rStyle w:val="normaltextrun"/>
                <w:rFonts w:ascii="Calibri" w:hAnsi="Calibri" w:cs="Calibri"/>
                <w:sz w:val="20"/>
                <w:szCs w:val="20"/>
              </w:rPr>
              <w:t xml:space="preserve">sq </w:t>
            </w:r>
            <w:r w:rsidR="00065DE8" w:rsidRPr="006F49A7">
              <w:rPr>
                <w:rStyle w:val="normaltextrun"/>
                <w:rFonts w:ascii="Calibri" w:hAnsi="Calibri" w:cs="Calibri"/>
                <w:sz w:val="20"/>
                <w:szCs w:val="20"/>
                <w:lang w:val="en-US"/>
              </w:rPr>
              <w:t>NSCLC (</w:t>
            </w:r>
            <w:r w:rsidR="00891D96" w:rsidRPr="006F49A7">
              <w:rPr>
                <w:rStyle w:val="normaltextrun"/>
                <w:rFonts w:ascii="Calibri" w:hAnsi="Calibri" w:cs="Calibri"/>
                <w:sz w:val="20"/>
                <w:szCs w:val="20"/>
                <w:lang w:val="en-US"/>
              </w:rPr>
              <w:t>r</w:t>
            </w:r>
            <w:r w:rsidR="00891D96" w:rsidRPr="006F49A7">
              <w:rPr>
                <w:rStyle w:val="normaltextrun"/>
                <w:sz w:val="20"/>
                <w:szCs w:val="20"/>
                <w:lang w:val="en-US"/>
              </w:rPr>
              <w:t xml:space="preserve">esponder; </w:t>
            </w:r>
            <w:r w:rsidR="00065DE8" w:rsidRPr="006F49A7">
              <w:rPr>
                <w:rStyle w:val="normaltextrun"/>
                <w:rFonts w:ascii="Calibri" w:hAnsi="Calibri" w:cs="Calibri"/>
                <w:sz w:val="20"/>
                <w:szCs w:val="20"/>
                <w:lang w:val="en-US"/>
              </w:rPr>
              <w:t>PR + CMR)</w:t>
            </w:r>
            <w:r w:rsidRPr="006F49A7">
              <w:rPr>
                <w:rStyle w:val="normaltextrun"/>
                <w:rFonts w:ascii="Calibri" w:hAnsi="Calibri" w:cs="Calibri"/>
                <w:color w:val="000000"/>
                <w:sz w:val="20"/>
                <w:szCs w:val="20"/>
              </w:rPr>
              <w:t xml:space="preserve"> </w:t>
            </w:r>
          </w:p>
        </w:tc>
        <w:tc>
          <w:tcPr>
            <w:tcW w:w="993" w:type="dxa"/>
          </w:tcPr>
          <w:p w14:paraId="44E33AF6" w14:textId="00ACE942" w:rsidR="003C3EDE" w:rsidRDefault="003C3EDE" w:rsidP="003C3EDE">
            <w:pPr>
              <w:spacing w:before="120" w:after="120"/>
              <w:rPr>
                <w:rFonts w:ascii="Calibri" w:hAnsi="Calibri" w:cs="Calibri"/>
                <w:color w:val="000000" w:themeColor="text1"/>
                <w:sz w:val="20"/>
                <w:szCs w:val="20"/>
                <w:lang w:val="en-US"/>
              </w:rPr>
            </w:pPr>
            <w:r>
              <w:rPr>
                <w:rFonts w:ascii="Calibri" w:hAnsi="Calibri" w:cs="Calibri"/>
                <w:color w:val="000000" w:themeColor="text1"/>
                <w:sz w:val="20"/>
                <w:szCs w:val="20"/>
                <w:lang w:val="en-US"/>
              </w:rPr>
              <w:t>Page</w:t>
            </w:r>
            <w:r w:rsidR="00065DE8">
              <w:rPr>
                <w:rFonts w:ascii="Calibri" w:hAnsi="Calibri" w:cs="Calibri"/>
                <w:color w:val="000000" w:themeColor="text1"/>
                <w:sz w:val="20"/>
                <w:szCs w:val="20"/>
                <w:lang w:val="en-US"/>
              </w:rPr>
              <w:t xml:space="preserve"> 8</w:t>
            </w:r>
          </w:p>
        </w:tc>
      </w:tr>
      <w:tr w:rsidR="003C3EDE" w:rsidRPr="0068379B" w14:paraId="49DDB3BE" w14:textId="77777777" w:rsidTr="00EC638C">
        <w:tc>
          <w:tcPr>
            <w:tcW w:w="8500" w:type="dxa"/>
            <w:tcBorders>
              <w:top w:val="single" w:sz="6" w:space="0" w:color="auto"/>
              <w:left w:val="single" w:sz="6" w:space="0" w:color="auto"/>
              <w:bottom w:val="single" w:sz="6" w:space="0" w:color="auto"/>
              <w:right w:val="single" w:sz="6" w:space="0" w:color="auto"/>
            </w:tcBorders>
          </w:tcPr>
          <w:p w14:paraId="740AD44A" w14:textId="48A6888E" w:rsidR="003C3EDE" w:rsidRPr="006F49A7" w:rsidRDefault="003C3EDE" w:rsidP="003C3EDE">
            <w:pPr>
              <w:spacing w:before="120" w:after="120"/>
              <w:rPr>
                <w:color w:val="000000" w:themeColor="text1"/>
                <w:sz w:val="20"/>
                <w:szCs w:val="20"/>
              </w:rPr>
            </w:pPr>
            <w:r w:rsidRPr="006F49A7">
              <w:rPr>
                <w:rStyle w:val="normaltextrun"/>
                <w:rFonts w:ascii="Calibri" w:hAnsi="Calibri" w:cs="Calibri"/>
                <w:color w:val="000000"/>
                <w:sz w:val="20"/>
                <w:szCs w:val="20"/>
              </w:rPr>
              <w:t xml:space="preserve">Efficacy - Patient narrative </w:t>
            </w:r>
            <w:r w:rsidR="00065DE8" w:rsidRPr="006F49A7">
              <w:rPr>
                <w:rStyle w:val="normaltextrun"/>
                <w:rFonts w:ascii="Calibri" w:hAnsi="Calibri" w:cs="Calibri"/>
                <w:color w:val="000000"/>
                <w:sz w:val="20"/>
                <w:szCs w:val="20"/>
              </w:rPr>
              <w:t>1</w:t>
            </w:r>
            <w:r w:rsidR="00065DE8" w:rsidRPr="006F49A7">
              <w:rPr>
                <w:rStyle w:val="normaltextrun"/>
                <w:sz w:val="20"/>
                <w:szCs w:val="20"/>
              </w:rPr>
              <w:t>-06-005: 70 years old female</w:t>
            </w:r>
            <w:r w:rsidR="006F49A7" w:rsidRPr="006F49A7">
              <w:rPr>
                <w:rStyle w:val="normaltextrun"/>
                <w:sz w:val="20"/>
                <w:szCs w:val="20"/>
              </w:rPr>
              <w:t xml:space="preserve">, </w:t>
            </w:r>
            <w:r w:rsidR="00891D96" w:rsidRPr="006F49A7">
              <w:rPr>
                <w:rStyle w:val="normaltextrun"/>
                <w:sz w:val="20"/>
                <w:szCs w:val="20"/>
              </w:rPr>
              <w:t xml:space="preserve">Urothelial Carcinoma </w:t>
            </w:r>
            <w:r w:rsidR="00065DE8" w:rsidRPr="006F49A7">
              <w:rPr>
                <w:rStyle w:val="normaltextrun"/>
                <w:sz w:val="20"/>
                <w:szCs w:val="20"/>
              </w:rPr>
              <w:t>(</w:t>
            </w:r>
            <w:r w:rsidR="00891D96" w:rsidRPr="006F49A7">
              <w:rPr>
                <w:rStyle w:val="normaltextrun"/>
                <w:sz w:val="20"/>
                <w:szCs w:val="20"/>
              </w:rPr>
              <w:t xml:space="preserve">responder, </w:t>
            </w:r>
            <w:r w:rsidR="00065DE8" w:rsidRPr="006F49A7">
              <w:rPr>
                <w:rStyle w:val="normaltextrun"/>
                <w:sz w:val="20"/>
                <w:szCs w:val="20"/>
              </w:rPr>
              <w:t>CR)</w:t>
            </w:r>
            <w:r w:rsidRPr="006F49A7">
              <w:rPr>
                <w:rStyle w:val="normaltextrun"/>
                <w:rFonts w:ascii="Calibri" w:hAnsi="Calibri" w:cs="Calibri"/>
                <w:color w:val="000000"/>
                <w:sz w:val="20"/>
                <w:szCs w:val="20"/>
              </w:rPr>
              <w:t xml:space="preserve"> </w:t>
            </w:r>
          </w:p>
        </w:tc>
        <w:tc>
          <w:tcPr>
            <w:tcW w:w="993" w:type="dxa"/>
          </w:tcPr>
          <w:p w14:paraId="5E7F0488" w14:textId="036112EA" w:rsidR="003C3EDE" w:rsidRDefault="003C3EDE" w:rsidP="003C3EDE">
            <w:pPr>
              <w:spacing w:before="120" w:after="120"/>
              <w:rPr>
                <w:rFonts w:ascii="Calibri" w:hAnsi="Calibri" w:cs="Calibri"/>
                <w:color w:val="000000" w:themeColor="text1"/>
                <w:sz w:val="20"/>
                <w:szCs w:val="20"/>
                <w:lang w:val="en-US"/>
              </w:rPr>
            </w:pPr>
            <w:r>
              <w:rPr>
                <w:rFonts w:ascii="Calibri" w:hAnsi="Calibri" w:cs="Calibri"/>
                <w:color w:val="000000" w:themeColor="text1"/>
                <w:sz w:val="20"/>
                <w:szCs w:val="20"/>
                <w:lang w:val="en-US"/>
              </w:rPr>
              <w:t>Page</w:t>
            </w:r>
            <w:r w:rsidR="00065DE8">
              <w:rPr>
                <w:rFonts w:ascii="Calibri" w:hAnsi="Calibri" w:cs="Calibri"/>
                <w:color w:val="000000" w:themeColor="text1"/>
                <w:sz w:val="20"/>
                <w:szCs w:val="20"/>
                <w:lang w:val="en-US"/>
              </w:rPr>
              <w:t xml:space="preserve"> 10</w:t>
            </w:r>
          </w:p>
        </w:tc>
      </w:tr>
      <w:tr w:rsidR="003C3EDE" w:rsidRPr="0068379B" w14:paraId="376381B6" w14:textId="77777777" w:rsidTr="00EC638C">
        <w:tc>
          <w:tcPr>
            <w:tcW w:w="8500" w:type="dxa"/>
            <w:tcBorders>
              <w:top w:val="single" w:sz="6" w:space="0" w:color="auto"/>
              <w:left w:val="single" w:sz="6" w:space="0" w:color="auto"/>
              <w:bottom w:val="single" w:sz="6" w:space="0" w:color="auto"/>
              <w:right w:val="single" w:sz="6" w:space="0" w:color="auto"/>
            </w:tcBorders>
          </w:tcPr>
          <w:p w14:paraId="79843A9E" w14:textId="521890CE" w:rsidR="003C3EDE" w:rsidRPr="006F49A7" w:rsidRDefault="003C3EDE" w:rsidP="003C3EDE">
            <w:pPr>
              <w:spacing w:before="120" w:after="120"/>
              <w:rPr>
                <w:rFonts w:ascii="Calibri" w:hAnsi="Calibri" w:cs="Calibri"/>
                <w:color w:val="808080" w:themeColor="background1" w:themeShade="80"/>
                <w:sz w:val="20"/>
                <w:szCs w:val="20"/>
                <w:lang w:val="en-US"/>
              </w:rPr>
            </w:pPr>
            <w:r w:rsidRPr="006F49A7">
              <w:rPr>
                <w:rStyle w:val="normaltextrun"/>
                <w:rFonts w:ascii="Calibri" w:hAnsi="Calibri" w:cs="Calibri"/>
                <w:color w:val="000000"/>
                <w:sz w:val="20"/>
                <w:szCs w:val="20"/>
                <w:lang w:val="en-US"/>
              </w:rPr>
              <w:t xml:space="preserve">Efficacy - Patient narrative </w:t>
            </w:r>
            <w:r w:rsidR="00065DE8" w:rsidRPr="006F49A7">
              <w:rPr>
                <w:rStyle w:val="normaltextrun"/>
                <w:rFonts w:ascii="Calibri" w:hAnsi="Calibri" w:cs="Calibri"/>
                <w:color w:val="000000"/>
                <w:sz w:val="20"/>
                <w:szCs w:val="20"/>
                <w:lang w:val="en-US"/>
              </w:rPr>
              <w:t>2</w:t>
            </w:r>
            <w:r w:rsidR="00065DE8" w:rsidRPr="006F49A7">
              <w:rPr>
                <w:rStyle w:val="normaltextrun"/>
                <w:sz w:val="20"/>
                <w:szCs w:val="20"/>
                <w:lang w:val="en-US"/>
              </w:rPr>
              <w:t>-03-001: 68 years old female</w:t>
            </w:r>
            <w:r w:rsidR="006F49A7" w:rsidRPr="006F49A7">
              <w:rPr>
                <w:rStyle w:val="normaltextrun"/>
                <w:sz w:val="20"/>
                <w:szCs w:val="20"/>
                <w:lang w:val="en-US"/>
              </w:rPr>
              <w:t xml:space="preserve">, </w:t>
            </w:r>
            <w:r w:rsidR="00065DE8" w:rsidRPr="006F49A7">
              <w:rPr>
                <w:rStyle w:val="normaltextrun"/>
                <w:sz w:val="20"/>
                <w:szCs w:val="20"/>
                <w:lang w:val="en-US"/>
              </w:rPr>
              <w:t>HCC (</w:t>
            </w:r>
            <w:r w:rsidR="00891D96" w:rsidRPr="006F49A7">
              <w:rPr>
                <w:rStyle w:val="normaltextrun"/>
                <w:sz w:val="20"/>
                <w:szCs w:val="20"/>
                <w:lang w:val="en-US"/>
              </w:rPr>
              <w:t xml:space="preserve">responder, </w:t>
            </w:r>
            <w:r w:rsidR="00065DE8" w:rsidRPr="006F49A7">
              <w:rPr>
                <w:rStyle w:val="normaltextrun"/>
                <w:sz w:val="20"/>
                <w:szCs w:val="20"/>
                <w:lang w:val="en-US"/>
              </w:rPr>
              <w:t xml:space="preserve">CR) </w:t>
            </w:r>
          </w:p>
        </w:tc>
        <w:tc>
          <w:tcPr>
            <w:tcW w:w="993" w:type="dxa"/>
          </w:tcPr>
          <w:p w14:paraId="60C9C3A5" w14:textId="25F2EA41" w:rsidR="003C3EDE" w:rsidRPr="001377BB" w:rsidRDefault="003C3EDE" w:rsidP="003C3EDE">
            <w:pPr>
              <w:spacing w:before="120" w:after="120"/>
              <w:rPr>
                <w:rFonts w:ascii="Calibri" w:hAnsi="Calibri" w:cs="Calibri"/>
                <w:sz w:val="20"/>
                <w:szCs w:val="20"/>
                <w:lang w:val="en-US"/>
              </w:rPr>
            </w:pPr>
            <w:r>
              <w:rPr>
                <w:rFonts w:ascii="Calibri" w:hAnsi="Calibri" w:cs="Calibri"/>
                <w:sz w:val="20"/>
                <w:szCs w:val="20"/>
                <w:lang w:val="en-US"/>
              </w:rPr>
              <w:t>Page</w:t>
            </w:r>
            <w:r w:rsidR="00065DE8">
              <w:rPr>
                <w:rFonts w:ascii="Calibri" w:hAnsi="Calibri" w:cs="Calibri"/>
                <w:sz w:val="20"/>
                <w:szCs w:val="20"/>
                <w:lang w:val="en-US"/>
              </w:rPr>
              <w:t xml:space="preserve"> 12</w:t>
            </w:r>
          </w:p>
        </w:tc>
      </w:tr>
      <w:tr w:rsidR="009A1178" w:rsidRPr="0068379B" w14:paraId="566881A5" w14:textId="77777777" w:rsidTr="00F76BBB">
        <w:tc>
          <w:tcPr>
            <w:tcW w:w="8500" w:type="dxa"/>
          </w:tcPr>
          <w:p w14:paraId="40BF83F6" w14:textId="6A9A6FA0" w:rsidR="009A1178" w:rsidRPr="001377BB" w:rsidRDefault="009A1178" w:rsidP="00F76BBB">
            <w:pPr>
              <w:spacing w:before="120" w:after="120"/>
              <w:rPr>
                <w:rFonts w:ascii="Calibri" w:hAnsi="Calibri" w:cs="Calibri"/>
                <w:color w:val="808080" w:themeColor="background1" w:themeShade="80"/>
                <w:sz w:val="20"/>
                <w:szCs w:val="20"/>
                <w:lang w:val="en-US"/>
              </w:rPr>
            </w:pPr>
          </w:p>
        </w:tc>
        <w:tc>
          <w:tcPr>
            <w:tcW w:w="993" w:type="dxa"/>
          </w:tcPr>
          <w:p w14:paraId="0E365BB2" w14:textId="77777777" w:rsidR="009A1178" w:rsidRPr="001377BB" w:rsidRDefault="009A1178" w:rsidP="00F76BBB">
            <w:pPr>
              <w:spacing w:before="120" w:after="120"/>
              <w:rPr>
                <w:rFonts w:ascii="Calibri" w:hAnsi="Calibri" w:cs="Calibri"/>
                <w:sz w:val="20"/>
                <w:szCs w:val="20"/>
                <w:lang w:val="en-US"/>
              </w:rPr>
            </w:pPr>
          </w:p>
        </w:tc>
      </w:tr>
      <w:tr w:rsidR="009A1178" w:rsidRPr="0068379B" w14:paraId="1658E964" w14:textId="77777777" w:rsidTr="00F76BBB">
        <w:tc>
          <w:tcPr>
            <w:tcW w:w="8500" w:type="dxa"/>
          </w:tcPr>
          <w:p w14:paraId="024289D0" w14:textId="77777777" w:rsidR="009A1178" w:rsidRPr="001377BB" w:rsidRDefault="009A1178" w:rsidP="00F76BBB">
            <w:pPr>
              <w:spacing w:before="120" w:after="120"/>
              <w:rPr>
                <w:rFonts w:ascii="Calibri" w:hAnsi="Calibri" w:cs="Calibri"/>
                <w:color w:val="000000" w:themeColor="text1"/>
                <w:sz w:val="20"/>
                <w:szCs w:val="20"/>
                <w:lang w:val="en-US"/>
              </w:rPr>
            </w:pPr>
            <w:r w:rsidRPr="001377BB">
              <w:rPr>
                <w:rFonts w:ascii="Calibri" w:hAnsi="Calibri" w:cs="Calibri"/>
                <w:color w:val="000000" w:themeColor="text1"/>
                <w:sz w:val="20"/>
                <w:szCs w:val="20"/>
                <w:lang w:val="en-US"/>
              </w:rPr>
              <w:t xml:space="preserve">Protocol </w:t>
            </w:r>
          </w:p>
        </w:tc>
        <w:tc>
          <w:tcPr>
            <w:tcW w:w="993" w:type="dxa"/>
          </w:tcPr>
          <w:p w14:paraId="4DAD8F22" w14:textId="4F857748" w:rsidR="009A1178" w:rsidRPr="001377BB" w:rsidRDefault="009A1178" w:rsidP="00F76BBB">
            <w:pPr>
              <w:spacing w:before="120" w:after="120"/>
              <w:rPr>
                <w:rFonts w:ascii="Calibri" w:hAnsi="Calibri" w:cs="Calibri"/>
                <w:color w:val="000000" w:themeColor="text1"/>
                <w:sz w:val="20"/>
                <w:szCs w:val="20"/>
                <w:lang w:val="en-US"/>
              </w:rPr>
            </w:pPr>
            <w:r w:rsidRPr="001377BB">
              <w:rPr>
                <w:rFonts w:ascii="Calibri" w:hAnsi="Calibri" w:cs="Calibri"/>
                <w:color w:val="000000" w:themeColor="text1"/>
                <w:sz w:val="20"/>
                <w:szCs w:val="20"/>
                <w:lang w:val="en-US"/>
              </w:rPr>
              <w:t xml:space="preserve">Page </w:t>
            </w:r>
            <w:r w:rsidR="007368B0">
              <w:rPr>
                <w:rFonts w:ascii="Calibri" w:hAnsi="Calibri" w:cs="Calibri"/>
                <w:color w:val="000000" w:themeColor="text1"/>
                <w:sz w:val="20"/>
                <w:szCs w:val="20"/>
                <w:lang w:val="en-US"/>
              </w:rPr>
              <w:t>14</w:t>
            </w:r>
          </w:p>
        </w:tc>
      </w:tr>
    </w:tbl>
    <w:p w14:paraId="31D70445" w14:textId="77777777" w:rsidR="00066C8B" w:rsidRDefault="00066C8B" w:rsidP="009A1178">
      <w:pPr>
        <w:rPr>
          <w:rFonts w:ascii="Times New Roman" w:hAnsi="Times New Roman" w:cs="Times New Roman"/>
          <w:kern w:val="0"/>
          <w:lang w:val="en-US"/>
          <w14:ligatures w14:val="none"/>
        </w:rPr>
      </w:pPr>
    </w:p>
    <w:p w14:paraId="6F7065C6" w14:textId="77777777" w:rsidR="002F553D" w:rsidRDefault="002F553D" w:rsidP="009A1178">
      <w:pPr>
        <w:rPr>
          <w:rFonts w:ascii="Times New Roman" w:hAnsi="Times New Roman" w:cs="Times New Roman"/>
          <w:kern w:val="0"/>
          <w:lang w:val="en-US"/>
          <w14:ligatures w14:val="none"/>
        </w:rPr>
      </w:pPr>
    </w:p>
    <w:p w14:paraId="23525A08" w14:textId="29549A1B" w:rsidR="002F553D" w:rsidRDefault="002F553D">
      <w:pPr>
        <w:rPr>
          <w:rFonts w:ascii="Times New Roman" w:hAnsi="Times New Roman" w:cs="Times New Roman"/>
          <w:kern w:val="0"/>
          <w:lang w:val="en-US"/>
          <w14:ligatures w14:val="none"/>
        </w:rPr>
      </w:pPr>
      <w:r>
        <w:rPr>
          <w:rFonts w:ascii="Times New Roman" w:hAnsi="Times New Roman" w:cs="Times New Roman"/>
          <w:kern w:val="0"/>
          <w:lang w:val="en-US"/>
          <w14:ligatures w14:val="none"/>
        </w:rPr>
        <w:br w:type="page"/>
      </w:r>
    </w:p>
    <w:p w14:paraId="2DA8D64D" w14:textId="3341E275" w:rsidR="002F553D" w:rsidRPr="00171E90" w:rsidRDefault="00171E90" w:rsidP="009A1178">
      <w:pPr>
        <w:rPr>
          <w:rFonts w:ascii="Times New Roman" w:hAnsi="Times New Roman" w:cs="Times New Roman"/>
          <w:b/>
          <w:bCs/>
          <w:kern w:val="0"/>
          <w:sz w:val="24"/>
          <w:szCs w:val="24"/>
          <w:lang w:val="en-US"/>
          <w14:ligatures w14:val="none"/>
        </w:rPr>
      </w:pPr>
      <w:r w:rsidRPr="00171E90">
        <w:rPr>
          <w:rFonts w:ascii="Calibri" w:hAnsi="Calibri" w:cs="Calibri"/>
          <w:b/>
          <w:bCs/>
          <w:color w:val="000000" w:themeColor="text1"/>
          <w:sz w:val="24"/>
          <w:szCs w:val="24"/>
          <w:lang w:val="en-US"/>
        </w:rPr>
        <w:lastRenderedPageBreak/>
        <w:t xml:space="preserve">Figure S.1: </w:t>
      </w:r>
      <w:r>
        <w:rPr>
          <w:rFonts w:ascii="Calibri" w:hAnsi="Calibri" w:cs="Calibri"/>
          <w:b/>
          <w:bCs/>
          <w:color w:val="000000" w:themeColor="text1"/>
          <w:sz w:val="24"/>
          <w:szCs w:val="24"/>
          <w:lang w:val="en-US"/>
        </w:rPr>
        <w:t>Flow- chart: t</w:t>
      </w:r>
      <w:r w:rsidRPr="00171E90">
        <w:rPr>
          <w:rFonts w:ascii="Calibri" w:hAnsi="Calibri" w:cs="Calibri"/>
          <w:b/>
          <w:bCs/>
          <w:color w:val="000000" w:themeColor="text1"/>
          <w:sz w:val="24"/>
          <w:szCs w:val="24"/>
          <w:lang w:val="en-US"/>
        </w:rPr>
        <w:t xml:space="preserve">rial design </w:t>
      </w:r>
      <w:r>
        <w:rPr>
          <w:rFonts w:ascii="Calibri" w:hAnsi="Calibri" w:cs="Calibri"/>
          <w:b/>
          <w:bCs/>
          <w:color w:val="000000" w:themeColor="text1"/>
          <w:sz w:val="24"/>
          <w:szCs w:val="24"/>
          <w:lang w:val="en-US"/>
        </w:rPr>
        <w:t xml:space="preserve">of </w:t>
      </w:r>
      <w:r w:rsidRPr="00171E90">
        <w:rPr>
          <w:rFonts w:ascii="Calibri" w:hAnsi="Calibri" w:cs="Calibri"/>
          <w:b/>
          <w:bCs/>
          <w:color w:val="000000" w:themeColor="text1"/>
          <w:sz w:val="24"/>
          <w:szCs w:val="24"/>
          <w:lang w:val="en-US"/>
        </w:rPr>
        <w:t>phase 1/2a GDFather</w:t>
      </w:r>
      <w:r>
        <w:rPr>
          <w:rFonts w:ascii="Calibri" w:hAnsi="Calibri" w:cs="Calibri"/>
          <w:b/>
          <w:bCs/>
          <w:color w:val="000000" w:themeColor="text1"/>
          <w:sz w:val="24"/>
          <w:szCs w:val="24"/>
          <w:lang w:val="en-US"/>
        </w:rPr>
        <w:t xml:space="preserve">-01 </w:t>
      </w:r>
      <w:r w:rsidRPr="00171E90">
        <w:rPr>
          <w:rFonts w:ascii="Calibri" w:hAnsi="Calibri" w:cs="Calibri"/>
          <w:b/>
          <w:bCs/>
          <w:color w:val="000000" w:themeColor="text1"/>
          <w:sz w:val="24"/>
          <w:szCs w:val="24"/>
          <w:lang w:val="en-US"/>
        </w:rPr>
        <w:t>trial (</w:t>
      </w:r>
      <w:hyperlink r:id="rId10" w:history="1">
        <w:r w:rsidRPr="00171E90">
          <w:rPr>
            <w:rStyle w:val="Hyperlink"/>
            <w:rFonts w:ascii="Calibri" w:hAnsi="Calibri" w:cs="Calibri"/>
            <w:sz w:val="24"/>
            <w:szCs w:val="24"/>
          </w:rPr>
          <w:t>NCT04725474</w:t>
        </w:r>
      </w:hyperlink>
      <w:r w:rsidRPr="00171E90">
        <w:rPr>
          <w:rFonts w:ascii="Calibri" w:hAnsi="Calibri" w:cs="Calibri"/>
          <w:b/>
          <w:bCs/>
          <w:color w:val="000000" w:themeColor="text1"/>
          <w:sz w:val="24"/>
          <w:szCs w:val="24"/>
          <w:lang w:val="en-US"/>
        </w:rPr>
        <w:t>)</w:t>
      </w:r>
    </w:p>
    <w:p w14:paraId="7418962D" w14:textId="77777777" w:rsidR="000960A1" w:rsidRDefault="000960A1" w:rsidP="000960A1">
      <w:pPr>
        <w:ind w:left="-284"/>
        <w:rPr>
          <w:rFonts w:ascii="Times New Roman" w:hAnsi="Times New Roman" w:cs="Times New Roman"/>
          <w:kern w:val="0"/>
          <w:lang w:val="en-US"/>
          <w14:ligatures w14:val="none"/>
        </w:rPr>
      </w:pPr>
    </w:p>
    <w:p w14:paraId="77B55355" w14:textId="77777777" w:rsidR="00B67189" w:rsidRDefault="00B67189" w:rsidP="009A1178">
      <w:pPr>
        <w:rPr>
          <w:rFonts w:ascii="Times New Roman" w:hAnsi="Times New Roman" w:cs="Times New Roman"/>
          <w:kern w:val="0"/>
          <w:lang w:val="en-US"/>
          <w14:ligatures w14:val="none"/>
        </w:rPr>
      </w:pPr>
    </w:p>
    <w:p w14:paraId="10B888D9" w14:textId="0EDA5C80" w:rsidR="00171E90" w:rsidRDefault="00634AA0" w:rsidP="00634AA0">
      <w:pPr>
        <w:ind w:left="-284"/>
        <w:rPr>
          <w:rFonts w:ascii="Times New Roman" w:hAnsi="Times New Roman" w:cs="Times New Roman"/>
          <w:kern w:val="0"/>
          <w:lang w:val="en-US"/>
          <w14:ligatures w14:val="none"/>
        </w:rPr>
      </w:pPr>
      <w:r>
        <w:rPr>
          <w:noProof/>
        </w:rPr>
        <w:drawing>
          <wp:inline distT="0" distB="0" distL="0" distR="0" wp14:anchorId="6A1B4C2D" wp14:editId="7FB8ABB3">
            <wp:extent cx="6410960" cy="4808220"/>
            <wp:effectExtent l="0" t="0" r="8890" b="0"/>
            <wp:docPr id="18727006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00637"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410960" cy="4808220"/>
                    </a:xfrm>
                    <a:prstGeom prst="rect">
                      <a:avLst/>
                    </a:prstGeom>
                  </pic:spPr>
                </pic:pic>
              </a:graphicData>
            </a:graphic>
          </wp:inline>
        </w:drawing>
      </w:r>
    </w:p>
    <w:p w14:paraId="0700FE4A" w14:textId="77777777" w:rsidR="00171E90" w:rsidRDefault="00171E90" w:rsidP="009A1178">
      <w:pPr>
        <w:rPr>
          <w:rFonts w:ascii="Times New Roman" w:hAnsi="Times New Roman" w:cs="Times New Roman"/>
          <w:kern w:val="0"/>
          <w:lang w:val="en-US"/>
          <w14:ligatures w14:val="none"/>
        </w:rPr>
      </w:pPr>
    </w:p>
    <w:p w14:paraId="31C43319" w14:textId="7A4CF4C5" w:rsidR="00E30E85" w:rsidRDefault="00E30E85">
      <w:pPr>
        <w:rPr>
          <w:rFonts w:ascii="Times New Roman" w:hAnsi="Times New Roman" w:cs="Times New Roman"/>
          <w:kern w:val="0"/>
          <w:lang w:val="en-US"/>
          <w14:ligatures w14:val="none"/>
        </w:rPr>
      </w:pPr>
      <w:r>
        <w:rPr>
          <w:rFonts w:ascii="Times New Roman" w:hAnsi="Times New Roman" w:cs="Times New Roman"/>
          <w:kern w:val="0"/>
          <w:lang w:val="en-US"/>
          <w14:ligatures w14:val="none"/>
        </w:rPr>
        <w:br w:type="page"/>
      </w:r>
    </w:p>
    <w:p w14:paraId="676907B4" w14:textId="2545459E" w:rsidR="00E30E85" w:rsidRPr="0061520E" w:rsidRDefault="00E30E85" w:rsidP="0061520E">
      <w:pPr>
        <w:spacing w:before="40" w:after="40" w:line="240" w:lineRule="auto"/>
        <w:rPr>
          <w:rFonts w:cstheme="minorHAnsi"/>
          <w:sz w:val="24"/>
          <w:szCs w:val="24"/>
          <w:lang w:val="en-US"/>
          <w14:ligatures w14:val="none"/>
        </w:rPr>
      </w:pPr>
      <w:bookmarkStart w:id="1" w:name="_Hlk208414343"/>
      <w:r w:rsidRPr="003C06D2">
        <w:rPr>
          <w:rFonts w:ascii="Calibri" w:hAnsi="Calibri" w:cs="Calibri"/>
          <w:b/>
          <w:bCs/>
          <w:sz w:val="24"/>
          <w:szCs w:val="24"/>
          <w:lang w:val="en-US"/>
        </w:rPr>
        <w:lastRenderedPageBreak/>
        <w:t>Table S.</w:t>
      </w:r>
      <w:r>
        <w:rPr>
          <w:rFonts w:ascii="Calibri" w:hAnsi="Calibri" w:cs="Calibri"/>
          <w:b/>
          <w:bCs/>
          <w:sz w:val="24"/>
          <w:szCs w:val="24"/>
          <w:lang w:val="en-US"/>
        </w:rPr>
        <w:t>1</w:t>
      </w:r>
      <w:r w:rsidRPr="003C06D2">
        <w:rPr>
          <w:rFonts w:ascii="Calibri" w:hAnsi="Calibri" w:cs="Calibri"/>
          <w:b/>
          <w:bCs/>
          <w:color w:val="000000" w:themeColor="text1"/>
          <w:sz w:val="24"/>
          <w:szCs w:val="24"/>
          <w:lang w:val="en-US"/>
        </w:rPr>
        <w:t xml:space="preserve">: </w:t>
      </w:r>
      <w:bookmarkEnd w:id="1"/>
      <w:r w:rsidRPr="00F616EB">
        <w:rPr>
          <w:rFonts w:ascii="Calibri" w:eastAsia="Calibri" w:hAnsi="Calibri" w:cs="Calibri"/>
          <w:b/>
          <w:bCs/>
          <w:color w:val="000000" w:themeColor="text1"/>
          <w:sz w:val="24"/>
          <w:szCs w:val="24"/>
        </w:rPr>
        <w:t>Treatment-Related Adverse Events (</w:t>
      </w:r>
      <w:r w:rsidRPr="00F616EB">
        <w:rPr>
          <w:rFonts w:cstheme="minorHAnsi"/>
          <w:b/>
          <w:bCs/>
          <w:sz w:val="24"/>
          <w:szCs w:val="24"/>
          <w14:ligatures w14:val="none"/>
        </w:rPr>
        <w:t>a</w:t>
      </w:r>
      <w:r w:rsidRPr="0061520E">
        <w:rPr>
          <w:rFonts w:cstheme="minorHAnsi"/>
          <w:b/>
          <w:bCs/>
          <w:sz w:val="24"/>
          <w:szCs w:val="24"/>
          <w14:ligatures w14:val="none"/>
        </w:rPr>
        <w:t>ny grade), per MedDRA Preferred Term, in more than 5% of participants</w:t>
      </w:r>
      <w:r w:rsidR="00F616EB">
        <w:rPr>
          <w:rFonts w:cstheme="minorHAnsi"/>
          <w:b/>
          <w:bCs/>
          <w:sz w:val="24"/>
          <w:szCs w:val="24"/>
          <w14:ligatures w14:val="none"/>
        </w:rPr>
        <w:t xml:space="preserve"> in any cohort</w:t>
      </w:r>
      <w:r w:rsidRPr="0061520E">
        <w:rPr>
          <w:rFonts w:cstheme="minorHAnsi"/>
          <w:b/>
          <w:bCs/>
          <w:sz w:val="24"/>
          <w:szCs w:val="24"/>
          <w14:ligatures w14:val="none"/>
        </w:rPr>
        <w:t xml:space="preserve"> (in </w:t>
      </w:r>
      <w:r w:rsidR="00F616EB">
        <w:rPr>
          <w:rFonts w:cstheme="minorHAnsi"/>
          <w:b/>
          <w:bCs/>
          <w:sz w:val="24"/>
          <w:szCs w:val="24"/>
          <w14:ligatures w14:val="none"/>
        </w:rPr>
        <w:t>order of frequency</w:t>
      </w:r>
      <w:r w:rsidRPr="0061520E">
        <w:rPr>
          <w:rFonts w:cstheme="minorHAnsi"/>
          <w:b/>
          <w:bCs/>
          <w:sz w:val="24"/>
          <w:szCs w:val="24"/>
          <w14:ligatures w14:val="none"/>
        </w:rPr>
        <w:t>)</w:t>
      </w:r>
      <w:r w:rsidRPr="0061520E">
        <w:rPr>
          <w:rFonts w:cstheme="minorHAnsi"/>
          <w:b/>
          <w:bCs/>
          <w:color w:val="000000" w:themeColor="text1"/>
          <w:kern w:val="24"/>
          <w:position w:val="6"/>
          <w:sz w:val="24"/>
          <w:szCs w:val="24"/>
          <w14:ligatures w14:val="none"/>
        </w:rPr>
        <w:t>†</w:t>
      </w:r>
      <w:r w:rsidRPr="0061520E">
        <w:rPr>
          <w:rFonts w:ascii="Arial" w:hAnsi="Arial" w:cs="Arial"/>
          <w:color w:val="000000" w:themeColor="text1"/>
          <w:kern w:val="24"/>
          <w:position w:val="6"/>
          <w:sz w:val="24"/>
          <w:szCs w:val="24"/>
          <w:vertAlign w:val="superscript"/>
          <w14:ligatures w14:val="none"/>
        </w:rPr>
        <w:t xml:space="preserve"> </w:t>
      </w:r>
      <w:r w:rsidRPr="0061520E">
        <w:rPr>
          <w:rFonts w:cstheme="minorHAnsi"/>
          <w:b/>
          <w:bCs/>
          <w:sz w:val="24"/>
          <w:szCs w:val="24"/>
          <w14:ligatures w14:val="none"/>
        </w:rPr>
        <w:t xml:space="preserve"> </w:t>
      </w:r>
      <w:r w:rsidRPr="0061520E">
        <w:rPr>
          <w:rFonts w:cstheme="minorHAnsi"/>
          <w:sz w:val="24"/>
          <w:szCs w:val="24"/>
          <w14:ligatures w14:val="none"/>
        </w:rPr>
        <w:t>–</w:t>
      </w:r>
      <w:r w:rsidRPr="0061520E">
        <w:rPr>
          <w:rFonts w:cstheme="minorHAnsi"/>
          <w:b/>
          <w:bCs/>
          <w:sz w:val="24"/>
          <w:szCs w:val="24"/>
          <w14:ligatures w14:val="none"/>
        </w:rPr>
        <w:t xml:space="preserve"> no. (%)</w:t>
      </w:r>
    </w:p>
    <w:p w14:paraId="67436ECD" w14:textId="2C689DB3" w:rsidR="00E30E85" w:rsidRDefault="00E30E85" w:rsidP="00E30E85">
      <w:pPr>
        <w:rPr>
          <w:rFonts w:ascii="Calibri" w:eastAsia="Calibri" w:hAnsi="Calibri" w:cs="Calibri"/>
          <w:b/>
          <w:bCs/>
          <w:color w:val="000000" w:themeColor="text1"/>
          <w:sz w:val="24"/>
          <w:szCs w:val="24"/>
        </w:rPr>
      </w:pPr>
    </w:p>
    <w:tbl>
      <w:tblPr>
        <w:tblStyle w:val="TableGrid"/>
        <w:tblW w:w="8931" w:type="dxa"/>
        <w:tblLook w:val="04A0" w:firstRow="1" w:lastRow="0" w:firstColumn="1" w:lastColumn="0" w:noHBand="0" w:noVBand="1"/>
      </w:tblPr>
      <w:tblGrid>
        <w:gridCol w:w="3402"/>
        <w:gridCol w:w="993"/>
        <w:gridCol w:w="1275"/>
        <w:gridCol w:w="851"/>
        <w:gridCol w:w="992"/>
        <w:gridCol w:w="1418"/>
      </w:tblGrid>
      <w:tr w:rsidR="00E30E85" w:rsidRPr="00A5268B" w14:paraId="266FEA22" w14:textId="77777777" w:rsidTr="00F616EB">
        <w:tc>
          <w:tcPr>
            <w:tcW w:w="3402" w:type="dxa"/>
            <w:tcBorders>
              <w:left w:val="nil"/>
              <w:right w:val="nil"/>
            </w:tcBorders>
            <w:tcMar>
              <w:left w:w="28" w:type="dxa"/>
              <w:right w:w="28" w:type="dxa"/>
            </w:tcMar>
          </w:tcPr>
          <w:p w14:paraId="6440E2DF" w14:textId="77777777" w:rsidR="00E30E85" w:rsidRPr="00A5268B" w:rsidRDefault="00E30E85" w:rsidP="00DF38EB">
            <w:pPr>
              <w:spacing w:before="40" w:after="40"/>
              <w:rPr>
                <w:rFonts w:cstheme="minorHAnsi"/>
                <w:lang w:val="en-US"/>
              </w:rPr>
            </w:pPr>
          </w:p>
        </w:tc>
        <w:tc>
          <w:tcPr>
            <w:tcW w:w="993" w:type="dxa"/>
            <w:tcBorders>
              <w:left w:val="nil"/>
              <w:right w:val="nil"/>
            </w:tcBorders>
            <w:tcMar>
              <w:left w:w="28" w:type="dxa"/>
              <w:right w:w="28" w:type="dxa"/>
            </w:tcMar>
          </w:tcPr>
          <w:p w14:paraId="284C81D8" w14:textId="77777777" w:rsidR="00E30E85" w:rsidRPr="00A5268B" w:rsidRDefault="00E30E85" w:rsidP="00DF38EB">
            <w:pPr>
              <w:spacing w:before="40" w:after="40"/>
              <w:jc w:val="center"/>
              <w:rPr>
                <w:rFonts w:cstheme="minorHAnsi"/>
                <w:b/>
                <w:bCs/>
                <w:lang w:val="en-US"/>
              </w:rPr>
            </w:pPr>
            <w:r w:rsidRPr="00A5268B">
              <w:rPr>
                <w:rFonts w:cstheme="minorHAnsi"/>
                <w:b/>
                <w:bCs/>
                <w:lang w:val="en-US"/>
              </w:rPr>
              <w:t>NSCLC sq</w:t>
            </w:r>
          </w:p>
        </w:tc>
        <w:tc>
          <w:tcPr>
            <w:tcW w:w="1275" w:type="dxa"/>
            <w:tcBorders>
              <w:left w:val="nil"/>
              <w:right w:val="nil"/>
            </w:tcBorders>
            <w:tcMar>
              <w:left w:w="28" w:type="dxa"/>
              <w:right w:w="28" w:type="dxa"/>
            </w:tcMar>
          </w:tcPr>
          <w:p w14:paraId="1A1E067A" w14:textId="0336945A" w:rsidR="00E30E85" w:rsidRPr="00A5268B" w:rsidRDefault="00E30E85" w:rsidP="00DF38EB">
            <w:pPr>
              <w:spacing w:before="40" w:after="40"/>
              <w:jc w:val="center"/>
              <w:rPr>
                <w:rFonts w:cstheme="minorHAnsi"/>
                <w:b/>
                <w:bCs/>
                <w:lang w:val="en-US"/>
              </w:rPr>
            </w:pPr>
            <w:r w:rsidRPr="00A5268B">
              <w:rPr>
                <w:rFonts w:cstheme="minorHAnsi"/>
                <w:b/>
                <w:bCs/>
                <w:lang w:val="en-US"/>
              </w:rPr>
              <w:t xml:space="preserve">NSCLC </w:t>
            </w:r>
            <w:r w:rsidR="00F616EB">
              <w:rPr>
                <w:rFonts w:cstheme="minorHAnsi"/>
                <w:b/>
                <w:bCs/>
                <w:lang w:val="en-US"/>
              </w:rPr>
              <w:t>n</w:t>
            </w:r>
            <w:r w:rsidRPr="00A5268B">
              <w:rPr>
                <w:rFonts w:cstheme="minorHAnsi"/>
                <w:b/>
                <w:bCs/>
                <w:lang w:val="en-US"/>
              </w:rPr>
              <w:t>sq</w:t>
            </w:r>
          </w:p>
        </w:tc>
        <w:tc>
          <w:tcPr>
            <w:tcW w:w="851" w:type="dxa"/>
            <w:tcBorders>
              <w:left w:val="nil"/>
              <w:right w:val="nil"/>
            </w:tcBorders>
            <w:tcMar>
              <w:left w:w="28" w:type="dxa"/>
              <w:right w:w="28" w:type="dxa"/>
            </w:tcMar>
          </w:tcPr>
          <w:p w14:paraId="0CEB22FB" w14:textId="77777777" w:rsidR="00E30E85" w:rsidRPr="00A5268B" w:rsidRDefault="00E30E85" w:rsidP="00DF38EB">
            <w:pPr>
              <w:spacing w:before="40" w:after="40"/>
              <w:jc w:val="center"/>
              <w:rPr>
                <w:rFonts w:cstheme="minorHAnsi"/>
                <w:b/>
                <w:bCs/>
                <w:lang w:val="en-US"/>
              </w:rPr>
            </w:pPr>
            <w:r w:rsidRPr="00A5268B">
              <w:rPr>
                <w:rFonts w:cstheme="minorHAnsi"/>
                <w:b/>
                <w:bCs/>
                <w:lang w:val="en-US"/>
              </w:rPr>
              <w:t>UC</w:t>
            </w:r>
          </w:p>
        </w:tc>
        <w:tc>
          <w:tcPr>
            <w:tcW w:w="992" w:type="dxa"/>
            <w:tcBorders>
              <w:left w:val="nil"/>
              <w:right w:val="nil"/>
            </w:tcBorders>
            <w:tcMar>
              <w:left w:w="28" w:type="dxa"/>
              <w:right w:w="28" w:type="dxa"/>
            </w:tcMar>
          </w:tcPr>
          <w:p w14:paraId="33A9B48D" w14:textId="77777777" w:rsidR="00E30E85" w:rsidRPr="00A5268B" w:rsidRDefault="00E30E85" w:rsidP="00DF38EB">
            <w:pPr>
              <w:spacing w:before="40" w:after="40"/>
              <w:jc w:val="center"/>
              <w:rPr>
                <w:rFonts w:cstheme="minorHAnsi"/>
                <w:b/>
                <w:bCs/>
                <w:lang w:val="en-US"/>
              </w:rPr>
            </w:pPr>
            <w:r w:rsidRPr="00A5268B">
              <w:rPr>
                <w:rFonts w:cstheme="minorHAnsi"/>
                <w:b/>
                <w:bCs/>
                <w:lang w:val="en-US"/>
              </w:rPr>
              <w:t>HCC</w:t>
            </w:r>
          </w:p>
        </w:tc>
        <w:tc>
          <w:tcPr>
            <w:tcW w:w="1418" w:type="dxa"/>
            <w:tcBorders>
              <w:left w:val="nil"/>
              <w:right w:val="nil"/>
            </w:tcBorders>
            <w:tcMar>
              <w:left w:w="28" w:type="dxa"/>
              <w:right w:w="28" w:type="dxa"/>
            </w:tcMar>
          </w:tcPr>
          <w:p w14:paraId="10805600" w14:textId="77777777" w:rsidR="00E30E85" w:rsidRPr="00A5268B" w:rsidRDefault="00E30E85" w:rsidP="00DF38EB">
            <w:pPr>
              <w:spacing w:before="40" w:after="40"/>
              <w:jc w:val="center"/>
              <w:rPr>
                <w:rFonts w:cstheme="minorHAnsi"/>
                <w:b/>
                <w:bCs/>
                <w:lang w:val="en-US"/>
              </w:rPr>
            </w:pPr>
            <w:r w:rsidRPr="00A5268B">
              <w:rPr>
                <w:rFonts w:cstheme="minorHAnsi"/>
                <w:b/>
                <w:bCs/>
                <w:lang w:val="en-US"/>
              </w:rPr>
              <w:t xml:space="preserve">Total </w:t>
            </w:r>
            <w:r>
              <w:rPr>
                <w:rFonts w:cstheme="minorHAnsi"/>
                <w:b/>
                <w:bCs/>
                <w:lang w:val="en-US"/>
              </w:rPr>
              <w:t>(</w:t>
            </w:r>
            <w:r w:rsidRPr="00A5268B">
              <w:rPr>
                <w:rFonts w:cstheme="minorHAnsi"/>
                <w:b/>
                <w:bCs/>
                <w:lang w:val="en-US"/>
              </w:rPr>
              <w:t>Saf</w:t>
            </w:r>
            <w:r>
              <w:rPr>
                <w:rFonts w:cstheme="minorHAnsi"/>
                <w:b/>
                <w:bCs/>
                <w:lang w:val="en-US"/>
              </w:rPr>
              <w:t>ety)</w:t>
            </w:r>
          </w:p>
        </w:tc>
      </w:tr>
      <w:tr w:rsidR="00E30E85" w:rsidRPr="00A5268B" w14:paraId="1E3C105C" w14:textId="77777777" w:rsidTr="00F616EB">
        <w:tc>
          <w:tcPr>
            <w:tcW w:w="3402" w:type="dxa"/>
            <w:tcBorders>
              <w:left w:val="nil"/>
              <w:bottom w:val="single" w:sz="4" w:space="0" w:color="auto"/>
              <w:right w:val="nil"/>
            </w:tcBorders>
            <w:tcMar>
              <w:left w:w="28" w:type="dxa"/>
              <w:right w:w="28" w:type="dxa"/>
            </w:tcMar>
          </w:tcPr>
          <w:p w14:paraId="2E75F3AB" w14:textId="77777777" w:rsidR="00E30E85" w:rsidRPr="00CB1E28" w:rsidRDefault="00E30E85" w:rsidP="00DF38EB">
            <w:pPr>
              <w:spacing w:before="40" w:after="40"/>
              <w:ind w:left="567"/>
              <w:rPr>
                <w:rFonts w:cstheme="minorHAnsi"/>
                <w:b/>
                <w:bCs/>
                <w:sz w:val="20"/>
                <w:szCs w:val="20"/>
                <w:lang w:val="en-US"/>
              </w:rPr>
            </w:pPr>
            <w:r w:rsidRPr="00CB1E28">
              <w:rPr>
                <w:rFonts w:cstheme="minorHAnsi"/>
                <w:b/>
                <w:bCs/>
                <w:sz w:val="20"/>
                <w:szCs w:val="20"/>
                <w:lang w:val="en-US"/>
              </w:rPr>
              <w:t>SOC and PT</w:t>
            </w:r>
          </w:p>
        </w:tc>
        <w:tc>
          <w:tcPr>
            <w:tcW w:w="993" w:type="dxa"/>
            <w:tcBorders>
              <w:left w:val="nil"/>
              <w:bottom w:val="single" w:sz="4" w:space="0" w:color="auto"/>
              <w:right w:val="nil"/>
            </w:tcBorders>
            <w:tcMar>
              <w:left w:w="28" w:type="dxa"/>
              <w:right w:w="28" w:type="dxa"/>
            </w:tcMar>
          </w:tcPr>
          <w:p w14:paraId="7E11AE60" w14:textId="77777777" w:rsidR="00E30E85" w:rsidRPr="00A5268B" w:rsidRDefault="00E30E85" w:rsidP="00DF38EB">
            <w:pPr>
              <w:spacing w:before="40" w:after="40"/>
              <w:jc w:val="center"/>
              <w:rPr>
                <w:rFonts w:cstheme="minorHAnsi"/>
                <w:b/>
                <w:bCs/>
                <w:lang w:val="en-US"/>
              </w:rPr>
            </w:pPr>
            <w:r>
              <w:rPr>
                <w:rFonts w:cstheme="minorHAnsi"/>
                <w:b/>
                <w:bCs/>
                <w:lang w:val="en-US"/>
              </w:rPr>
              <w:t>(n = 7)</w:t>
            </w:r>
          </w:p>
        </w:tc>
        <w:tc>
          <w:tcPr>
            <w:tcW w:w="1275" w:type="dxa"/>
            <w:tcBorders>
              <w:left w:val="nil"/>
              <w:bottom w:val="single" w:sz="4" w:space="0" w:color="auto"/>
              <w:right w:val="nil"/>
            </w:tcBorders>
            <w:tcMar>
              <w:left w:w="28" w:type="dxa"/>
              <w:right w:w="28" w:type="dxa"/>
            </w:tcMar>
          </w:tcPr>
          <w:p w14:paraId="075B8F1E" w14:textId="77777777" w:rsidR="00E30E85" w:rsidRPr="00A5268B" w:rsidRDefault="00E30E85" w:rsidP="00DF38EB">
            <w:pPr>
              <w:spacing w:before="40" w:after="40"/>
              <w:jc w:val="center"/>
              <w:rPr>
                <w:rFonts w:cstheme="minorHAnsi"/>
                <w:b/>
                <w:bCs/>
                <w:lang w:val="en-US"/>
              </w:rPr>
            </w:pPr>
            <w:r>
              <w:rPr>
                <w:rFonts w:cstheme="minorHAnsi"/>
                <w:b/>
                <w:bCs/>
                <w:lang w:val="en-US"/>
              </w:rPr>
              <w:t>(n = 22)</w:t>
            </w:r>
          </w:p>
        </w:tc>
        <w:tc>
          <w:tcPr>
            <w:tcW w:w="851" w:type="dxa"/>
            <w:tcBorders>
              <w:left w:val="nil"/>
              <w:bottom w:val="single" w:sz="4" w:space="0" w:color="auto"/>
              <w:right w:val="nil"/>
            </w:tcBorders>
            <w:tcMar>
              <w:left w:w="28" w:type="dxa"/>
              <w:right w:w="28" w:type="dxa"/>
            </w:tcMar>
          </w:tcPr>
          <w:p w14:paraId="5E8E1749" w14:textId="77777777" w:rsidR="00E30E85" w:rsidRPr="00A5268B" w:rsidRDefault="00E30E85" w:rsidP="00DF38EB">
            <w:pPr>
              <w:spacing w:before="40" w:after="40"/>
              <w:jc w:val="center"/>
              <w:rPr>
                <w:rFonts w:cstheme="minorHAnsi"/>
                <w:b/>
                <w:bCs/>
                <w:lang w:val="en-US"/>
              </w:rPr>
            </w:pPr>
            <w:r>
              <w:rPr>
                <w:rFonts w:cstheme="minorHAnsi"/>
                <w:b/>
                <w:bCs/>
                <w:lang w:val="en-US"/>
              </w:rPr>
              <w:t>(n = 27)</w:t>
            </w:r>
          </w:p>
        </w:tc>
        <w:tc>
          <w:tcPr>
            <w:tcW w:w="992" w:type="dxa"/>
            <w:tcBorders>
              <w:left w:val="nil"/>
              <w:bottom w:val="single" w:sz="4" w:space="0" w:color="auto"/>
              <w:right w:val="nil"/>
            </w:tcBorders>
            <w:tcMar>
              <w:left w:w="28" w:type="dxa"/>
              <w:right w:w="28" w:type="dxa"/>
            </w:tcMar>
          </w:tcPr>
          <w:p w14:paraId="0C203DDD" w14:textId="77777777" w:rsidR="00E30E85" w:rsidRPr="00A5268B" w:rsidRDefault="00E30E85" w:rsidP="00DF38EB">
            <w:pPr>
              <w:spacing w:before="40" w:after="40"/>
              <w:jc w:val="center"/>
              <w:rPr>
                <w:rFonts w:cstheme="minorHAnsi"/>
                <w:b/>
                <w:bCs/>
                <w:lang w:val="en-US"/>
              </w:rPr>
            </w:pPr>
            <w:r>
              <w:rPr>
                <w:rFonts w:cstheme="minorHAnsi"/>
                <w:b/>
                <w:bCs/>
                <w:lang w:val="en-US"/>
              </w:rPr>
              <w:t>(n = 28)</w:t>
            </w:r>
          </w:p>
        </w:tc>
        <w:tc>
          <w:tcPr>
            <w:tcW w:w="1418" w:type="dxa"/>
            <w:tcBorders>
              <w:left w:val="nil"/>
              <w:bottom w:val="single" w:sz="4" w:space="0" w:color="auto"/>
              <w:right w:val="nil"/>
            </w:tcBorders>
            <w:tcMar>
              <w:left w:w="28" w:type="dxa"/>
              <w:right w:w="28" w:type="dxa"/>
            </w:tcMar>
          </w:tcPr>
          <w:p w14:paraId="4BF201CE" w14:textId="77777777" w:rsidR="00E30E85" w:rsidRPr="00A5268B" w:rsidRDefault="00E30E85" w:rsidP="00DF38EB">
            <w:pPr>
              <w:spacing w:before="40" w:after="40"/>
              <w:jc w:val="center"/>
              <w:rPr>
                <w:rFonts w:cstheme="minorHAnsi"/>
                <w:b/>
                <w:bCs/>
                <w:lang w:val="en-US"/>
              </w:rPr>
            </w:pPr>
            <w:r>
              <w:rPr>
                <w:rFonts w:cstheme="minorHAnsi"/>
                <w:b/>
                <w:bCs/>
                <w:lang w:val="en-US"/>
              </w:rPr>
              <w:t>(n = 84)</w:t>
            </w:r>
          </w:p>
        </w:tc>
      </w:tr>
      <w:tr w:rsidR="0061520E" w:rsidRPr="00F616EB" w14:paraId="02A4BEE1" w14:textId="77777777" w:rsidTr="00110F31">
        <w:tc>
          <w:tcPr>
            <w:tcW w:w="3402" w:type="dxa"/>
            <w:tcBorders>
              <w:top w:val="single" w:sz="4" w:space="0" w:color="000000"/>
              <w:left w:val="nil"/>
              <w:bottom w:val="nil"/>
              <w:right w:val="nil"/>
            </w:tcBorders>
            <w:shd w:val="clear" w:color="auto" w:fill="FFFFFF"/>
            <w:tcMar>
              <w:left w:w="28" w:type="dxa"/>
              <w:right w:w="28" w:type="dxa"/>
            </w:tcMar>
          </w:tcPr>
          <w:p w14:paraId="2EFBEF29" w14:textId="099951EA" w:rsidR="0061520E" w:rsidRPr="00F616EB" w:rsidRDefault="0061520E" w:rsidP="0061520E">
            <w:pPr>
              <w:spacing w:before="40" w:after="40"/>
              <w:rPr>
                <w:rFonts w:cstheme="minorHAnsi"/>
                <w:color w:val="000000" w:themeColor="text1"/>
                <w:sz w:val="20"/>
                <w:szCs w:val="20"/>
              </w:rPr>
            </w:pPr>
            <w:r w:rsidRPr="00F616EB">
              <w:rPr>
                <w:rFonts w:cstheme="minorHAnsi"/>
                <w:color w:val="000000" w:themeColor="text1"/>
                <w:sz w:val="20"/>
                <w:szCs w:val="20"/>
              </w:rPr>
              <w:t>Pyrexia</w:t>
            </w:r>
          </w:p>
        </w:tc>
        <w:tc>
          <w:tcPr>
            <w:tcW w:w="993" w:type="dxa"/>
            <w:tcBorders>
              <w:top w:val="single" w:sz="4" w:space="0" w:color="000000"/>
              <w:left w:val="nil"/>
              <w:bottom w:val="nil"/>
              <w:right w:val="nil"/>
            </w:tcBorders>
            <w:shd w:val="clear" w:color="auto" w:fill="FFFFFF"/>
            <w:tcMar>
              <w:left w:w="28" w:type="dxa"/>
              <w:right w:w="28" w:type="dxa"/>
            </w:tcMar>
          </w:tcPr>
          <w:p w14:paraId="1212C9DF" w14:textId="59E8457D"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0</w:t>
            </w:r>
          </w:p>
        </w:tc>
        <w:tc>
          <w:tcPr>
            <w:tcW w:w="1275" w:type="dxa"/>
            <w:tcBorders>
              <w:top w:val="single" w:sz="4" w:space="0" w:color="000000"/>
              <w:left w:val="nil"/>
              <w:bottom w:val="nil"/>
              <w:right w:val="nil"/>
            </w:tcBorders>
            <w:shd w:val="clear" w:color="auto" w:fill="FFFFFF"/>
            <w:tcMar>
              <w:left w:w="28" w:type="dxa"/>
              <w:right w:w="28" w:type="dxa"/>
            </w:tcMar>
          </w:tcPr>
          <w:p w14:paraId="75D7188C" w14:textId="3EBEB130"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2 (9.1)</w:t>
            </w:r>
          </w:p>
        </w:tc>
        <w:tc>
          <w:tcPr>
            <w:tcW w:w="851" w:type="dxa"/>
            <w:tcBorders>
              <w:top w:val="single" w:sz="4" w:space="0" w:color="000000"/>
              <w:left w:val="nil"/>
              <w:bottom w:val="nil"/>
              <w:right w:val="nil"/>
            </w:tcBorders>
            <w:shd w:val="clear" w:color="auto" w:fill="FFFFFF"/>
            <w:tcMar>
              <w:left w:w="28" w:type="dxa"/>
              <w:right w:w="28" w:type="dxa"/>
            </w:tcMar>
          </w:tcPr>
          <w:p w14:paraId="57D596F6" w14:textId="34A0640B"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5 (18.5)</w:t>
            </w:r>
          </w:p>
        </w:tc>
        <w:tc>
          <w:tcPr>
            <w:tcW w:w="992" w:type="dxa"/>
            <w:tcBorders>
              <w:top w:val="single" w:sz="4" w:space="0" w:color="000000"/>
              <w:left w:val="nil"/>
              <w:bottom w:val="nil"/>
              <w:right w:val="nil"/>
            </w:tcBorders>
            <w:shd w:val="clear" w:color="auto" w:fill="FFFFFF"/>
            <w:tcMar>
              <w:left w:w="28" w:type="dxa"/>
              <w:right w:w="28" w:type="dxa"/>
            </w:tcMar>
          </w:tcPr>
          <w:p w14:paraId="380D4EFB" w14:textId="082AB92A"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3 (10.7)</w:t>
            </w:r>
          </w:p>
        </w:tc>
        <w:tc>
          <w:tcPr>
            <w:tcW w:w="1418" w:type="dxa"/>
            <w:tcBorders>
              <w:top w:val="single" w:sz="4" w:space="0" w:color="000000"/>
              <w:left w:val="nil"/>
              <w:bottom w:val="nil"/>
              <w:right w:val="nil"/>
            </w:tcBorders>
            <w:shd w:val="clear" w:color="auto" w:fill="FFFFFF"/>
            <w:tcMar>
              <w:left w:w="28" w:type="dxa"/>
              <w:right w:w="28" w:type="dxa"/>
            </w:tcMar>
          </w:tcPr>
          <w:p w14:paraId="719BD76F" w14:textId="6A0E3874"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10 (11.9)</w:t>
            </w:r>
          </w:p>
        </w:tc>
      </w:tr>
      <w:tr w:rsidR="0061520E" w:rsidRPr="00F616EB" w14:paraId="48A5534A" w14:textId="77777777" w:rsidTr="00110F31">
        <w:tc>
          <w:tcPr>
            <w:tcW w:w="3402" w:type="dxa"/>
            <w:tcBorders>
              <w:top w:val="nil"/>
              <w:left w:val="nil"/>
              <w:bottom w:val="nil"/>
              <w:right w:val="nil"/>
            </w:tcBorders>
            <w:shd w:val="clear" w:color="auto" w:fill="FFFFFF"/>
            <w:tcMar>
              <w:left w:w="28" w:type="dxa"/>
              <w:right w:w="28" w:type="dxa"/>
            </w:tcMar>
          </w:tcPr>
          <w:p w14:paraId="2BF785BF" w14:textId="2A151383" w:rsidR="0061520E" w:rsidRPr="00F616EB" w:rsidRDefault="0061520E" w:rsidP="0061520E">
            <w:pPr>
              <w:spacing w:before="40" w:after="40"/>
              <w:rPr>
                <w:rFonts w:cstheme="minorHAnsi"/>
                <w:color w:val="000000" w:themeColor="text1"/>
                <w:sz w:val="20"/>
                <w:szCs w:val="20"/>
              </w:rPr>
            </w:pPr>
            <w:r w:rsidRPr="00F616EB">
              <w:rPr>
                <w:rFonts w:cstheme="minorHAnsi"/>
                <w:color w:val="000000" w:themeColor="text1"/>
                <w:sz w:val="20"/>
                <w:szCs w:val="20"/>
              </w:rPr>
              <w:t>Rash (various manifestations)</w:t>
            </w:r>
          </w:p>
        </w:tc>
        <w:tc>
          <w:tcPr>
            <w:tcW w:w="993" w:type="dxa"/>
            <w:tcBorders>
              <w:top w:val="nil"/>
              <w:left w:val="nil"/>
              <w:bottom w:val="nil"/>
              <w:right w:val="nil"/>
            </w:tcBorders>
            <w:shd w:val="clear" w:color="auto" w:fill="FFFFFF"/>
            <w:tcMar>
              <w:left w:w="28" w:type="dxa"/>
              <w:right w:w="28" w:type="dxa"/>
            </w:tcMar>
          </w:tcPr>
          <w:p w14:paraId="51D2C8F4" w14:textId="059A5ADD"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1E7406F1" w14:textId="0D9C94B3"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1 (4.5)</w:t>
            </w:r>
          </w:p>
        </w:tc>
        <w:tc>
          <w:tcPr>
            <w:tcW w:w="851" w:type="dxa"/>
            <w:tcBorders>
              <w:top w:val="nil"/>
              <w:left w:val="nil"/>
              <w:bottom w:val="nil"/>
              <w:right w:val="nil"/>
            </w:tcBorders>
            <w:shd w:val="clear" w:color="auto" w:fill="FFFFFF"/>
            <w:tcMar>
              <w:left w:w="28" w:type="dxa"/>
              <w:right w:w="28" w:type="dxa"/>
            </w:tcMar>
          </w:tcPr>
          <w:p w14:paraId="643B1E45" w14:textId="4B014449"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2 (7.4)</w:t>
            </w:r>
          </w:p>
        </w:tc>
        <w:tc>
          <w:tcPr>
            <w:tcW w:w="992" w:type="dxa"/>
            <w:tcBorders>
              <w:top w:val="nil"/>
              <w:left w:val="nil"/>
              <w:bottom w:val="nil"/>
              <w:right w:val="nil"/>
            </w:tcBorders>
            <w:shd w:val="clear" w:color="auto" w:fill="FFFFFF"/>
            <w:tcMar>
              <w:left w:w="28" w:type="dxa"/>
              <w:right w:w="28" w:type="dxa"/>
            </w:tcMar>
          </w:tcPr>
          <w:p w14:paraId="4B052B49" w14:textId="0AA57346"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4 (14.3)</w:t>
            </w:r>
          </w:p>
        </w:tc>
        <w:tc>
          <w:tcPr>
            <w:tcW w:w="1418" w:type="dxa"/>
            <w:tcBorders>
              <w:top w:val="nil"/>
              <w:left w:val="nil"/>
              <w:bottom w:val="nil"/>
              <w:right w:val="nil"/>
            </w:tcBorders>
            <w:shd w:val="clear" w:color="auto" w:fill="FFFFFF"/>
            <w:tcMar>
              <w:left w:w="28" w:type="dxa"/>
              <w:right w:w="28" w:type="dxa"/>
            </w:tcMar>
          </w:tcPr>
          <w:p w14:paraId="205A70C7" w14:textId="0843F43D" w:rsidR="0061520E" w:rsidRPr="00F616EB" w:rsidRDefault="0061520E" w:rsidP="0061520E">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7 (8.3)</w:t>
            </w:r>
          </w:p>
        </w:tc>
      </w:tr>
      <w:tr w:rsidR="00F616EB" w:rsidRPr="00F616EB" w14:paraId="15347190" w14:textId="77777777" w:rsidTr="00110F31">
        <w:tc>
          <w:tcPr>
            <w:tcW w:w="3402" w:type="dxa"/>
            <w:tcBorders>
              <w:top w:val="nil"/>
              <w:left w:val="nil"/>
              <w:bottom w:val="nil"/>
              <w:right w:val="nil"/>
            </w:tcBorders>
            <w:shd w:val="clear" w:color="auto" w:fill="FFFFFF"/>
            <w:tcMar>
              <w:left w:w="28" w:type="dxa"/>
              <w:right w:w="28" w:type="dxa"/>
            </w:tcMar>
          </w:tcPr>
          <w:p w14:paraId="55810BEA" w14:textId="71FB1091"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Diarrhoea</w:t>
            </w:r>
          </w:p>
        </w:tc>
        <w:tc>
          <w:tcPr>
            <w:tcW w:w="993" w:type="dxa"/>
            <w:tcBorders>
              <w:top w:val="nil"/>
              <w:left w:val="nil"/>
              <w:bottom w:val="nil"/>
              <w:right w:val="nil"/>
            </w:tcBorders>
            <w:shd w:val="clear" w:color="auto" w:fill="FFFFFF"/>
            <w:tcMar>
              <w:left w:w="28" w:type="dxa"/>
              <w:right w:w="28" w:type="dxa"/>
            </w:tcMar>
          </w:tcPr>
          <w:p w14:paraId="52B2ED38" w14:textId="47B7735A" w:rsidR="00F616EB" w:rsidRPr="00F616EB" w:rsidRDefault="00F616EB" w:rsidP="00F616EB">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354355AF" w14:textId="63D11417" w:rsidR="00F616EB" w:rsidRPr="00F616EB" w:rsidRDefault="00F616EB" w:rsidP="00F616EB">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2 (9.1)</w:t>
            </w:r>
          </w:p>
        </w:tc>
        <w:tc>
          <w:tcPr>
            <w:tcW w:w="851" w:type="dxa"/>
            <w:tcBorders>
              <w:top w:val="nil"/>
              <w:left w:val="nil"/>
              <w:bottom w:val="nil"/>
              <w:right w:val="nil"/>
            </w:tcBorders>
            <w:shd w:val="clear" w:color="auto" w:fill="FFFFFF"/>
            <w:tcMar>
              <w:left w:w="28" w:type="dxa"/>
              <w:right w:w="28" w:type="dxa"/>
            </w:tcMar>
          </w:tcPr>
          <w:p w14:paraId="733AFA54" w14:textId="66FCB2BC" w:rsidR="00F616EB" w:rsidRPr="00F616EB" w:rsidRDefault="00F616EB" w:rsidP="00F616EB">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0</w:t>
            </w:r>
          </w:p>
        </w:tc>
        <w:tc>
          <w:tcPr>
            <w:tcW w:w="992" w:type="dxa"/>
            <w:tcBorders>
              <w:top w:val="nil"/>
              <w:left w:val="nil"/>
              <w:bottom w:val="nil"/>
              <w:right w:val="nil"/>
            </w:tcBorders>
            <w:shd w:val="clear" w:color="auto" w:fill="FFFFFF"/>
            <w:tcMar>
              <w:left w:w="28" w:type="dxa"/>
              <w:right w:w="28" w:type="dxa"/>
            </w:tcMar>
          </w:tcPr>
          <w:p w14:paraId="38A26DF7" w14:textId="0761C438" w:rsidR="00F616EB" w:rsidRPr="00F616EB" w:rsidRDefault="00F616EB" w:rsidP="00F616EB">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4 (14.3)</w:t>
            </w:r>
          </w:p>
        </w:tc>
        <w:tc>
          <w:tcPr>
            <w:tcW w:w="1418" w:type="dxa"/>
            <w:tcBorders>
              <w:top w:val="nil"/>
              <w:left w:val="nil"/>
              <w:bottom w:val="nil"/>
              <w:right w:val="nil"/>
            </w:tcBorders>
            <w:shd w:val="clear" w:color="auto" w:fill="FFFFFF"/>
            <w:tcMar>
              <w:left w:w="28" w:type="dxa"/>
              <w:right w:w="28" w:type="dxa"/>
            </w:tcMar>
          </w:tcPr>
          <w:p w14:paraId="4A61638A" w14:textId="4CB15DBA" w:rsidR="00F616EB" w:rsidRPr="00F616EB" w:rsidRDefault="00F616EB" w:rsidP="00F616EB">
            <w:pPr>
              <w:spacing w:before="40" w:after="40"/>
              <w:jc w:val="center"/>
              <w:rPr>
                <w:rFonts w:cstheme="minorHAnsi"/>
                <w:color w:val="000000" w:themeColor="text1"/>
                <w:sz w:val="20"/>
                <w:szCs w:val="20"/>
                <w:lang w:val="en-US"/>
              </w:rPr>
            </w:pPr>
            <w:r w:rsidRPr="00F616EB">
              <w:rPr>
                <w:rFonts w:cstheme="minorHAnsi"/>
                <w:color w:val="000000" w:themeColor="text1"/>
                <w:sz w:val="20"/>
                <w:szCs w:val="20"/>
              </w:rPr>
              <w:t>6 (7.1)</w:t>
            </w:r>
          </w:p>
        </w:tc>
      </w:tr>
      <w:tr w:rsidR="00F616EB" w:rsidRPr="00F616EB" w14:paraId="14FF9E6F" w14:textId="77777777" w:rsidTr="00110F31">
        <w:tc>
          <w:tcPr>
            <w:tcW w:w="3402" w:type="dxa"/>
            <w:tcBorders>
              <w:top w:val="nil"/>
              <w:left w:val="nil"/>
              <w:bottom w:val="nil"/>
              <w:right w:val="nil"/>
            </w:tcBorders>
            <w:shd w:val="clear" w:color="auto" w:fill="FFFFFF"/>
            <w:tcMar>
              <w:left w:w="28" w:type="dxa"/>
              <w:right w:w="28" w:type="dxa"/>
            </w:tcMar>
          </w:tcPr>
          <w:p w14:paraId="7BAF13B0" w14:textId="05040B11"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Alanine aminotransferase ↑</w:t>
            </w:r>
          </w:p>
        </w:tc>
        <w:tc>
          <w:tcPr>
            <w:tcW w:w="993" w:type="dxa"/>
            <w:tcBorders>
              <w:top w:val="nil"/>
              <w:left w:val="nil"/>
              <w:bottom w:val="nil"/>
              <w:right w:val="nil"/>
            </w:tcBorders>
            <w:shd w:val="clear" w:color="auto" w:fill="FFFFFF"/>
            <w:tcMar>
              <w:left w:w="28" w:type="dxa"/>
              <w:right w:w="28" w:type="dxa"/>
            </w:tcMar>
          </w:tcPr>
          <w:p w14:paraId="06934DE3" w14:textId="072939A3"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5C1FB62F" w14:textId="5394C701"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(4.5)</w:t>
            </w:r>
          </w:p>
        </w:tc>
        <w:tc>
          <w:tcPr>
            <w:tcW w:w="851" w:type="dxa"/>
            <w:tcBorders>
              <w:top w:val="nil"/>
              <w:left w:val="nil"/>
              <w:bottom w:val="nil"/>
              <w:right w:val="nil"/>
            </w:tcBorders>
            <w:shd w:val="clear" w:color="auto" w:fill="FFFFFF"/>
            <w:tcMar>
              <w:left w:w="28" w:type="dxa"/>
              <w:right w:w="28" w:type="dxa"/>
            </w:tcMar>
          </w:tcPr>
          <w:p w14:paraId="479D162B" w14:textId="0DA35253"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(3.7)</w:t>
            </w:r>
          </w:p>
        </w:tc>
        <w:tc>
          <w:tcPr>
            <w:tcW w:w="992" w:type="dxa"/>
            <w:tcBorders>
              <w:top w:val="nil"/>
              <w:left w:val="nil"/>
              <w:bottom w:val="nil"/>
              <w:right w:val="nil"/>
            </w:tcBorders>
            <w:shd w:val="clear" w:color="auto" w:fill="FFFFFF"/>
            <w:tcMar>
              <w:left w:w="28" w:type="dxa"/>
              <w:right w:w="28" w:type="dxa"/>
            </w:tcMar>
          </w:tcPr>
          <w:p w14:paraId="70685B71" w14:textId="4D99EF47"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4 (14.3)</w:t>
            </w:r>
          </w:p>
        </w:tc>
        <w:tc>
          <w:tcPr>
            <w:tcW w:w="1418" w:type="dxa"/>
            <w:tcBorders>
              <w:top w:val="nil"/>
              <w:left w:val="nil"/>
              <w:bottom w:val="nil"/>
              <w:right w:val="nil"/>
            </w:tcBorders>
            <w:shd w:val="clear" w:color="auto" w:fill="FFFFFF"/>
            <w:tcMar>
              <w:left w:w="28" w:type="dxa"/>
              <w:right w:w="28" w:type="dxa"/>
            </w:tcMar>
          </w:tcPr>
          <w:p w14:paraId="6E88E680" w14:textId="257D4851"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6 (7.1)</w:t>
            </w:r>
          </w:p>
        </w:tc>
      </w:tr>
      <w:tr w:rsidR="00F616EB" w:rsidRPr="00F616EB" w14:paraId="35D7B1A8" w14:textId="77777777" w:rsidTr="00110F31">
        <w:tc>
          <w:tcPr>
            <w:tcW w:w="3402" w:type="dxa"/>
            <w:tcBorders>
              <w:top w:val="nil"/>
              <w:left w:val="nil"/>
              <w:bottom w:val="nil"/>
              <w:right w:val="nil"/>
            </w:tcBorders>
            <w:shd w:val="clear" w:color="auto" w:fill="FFFFFF"/>
            <w:tcMar>
              <w:left w:w="28" w:type="dxa"/>
              <w:right w:w="28" w:type="dxa"/>
            </w:tcMar>
          </w:tcPr>
          <w:p w14:paraId="48259C0B" w14:textId="2CD13F0E"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Asthenia</w:t>
            </w:r>
          </w:p>
        </w:tc>
        <w:tc>
          <w:tcPr>
            <w:tcW w:w="993" w:type="dxa"/>
            <w:tcBorders>
              <w:top w:val="nil"/>
              <w:left w:val="nil"/>
              <w:bottom w:val="nil"/>
              <w:right w:val="nil"/>
            </w:tcBorders>
            <w:shd w:val="clear" w:color="auto" w:fill="FFFFFF"/>
            <w:tcMar>
              <w:left w:w="28" w:type="dxa"/>
              <w:right w:w="28" w:type="dxa"/>
            </w:tcMar>
          </w:tcPr>
          <w:p w14:paraId="65E03905" w14:textId="726CCF8E"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65F86BA7" w14:textId="536361C3"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(4.5)</w:t>
            </w:r>
          </w:p>
        </w:tc>
        <w:tc>
          <w:tcPr>
            <w:tcW w:w="851" w:type="dxa"/>
            <w:tcBorders>
              <w:top w:val="nil"/>
              <w:left w:val="nil"/>
              <w:bottom w:val="nil"/>
              <w:right w:val="nil"/>
            </w:tcBorders>
            <w:shd w:val="clear" w:color="auto" w:fill="FFFFFF"/>
            <w:tcMar>
              <w:left w:w="28" w:type="dxa"/>
              <w:right w:w="28" w:type="dxa"/>
            </w:tcMar>
          </w:tcPr>
          <w:p w14:paraId="0646C2A8" w14:textId="26AA5454"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(7.4)</w:t>
            </w:r>
          </w:p>
        </w:tc>
        <w:tc>
          <w:tcPr>
            <w:tcW w:w="992" w:type="dxa"/>
            <w:tcBorders>
              <w:top w:val="nil"/>
              <w:left w:val="nil"/>
              <w:bottom w:val="nil"/>
              <w:right w:val="nil"/>
            </w:tcBorders>
            <w:shd w:val="clear" w:color="auto" w:fill="FFFFFF"/>
            <w:tcMar>
              <w:left w:w="28" w:type="dxa"/>
              <w:right w:w="28" w:type="dxa"/>
            </w:tcMar>
          </w:tcPr>
          <w:p w14:paraId="63A66A77" w14:textId="6F71CFDD"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(7.1)</w:t>
            </w:r>
          </w:p>
        </w:tc>
        <w:tc>
          <w:tcPr>
            <w:tcW w:w="1418" w:type="dxa"/>
            <w:tcBorders>
              <w:top w:val="nil"/>
              <w:left w:val="nil"/>
              <w:bottom w:val="nil"/>
              <w:right w:val="nil"/>
            </w:tcBorders>
            <w:shd w:val="clear" w:color="auto" w:fill="FFFFFF"/>
            <w:tcMar>
              <w:left w:w="28" w:type="dxa"/>
              <w:right w:w="28" w:type="dxa"/>
            </w:tcMar>
          </w:tcPr>
          <w:p w14:paraId="024F435B" w14:textId="7C4037B5"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5 (6.0)</w:t>
            </w:r>
          </w:p>
        </w:tc>
      </w:tr>
      <w:tr w:rsidR="00F616EB" w:rsidRPr="00F616EB" w14:paraId="19008EB1" w14:textId="77777777" w:rsidTr="00110F31">
        <w:tc>
          <w:tcPr>
            <w:tcW w:w="3402" w:type="dxa"/>
            <w:tcBorders>
              <w:top w:val="nil"/>
              <w:left w:val="nil"/>
              <w:bottom w:val="nil"/>
              <w:right w:val="nil"/>
            </w:tcBorders>
            <w:shd w:val="clear" w:color="auto" w:fill="FFFFFF"/>
            <w:tcMar>
              <w:left w:w="28" w:type="dxa"/>
              <w:right w:w="28" w:type="dxa"/>
            </w:tcMar>
          </w:tcPr>
          <w:p w14:paraId="3032F083" w14:textId="23E9B9C4"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Fatigue</w:t>
            </w:r>
          </w:p>
        </w:tc>
        <w:tc>
          <w:tcPr>
            <w:tcW w:w="993" w:type="dxa"/>
            <w:tcBorders>
              <w:top w:val="nil"/>
              <w:left w:val="nil"/>
              <w:bottom w:val="nil"/>
              <w:right w:val="nil"/>
            </w:tcBorders>
            <w:shd w:val="clear" w:color="auto" w:fill="FFFFFF"/>
            <w:tcMar>
              <w:left w:w="28" w:type="dxa"/>
              <w:right w:w="28" w:type="dxa"/>
            </w:tcMar>
          </w:tcPr>
          <w:p w14:paraId="2D41AEA7" w14:textId="58886A25"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4BD60712" w14:textId="045CF466"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(4.5)</w:t>
            </w:r>
          </w:p>
        </w:tc>
        <w:tc>
          <w:tcPr>
            <w:tcW w:w="851" w:type="dxa"/>
            <w:tcBorders>
              <w:top w:val="nil"/>
              <w:left w:val="nil"/>
              <w:bottom w:val="nil"/>
              <w:right w:val="nil"/>
            </w:tcBorders>
            <w:shd w:val="clear" w:color="auto" w:fill="FFFFFF"/>
            <w:tcMar>
              <w:left w:w="28" w:type="dxa"/>
              <w:right w:w="28" w:type="dxa"/>
            </w:tcMar>
          </w:tcPr>
          <w:p w14:paraId="6CDA258A" w14:textId="7D189031"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3 (11.1)</w:t>
            </w:r>
          </w:p>
        </w:tc>
        <w:tc>
          <w:tcPr>
            <w:tcW w:w="992" w:type="dxa"/>
            <w:tcBorders>
              <w:top w:val="nil"/>
              <w:left w:val="nil"/>
              <w:bottom w:val="nil"/>
              <w:right w:val="nil"/>
            </w:tcBorders>
            <w:shd w:val="clear" w:color="auto" w:fill="FFFFFF"/>
            <w:tcMar>
              <w:left w:w="28" w:type="dxa"/>
              <w:right w:w="28" w:type="dxa"/>
            </w:tcMar>
          </w:tcPr>
          <w:p w14:paraId="07DEFD79" w14:textId="3260AF46"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(3.6)</w:t>
            </w:r>
          </w:p>
        </w:tc>
        <w:tc>
          <w:tcPr>
            <w:tcW w:w="1418" w:type="dxa"/>
            <w:tcBorders>
              <w:top w:val="nil"/>
              <w:left w:val="nil"/>
              <w:bottom w:val="nil"/>
              <w:right w:val="nil"/>
            </w:tcBorders>
            <w:shd w:val="clear" w:color="auto" w:fill="FFFFFF"/>
            <w:tcMar>
              <w:left w:w="28" w:type="dxa"/>
              <w:right w:w="28" w:type="dxa"/>
            </w:tcMar>
          </w:tcPr>
          <w:p w14:paraId="10AEB273" w14:textId="4230D37E"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5 (6.0)</w:t>
            </w:r>
          </w:p>
        </w:tc>
      </w:tr>
      <w:tr w:rsidR="00F616EB" w:rsidRPr="00F616EB" w14:paraId="16BE32C7" w14:textId="77777777" w:rsidTr="00110F31">
        <w:tc>
          <w:tcPr>
            <w:tcW w:w="3402" w:type="dxa"/>
            <w:tcBorders>
              <w:top w:val="nil"/>
              <w:left w:val="nil"/>
              <w:bottom w:val="nil"/>
              <w:right w:val="nil"/>
            </w:tcBorders>
            <w:shd w:val="clear" w:color="auto" w:fill="FFFFFF"/>
            <w:tcMar>
              <w:left w:w="28" w:type="dxa"/>
              <w:right w:w="28" w:type="dxa"/>
            </w:tcMar>
          </w:tcPr>
          <w:p w14:paraId="3992A22B" w14:textId="1851E775"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Pruritus</w:t>
            </w:r>
          </w:p>
        </w:tc>
        <w:tc>
          <w:tcPr>
            <w:tcW w:w="993" w:type="dxa"/>
            <w:tcBorders>
              <w:top w:val="nil"/>
              <w:left w:val="nil"/>
              <w:bottom w:val="nil"/>
              <w:right w:val="nil"/>
            </w:tcBorders>
            <w:shd w:val="clear" w:color="auto" w:fill="FFFFFF"/>
            <w:tcMar>
              <w:left w:w="28" w:type="dxa"/>
              <w:right w:w="28" w:type="dxa"/>
            </w:tcMar>
          </w:tcPr>
          <w:p w14:paraId="49641F94" w14:textId="19293B23"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211C4BBB" w14:textId="5DCE7A11"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851" w:type="dxa"/>
            <w:tcBorders>
              <w:top w:val="nil"/>
              <w:left w:val="nil"/>
              <w:bottom w:val="nil"/>
              <w:right w:val="nil"/>
            </w:tcBorders>
            <w:shd w:val="clear" w:color="auto" w:fill="FFFFFF"/>
            <w:tcMar>
              <w:left w:w="28" w:type="dxa"/>
              <w:right w:w="28" w:type="dxa"/>
            </w:tcMar>
          </w:tcPr>
          <w:p w14:paraId="55920C0A" w14:textId="552DBB89"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3 (11.1)</w:t>
            </w:r>
          </w:p>
        </w:tc>
        <w:tc>
          <w:tcPr>
            <w:tcW w:w="992" w:type="dxa"/>
            <w:tcBorders>
              <w:top w:val="nil"/>
              <w:left w:val="nil"/>
              <w:bottom w:val="nil"/>
              <w:right w:val="nil"/>
            </w:tcBorders>
            <w:shd w:val="clear" w:color="auto" w:fill="FFFFFF"/>
            <w:tcMar>
              <w:left w:w="28" w:type="dxa"/>
              <w:right w:w="28" w:type="dxa"/>
            </w:tcMar>
          </w:tcPr>
          <w:p w14:paraId="5EE4C3EE" w14:textId="56805D0C"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(3.6)</w:t>
            </w:r>
          </w:p>
        </w:tc>
        <w:tc>
          <w:tcPr>
            <w:tcW w:w="1418" w:type="dxa"/>
            <w:tcBorders>
              <w:top w:val="nil"/>
              <w:left w:val="nil"/>
              <w:bottom w:val="nil"/>
              <w:right w:val="nil"/>
            </w:tcBorders>
            <w:shd w:val="clear" w:color="auto" w:fill="FFFFFF"/>
            <w:tcMar>
              <w:left w:w="28" w:type="dxa"/>
              <w:right w:w="28" w:type="dxa"/>
            </w:tcMar>
          </w:tcPr>
          <w:p w14:paraId="093D7BAC" w14:textId="157E6CE1"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4 (4.8)</w:t>
            </w:r>
          </w:p>
        </w:tc>
      </w:tr>
      <w:tr w:rsidR="00F616EB" w:rsidRPr="00F616EB" w14:paraId="41D124DD" w14:textId="77777777" w:rsidTr="00110F31">
        <w:tc>
          <w:tcPr>
            <w:tcW w:w="3402" w:type="dxa"/>
            <w:tcBorders>
              <w:top w:val="nil"/>
              <w:left w:val="nil"/>
              <w:bottom w:val="nil"/>
              <w:right w:val="nil"/>
            </w:tcBorders>
            <w:shd w:val="clear" w:color="auto" w:fill="FFFFFF"/>
            <w:tcMar>
              <w:left w:w="28" w:type="dxa"/>
              <w:right w:w="28" w:type="dxa"/>
            </w:tcMar>
          </w:tcPr>
          <w:p w14:paraId="70D5ADBC" w14:textId="16093754"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Aspartate aminotransferase ↑</w:t>
            </w:r>
          </w:p>
        </w:tc>
        <w:tc>
          <w:tcPr>
            <w:tcW w:w="993" w:type="dxa"/>
            <w:tcBorders>
              <w:top w:val="nil"/>
              <w:left w:val="nil"/>
              <w:bottom w:val="nil"/>
              <w:right w:val="nil"/>
            </w:tcBorders>
            <w:shd w:val="clear" w:color="auto" w:fill="FFFFFF"/>
            <w:tcMar>
              <w:left w:w="28" w:type="dxa"/>
              <w:right w:w="28" w:type="dxa"/>
            </w:tcMar>
          </w:tcPr>
          <w:p w14:paraId="5076E97A" w14:textId="7A9C5E50"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7CE7C19C" w14:textId="5BDB2A3B"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(4.5)</w:t>
            </w:r>
          </w:p>
        </w:tc>
        <w:tc>
          <w:tcPr>
            <w:tcW w:w="851" w:type="dxa"/>
            <w:tcBorders>
              <w:top w:val="nil"/>
              <w:left w:val="nil"/>
              <w:bottom w:val="nil"/>
              <w:right w:val="nil"/>
            </w:tcBorders>
            <w:shd w:val="clear" w:color="auto" w:fill="FFFFFF"/>
            <w:tcMar>
              <w:left w:w="28" w:type="dxa"/>
              <w:right w:w="28" w:type="dxa"/>
            </w:tcMar>
          </w:tcPr>
          <w:p w14:paraId="61FB8B22" w14:textId="01F00D5A"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992" w:type="dxa"/>
            <w:tcBorders>
              <w:top w:val="nil"/>
              <w:left w:val="nil"/>
              <w:bottom w:val="nil"/>
              <w:right w:val="nil"/>
            </w:tcBorders>
            <w:shd w:val="clear" w:color="auto" w:fill="FFFFFF"/>
            <w:tcMar>
              <w:left w:w="28" w:type="dxa"/>
              <w:right w:w="28" w:type="dxa"/>
            </w:tcMar>
          </w:tcPr>
          <w:p w14:paraId="0A159529" w14:textId="713CE918"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3 (10.7)</w:t>
            </w:r>
          </w:p>
        </w:tc>
        <w:tc>
          <w:tcPr>
            <w:tcW w:w="1418" w:type="dxa"/>
            <w:tcBorders>
              <w:top w:val="nil"/>
              <w:left w:val="nil"/>
              <w:bottom w:val="nil"/>
              <w:right w:val="nil"/>
            </w:tcBorders>
            <w:shd w:val="clear" w:color="auto" w:fill="FFFFFF"/>
            <w:tcMar>
              <w:left w:w="28" w:type="dxa"/>
              <w:right w:w="28" w:type="dxa"/>
            </w:tcMar>
          </w:tcPr>
          <w:p w14:paraId="7907F865" w14:textId="48C72ECA"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4 (4.8)</w:t>
            </w:r>
          </w:p>
        </w:tc>
      </w:tr>
      <w:tr w:rsidR="00F616EB" w:rsidRPr="00F616EB" w14:paraId="4ED069A3" w14:textId="77777777" w:rsidTr="00110F31">
        <w:tc>
          <w:tcPr>
            <w:tcW w:w="3402" w:type="dxa"/>
            <w:tcBorders>
              <w:top w:val="nil"/>
              <w:left w:val="nil"/>
              <w:bottom w:val="nil"/>
              <w:right w:val="nil"/>
            </w:tcBorders>
            <w:shd w:val="clear" w:color="auto" w:fill="FFFFFF"/>
            <w:tcMar>
              <w:left w:w="28" w:type="dxa"/>
              <w:right w:w="28" w:type="dxa"/>
            </w:tcMar>
          </w:tcPr>
          <w:p w14:paraId="7135F050" w14:textId="2D8C44DA"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ɣ-Glutamyl transferase ↑</w:t>
            </w:r>
          </w:p>
        </w:tc>
        <w:tc>
          <w:tcPr>
            <w:tcW w:w="993" w:type="dxa"/>
            <w:tcBorders>
              <w:top w:val="nil"/>
              <w:left w:val="nil"/>
              <w:bottom w:val="nil"/>
              <w:right w:val="nil"/>
            </w:tcBorders>
            <w:shd w:val="clear" w:color="auto" w:fill="FFFFFF"/>
            <w:tcMar>
              <w:left w:w="28" w:type="dxa"/>
              <w:right w:w="28" w:type="dxa"/>
            </w:tcMar>
          </w:tcPr>
          <w:p w14:paraId="3D512865" w14:textId="793A3AFB"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6D8783EE" w14:textId="49F59C94"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(9.1)</w:t>
            </w:r>
          </w:p>
        </w:tc>
        <w:tc>
          <w:tcPr>
            <w:tcW w:w="851" w:type="dxa"/>
            <w:tcBorders>
              <w:top w:val="nil"/>
              <w:left w:val="nil"/>
              <w:bottom w:val="nil"/>
              <w:right w:val="nil"/>
            </w:tcBorders>
            <w:shd w:val="clear" w:color="auto" w:fill="FFFFFF"/>
            <w:tcMar>
              <w:left w:w="28" w:type="dxa"/>
              <w:right w:w="28" w:type="dxa"/>
            </w:tcMar>
          </w:tcPr>
          <w:p w14:paraId="02DD281E" w14:textId="6E84BB18"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992" w:type="dxa"/>
            <w:tcBorders>
              <w:top w:val="nil"/>
              <w:left w:val="nil"/>
              <w:bottom w:val="nil"/>
              <w:right w:val="nil"/>
            </w:tcBorders>
            <w:shd w:val="clear" w:color="auto" w:fill="FFFFFF"/>
            <w:tcMar>
              <w:left w:w="28" w:type="dxa"/>
              <w:right w:w="28" w:type="dxa"/>
            </w:tcMar>
          </w:tcPr>
          <w:p w14:paraId="7958B4AD" w14:textId="750A860C"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(7.1)</w:t>
            </w:r>
          </w:p>
        </w:tc>
        <w:tc>
          <w:tcPr>
            <w:tcW w:w="1418" w:type="dxa"/>
            <w:tcBorders>
              <w:top w:val="nil"/>
              <w:left w:val="nil"/>
              <w:bottom w:val="nil"/>
              <w:right w:val="nil"/>
            </w:tcBorders>
            <w:shd w:val="clear" w:color="auto" w:fill="FFFFFF"/>
            <w:tcMar>
              <w:left w:w="28" w:type="dxa"/>
              <w:right w:w="28" w:type="dxa"/>
            </w:tcMar>
          </w:tcPr>
          <w:p w14:paraId="5B185060" w14:textId="2FC55DCA"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4 (4.8)</w:t>
            </w:r>
          </w:p>
        </w:tc>
      </w:tr>
      <w:tr w:rsidR="00F616EB" w:rsidRPr="00F616EB" w14:paraId="3A862643" w14:textId="77777777" w:rsidTr="00110F31">
        <w:tc>
          <w:tcPr>
            <w:tcW w:w="3402" w:type="dxa"/>
            <w:tcBorders>
              <w:top w:val="nil"/>
              <w:left w:val="nil"/>
              <w:bottom w:val="nil"/>
              <w:right w:val="nil"/>
            </w:tcBorders>
            <w:shd w:val="clear" w:color="auto" w:fill="FFFFFF"/>
            <w:tcMar>
              <w:left w:w="28" w:type="dxa"/>
              <w:right w:w="28" w:type="dxa"/>
            </w:tcMar>
          </w:tcPr>
          <w:p w14:paraId="26E76AD6" w14:textId="7927BACE"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Blood alkaline phosphatase ↑</w:t>
            </w:r>
          </w:p>
        </w:tc>
        <w:tc>
          <w:tcPr>
            <w:tcW w:w="993" w:type="dxa"/>
            <w:tcBorders>
              <w:top w:val="nil"/>
              <w:left w:val="nil"/>
              <w:bottom w:val="nil"/>
              <w:right w:val="nil"/>
            </w:tcBorders>
            <w:shd w:val="clear" w:color="auto" w:fill="FFFFFF"/>
            <w:tcMar>
              <w:left w:w="28" w:type="dxa"/>
              <w:right w:w="28" w:type="dxa"/>
            </w:tcMar>
          </w:tcPr>
          <w:p w14:paraId="16FA554F" w14:textId="04366F18"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1CA768B4" w14:textId="3750A1BE"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(4.5)</w:t>
            </w:r>
          </w:p>
        </w:tc>
        <w:tc>
          <w:tcPr>
            <w:tcW w:w="851" w:type="dxa"/>
            <w:tcBorders>
              <w:top w:val="nil"/>
              <w:left w:val="nil"/>
              <w:bottom w:val="nil"/>
              <w:right w:val="nil"/>
            </w:tcBorders>
            <w:shd w:val="clear" w:color="auto" w:fill="FFFFFF"/>
            <w:tcMar>
              <w:left w:w="28" w:type="dxa"/>
              <w:right w:w="28" w:type="dxa"/>
            </w:tcMar>
          </w:tcPr>
          <w:p w14:paraId="5D689349" w14:textId="2B59CE71"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992" w:type="dxa"/>
            <w:tcBorders>
              <w:top w:val="nil"/>
              <w:left w:val="nil"/>
              <w:bottom w:val="nil"/>
              <w:right w:val="nil"/>
            </w:tcBorders>
            <w:shd w:val="clear" w:color="auto" w:fill="FFFFFF"/>
            <w:tcMar>
              <w:left w:w="28" w:type="dxa"/>
              <w:right w:w="28" w:type="dxa"/>
            </w:tcMar>
          </w:tcPr>
          <w:p w14:paraId="0FE745D1" w14:textId="2F51856A"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(7.1)</w:t>
            </w:r>
          </w:p>
        </w:tc>
        <w:tc>
          <w:tcPr>
            <w:tcW w:w="1418" w:type="dxa"/>
            <w:tcBorders>
              <w:top w:val="nil"/>
              <w:left w:val="nil"/>
              <w:bottom w:val="nil"/>
              <w:right w:val="nil"/>
            </w:tcBorders>
            <w:shd w:val="clear" w:color="auto" w:fill="FFFFFF"/>
            <w:tcMar>
              <w:left w:w="28" w:type="dxa"/>
              <w:right w:w="28" w:type="dxa"/>
            </w:tcMar>
          </w:tcPr>
          <w:p w14:paraId="366E24CA" w14:textId="65780E78"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3 (3.6)</w:t>
            </w:r>
          </w:p>
        </w:tc>
      </w:tr>
      <w:tr w:rsidR="00F616EB" w:rsidRPr="00F616EB" w14:paraId="67D33FE5" w14:textId="77777777" w:rsidTr="00110F31">
        <w:tc>
          <w:tcPr>
            <w:tcW w:w="3402" w:type="dxa"/>
            <w:tcBorders>
              <w:top w:val="nil"/>
              <w:left w:val="nil"/>
              <w:bottom w:val="nil"/>
              <w:right w:val="nil"/>
            </w:tcBorders>
            <w:shd w:val="clear" w:color="auto" w:fill="FFFFFF"/>
            <w:tcMar>
              <w:left w:w="28" w:type="dxa"/>
              <w:right w:w="28" w:type="dxa"/>
            </w:tcMar>
          </w:tcPr>
          <w:p w14:paraId="4CD4D933" w14:textId="4DF7863B"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Anaemia</w:t>
            </w:r>
          </w:p>
        </w:tc>
        <w:tc>
          <w:tcPr>
            <w:tcW w:w="993" w:type="dxa"/>
            <w:tcBorders>
              <w:top w:val="nil"/>
              <w:left w:val="nil"/>
              <w:bottom w:val="nil"/>
              <w:right w:val="nil"/>
            </w:tcBorders>
            <w:shd w:val="clear" w:color="auto" w:fill="FFFFFF"/>
            <w:tcMar>
              <w:left w:w="28" w:type="dxa"/>
              <w:right w:w="28" w:type="dxa"/>
            </w:tcMar>
          </w:tcPr>
          <w:p w14:paraId="1C9D450F" w14:textId="67C86297"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(14.3)</w:t>
            </w:r>
          </w:p>
        </w:tc>
        <w:tc>
          <w:tcPr>
            <w:tcW w:w="1275" w:type="dxa"/>
            <w:tcBorders>
              <w:top w:val="nil"/>
              <w:left w:val="nil"/>
              <w:bottom w:val="nil"/>
              <w:right w:val="nil"/>
            </w:tcBorders>
            <w:shd w:val="clear" w:color="auto" w:fill="FFFFFF"/>
            <w:tcMar>
              <w:left w:w="28" w:type="dxa"/>
              <w:right w:w="28" w:type="dxa"/>
            </w:tcMar>
          </w:tcPr>
          <w:p w14:paraId="586F0785" w14:textId="0D7B34D8"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851" w:type="dxa"/>
            <w:tcBorders>
              <w:top w:val="nil"/>
              <w:left w:val="nil"/>
              <w:bottom w:val="nil"/>
              <w:right w:val="nil"/>
            </w:tcBorders>
            <w:shd w:val="clear" w:color="auto" w:fill="FFFFFF"/>
            <w:tcMar>
              <w:left w:w="28" w:type="dxa"/>
              <w:right w:w="28" w:type="dxa"/>
            </w:tcMar>
          </w:tcPr>
          <w:p w14:paraId="36806690" w14:textId="4AA6EADB"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(7.4)</w:t>
            </w:r>
          </w:p>
        </w:tc>
        <w:tc>
          <w:tcPr>
            <w:tcW w:w="992" w:type="dxa"/>
            <w:tcBorders>
              <w:top w:val="nil"/>
              <w:left w:val="nil"/>
              <w:bottom w:val="nil"/>
              <w:right w:val="nil"/>
            </w:tcBorders>
            <w:shd w:val="clear" w:color="auto" w:fill="FFFFFF"/>
            <w:tcMar>
              <w:left w:w="28" w:type="dxa"/>
              <w:right w:w="28" w:type="dxa"/>
            </w:tcMar>
          </w:tcPr>
          <w:p w14:paraId="76EB75B4" w14:textId="008CA9BB"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418" w:type="dxa"/>
            <w:tcBorders>
              <w:top w:val="nil"/>
              <w:left w:val="nil"/>
              <w:bottom w:val="nil"/>
              <w:right w:val="nil"/>
            </w:tcBorders>
            <w:shd w:val="clear" w:color="auto" w:fill="FFFFFF"/>
            <w:tcMar>
              <w:left w:w="28" w:type="dxa"/>
              <w:right w:w="28" w:type="dxa"/>
            </w:tcMar>
          </w:tcPr>
          <w:p w14:paraId="420F80F6" w14:textId="2F581A11"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3 (3.6)</w:t>
            </w:r>
          </w:p>
        </w:tc>
      </w:tr>
      <w:tr w:rsidR="00F616EB" w:rsidRPr="00F616EB" w14:paraId="3882BC73" w14:textId="77777777" w:rsidTr="00110F31">
        <w:tc>
          <w:tcPr>
            <w:tcW w:w="3402" w:type="dxa"/>
            <w:tcBorders>
              <w:top w:val="nil"/>
              <w:left w:val="nil"/>
              <w:bottom w:val="nil"/>
              <w:right w:val="nil"/>
            </w:tcBorders>
            <w:shd w:val="clear" w:color="auto" w:fill="FFFFFF"/>
            <w:tcMar>
              <w:left w:w="28" w:type="dxa"/>
              <w:right w:w="28" w:type="dxa"/>
            </w:tcMar>
          </w:tcPr>
          <w:p w14:paraId="35A8627F" w14:textId="61ECBB51"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Arthralgia</w:t>
            </w:r>
          </w:p>
        </w:tc>
        <w:tc>
          <w:tcPr>
            <w:tcW w:w="993" w:type="dxa"/>
            <w:tcBorders>
              <w:top w:val="nil"/>
              <w:left w:val="nil"/>
              <w:bottom w:val="nil"/>
              <w:right w:val="nil"/>
            </w:tcBorders>
            <w:shd w:val="clear" w:color="auto" w:fill="FFFFFF"/>
            <w:tcMar>
              <w:left w:w="28" w:type="dxa"/>
              <w:right w:w="28" w:type="dxa"/>
            </w:tcMar>
          </w:tcPr>
          <w:p w14:paraId="17D770AA" w14:textId="51DB0028"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3F09EB05" w14:textId="59A1EC13"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851" w:type="dxa"/>
            <w:tcBorders>
              <w:top w:val="nil"/>
              <w:left w:val="nil"/>
              <w:bottom w:val="nil"/>
              <w:right w:val="nil"/>
            </w:tcBorders>
            <w:shd w:val="clear" w:color="auto" w:fill="FFFFFF"/>
            <w:tcMar>
              <w:left w:w="28" w:type="dxa"/>
              <w:right w:w="28" w:type="dxa"/>
            </w:tcMar>
          </w:tcPr>
          <w:p w14:paraId="7A8A00AB" w14:textId="33EA842C"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(7.4)</w:t>
            </w:r>
          </w:p>
        </w:tc>
        <w:tc>
          <w:tcPr>
            <w:tcW w:w="992" w:type="dxa"/>
            <w:tcBorders>
              <w:top w:val="nil"/>
              <w:left w:val="nil"/>
              <w:bottom w:val="nil"/>
              <w:right w:val="nil"/>
            </w:tcBorders>
            <w:shd w:val="clear" w:color="auto" w:fill="FFFFFF"/>
            <w:tcMar>
              <w:left w:w="28" w:type="dxa"/>
              <w:right w:w="28" w:type="dxa"/>
            </w:tcMar>
          </w:tcPr>
          <w:p w14:paraId="1B48A8DE" w14:textId="46DD5BB5"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(3.6)</w:t>
            </w:r>
          </w:p>
        </w:tc>
        <w:tc>
          <w:tcPr>
            <w:tcW w:w="1418" w:type="dxa"/>
            <w:tcBorders>
              <w:top w:val="nil"/>
              <w:left w:val="nil"/>
              <w:bottom w:val="nil"/>
              <w:right w:val="nil"/>
            </w:tcBorders>
            <w:shd w:val="clear" w:color="auto" w:fill="FFFFFF"/>
            <w:tcMar>
              <w:left w:w="28" w:type="dxa"/>
              <w:right w:w="28" w:type="dxa"/>
            </w:tcMar>
          </w:tcPr>
          <w:p w14:paraId="4D831328" w14:textId="351412C9"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3 (3.6)</w:t>
            </w:r>
          </w:p>
        </w:tc>
      </w:tr>
      <w:tr w:rsidR="00F616EB" w:rsidRPr="00F616EB" w14:paraId="6A03DDA7" w14:textId="77777777" w:rsidTr="00110F31">
        <w:tc>
          <w:tcPr>
            <w:tcW w:w="3402" w:type="dxa"/>
            <w:tcBorders>
              <w:top w:val="nil"/>
              <w:left w:val="nil"/>
              <w:bottom w:val="nil"/>
              <w:right w:val="nil"/>
            </w:tcBorders>
            <w:shd w:val="clear" w:color="auto" w:fill="FFFFFF"/>
            <w:tcMar>
              <w:left w:w="28" w:type="dxa"/>
              <w:right w:w="28" w:type="dxa"/>
            </w:tcMar>
          </w:tcPr>
          <w:p w14:paraId="0ED9A8B8" w14:textId="05D29157"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Headache</w:t>
            </w:r>
          </w:p>
        </w:tc>
        <w:tc>
          <w:tcPr>
            <w:tcW w:w="993" w:type="dxa"/>
            <w:tcBorders>
              <w:top w:val="nil"/>
              <w:left w:val="nil"/>
              <w:bottom w:val="nil"/>
              <w:right w:val="nil"/>
            </w:tcBorders>
            <w:shd w:val="clear" w:color="auto" w:fill="FFFFFF"/>
            <w:tcMar>
              <w:left w:w="28" w:type="dxa"/>
              <w:right w:w="28" w:type="dxa"/>
            </w:tcMar>
          </w:tcPr>
          <w:p w14:paraId="4F2A48ED" w14:textId="7A1E7CE3"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243C7AC6" w14:textId="7EA9F8D6"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(9.1)</w:t>
            </w:r>
          </w:p>
        </w:tc>
        <w:tc>
          <w:tcPr>
            <w:tcW w:w="851" w:type="dxa"/>
            <w:tcBorders>
              <w:top w:val="nil"/>
              <w:left w:val="nil"/>
              <w:bottom w:val="nil"/>
              <w:right w:val="nil"/>
            </w:tcBorders>
            <w:shd w:val="clear" w:color="auto" w:fill="FFFFFF"/>
            <w:tcMar>
              <w:left w:w="28" w:type="dxa"/>
              <w:right w:w="28" w:type="dxa"/>
            </w:tcMar>
          </w:tcPr>
          <w:p w14:paraId="3F3ECD21" w14:textId="59BC2AFE"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(3.7)</w:t>
            </w:r>
          </w:p>
        </w:tc>
        <w:tc>
          <w:tcPr>
            <w:tcW w:w="992" w:type="dxa"/>
            <w:tcBorders>
              <w:top w:val="nil"/>
              <w:left w:val="nil"/>
              <w:bottom w:val="nil"/>
              <w:right w:val="nil"/>
            </w:tcBorders>
            <w:shd w:val="clear" w:color="auto" w:fill="FFFFFF"/>
            <w:tcMar>
              <w:left w:w="28" w:type="dxa"/>
              <w:right w:w="28" w:type="dxa"/>
            </w:tcMar>
          </w:tcPr>
          <w:p w14:paraId="6750449A" w14:textId="22CA38DA"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418" w:type="dxa"/>
            <w:tcBorders>
              <w:top w:val="nil"/>
              <w:left w:val="nil"/>
              <w:bottom w:val="nil"/>
              <w:right w:val="nil"/>
            </w:tcBorders>
            <w:shd w:val="clear" w:color="auto" w:fill="FFFFFF"/>
            <w:tcMar>
              <w:left w:w="28" w:type="dxa"/>
              <w:right w:w="28" w:type="dxa"/>
            </w:tcMar>
          </w:tcPr>
          <w:p w14:paraId="0D64AB14" w14:textId="42F3D039"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3 (3.6)</w:t>
            </w:r>
          </w:p>
        </w:tc>
      </w:tr>
      <w:tr w:rsidR="00F616EB" w:rsidRPr="00F616EB" w14:paraId="0B5E1B11" w14:textId="77777777" w:rsidTr="00110F31">
        <w:tc>
          <w:tcPr>
            <w:tcW w:w="3402" w:type="dxa"/>
            <w:tcBorders>
              <w:top w:val="nil"/>
              <w:left w:val="nil"/>
              <w:bottom w:val="nil"/>
              <w:right w:val="nil"/>
            </w:tcBorders>
            <w:shd w:val="clear" w:color="auto" w:fill="FFFFFF"/>
            <w:tcMar>
              <w:left w:w="28" w:type="dxa"/>
              <w:right w:w="28" w:type="dxa"/>
            </w:tcMar>
          </w:tcPr>
          <w:p w14:paraId="4B8B59AE" w14:textId="7F73BC1F"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Abdominal pain</w:t>
            </w:r>
          </w:p>
        </w:tc>
        <w:tc>
          <w:tcPr>
            <w:tcW w:w="993" w:type="dxa"/>
            <w:tcBorders>
              <w:top w:val="nil"/>
              <w:left w:val="nil"/>
              <w:bottom w:val="nil"/>
              <w:right w:val="nil"/>
            </w:tcBorders>
            <w:shd w:val="clear" w:color="auto" w:fill="FFFFFF"/>
            <w:tcMar>
              <w:left w:w="28" w:type="dxa"/>
              <w:right w:w="28" w:type="dxa"/>
            </w:tcMar>
          </w:tcPr>
          <w:p w14:paraId="3BFC4BA4" w14:textId="1604FAAF"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275" w:type="dxa"/>
            <w:tcBorders>
              <w:top w:val="nil"/>
              <w:left w:val="nil"/>
              <w:bottom w:val="nil"/>
              <w:right w:val="nil"/>
            </w:tcBorders>
            <w:shd w:val="clear" w:color="auto" w:fill="FFFFFF"/>
            <w:tcMar>
              <w:left w:w="28" w:type="dxa"/>
              <w:right w:w="28" w:type="dxa"/>
            </w:tcMar>
          </w:tcPr>
          <w:p w14:paraId="58EEADD7" w14:textId="5811C425"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851" w:type="dxa"/>
            <w:tcBorders>
              <w:top w:val="nil"/>
              <w:left w:val="nil"/>
              <w:bottom w:val="nil"/>
              <w:right w:val="nil"/>
            </w:tcBorders>
            <w:shd w:val="clear" w:color="auto" w:fill="FFFFFF"/>
            <w:tcMar>
              <w:left w:w="28" w:type="dxa"/>
              <w:right w:w="28" w:type="dxa"/>
            </w:tcMar>
          </w:tcPr>
          <w:p w14:paraId="578FF416" w14:textId="3C9E9E9A"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992" w:type="dxa"/>
            <w:tcBorders>
              <w:top w:val="nil"/>
              <w:left w:val="nil"/>
              <w:bottom w:val="nil"/>
              <w:right w:val="nil"/>
            </w:tcBorders>
            <w:shd w:val="clear" w:color="auto" w:fill="FFFFFF"/>
            <w:tcMar>
              <w:left w:w="28" w:type="dxa"/>
              <w:right w:w="28" w:type="dxa"/>
            </w:tcMar>
          </w:tcPr>
          <w:p w14:paraId="4893C7CF" w14:textId="2C3747A6"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(7.1)</w:t>
            </w:r>
          </w:p>
        </w:tc>
        <w:tc>
          <w:tcPr>
            <w:tcW w:w="1418" w:type="dxa"/>
            <w:tcBorders>
              <w:top w:val="nil"/>
              <w:left w:val="nil"/>
              <w:bottom w:val="nil"/>
              <w:right w:val="nil"/>
            </w:tcBorders>
            <w:shd w:val="clear" w:color="auto" w:fill="FFFFFF"/>
            <w:tcMar>
              <w:left w:w="28" w:type="dxa"/>
              <w:right w:w="28" w:type="dxa"/>
            </w:tcMar>
          </w:tcPr>
          <w:p w14:paraId="6865258A" w14:textId="5FC46CA4"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(2.4)</w:t>
            </w:r>
          </w:p>
        </w:tc>
      </w:tr>
      <w:tr w:rsidR="00F616EB" w:rsidRPr="00F616EB" w14:paraId="6511B4C2" w14:textId="77777777" w:rsidTr="00110F31">
        <w:tc>
          <w:tcPr>
            <w:tcW w:w="3402" w:type="dxa"/>
            <w:tcBorders>
              <w:top w:val="nil"/>
              <w:left w:val="nil"/>
              <w:bottom w:val="nil"/>
              <w:right w:val="nil"/>
            </w:tcBorders>
            <w:shd w:val="clear" w:color="auto" w:fill="FFFFFF"/>
            <w:tcMar>
              <w:left w:w="28" w:type="dxa"/>
              <w:right w:w="28" w:type="dxa"/>
            </w:tcMar>
          </w:tcPr>
          <w:p w14:paraId="55D6114E" w14:textId="45932704"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Decreased appetite</w:t>
            </w:r>
          </w:p>
        </w:tc>
        <w:tc>
          <w:tcPr>
            <w:tcW w:w="993" w:type="dxa"/>
            <w:tcBorders>
              <w:top w:val="nil"/>
              <w:left w:val="nil"/>
              <w:bottom w:val="nil"/>
              <w:right w:val="nil"/>
            </w:tcBorders>
            <w:shd w:val="clear" w:color="auto" w:fill="FFFFFF"/>
            <w:tcMar>
              <w:left w:w="28" w:type="dxa"/>
              <w:right w:w="28" w:type="dxa"/>
            </w:tcMar>
          </w:tcPr>
          <w:p w14:paraId="1062D0BB" w14:textId="394C8D82"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(14.3)</w:t>
            </w:r>
          </w:p>
        </w:tc>
        <w:tc>
          <w:tcPr>
            <w:tcW w:w="1275" w:type="dxa"/>
            <w:tcBorders>
              <w:top w:val="nil"/>
              <w:left w:val="nil"/>
              <w:bottom w:val="nil"/>
              <w:right w:val="nil"/>
            </w:tcBorders>
            <w:shd w:val="clear" w:color="auto" w:fill="FFFFFF"/>
            <w:tcMar>
              <w:left w:w="28" w:type="dxa"/>
              <w:right w:w="28" w:type="dxa"/>
            </w:tcMar>
          </w:tcPr>
          <w:p w14:paraId="39EE3EEC" w14:textId="48DD91E3"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851" w:type="dxa"/>
            <w:tcBorders>
              <w:top w:val="nil"/>
              <w:left w:val="nil"/>
              <w:bottom w:val="nil"/>
              <w:right w:val="nil"/>
            </w:tcBorders>
            <w:shd w:val="clear" w:color="auto" w:fill="FFFFFF"/>
            <w:tcMar>
              <w:left w:w="28" w:type="dxa"/>
              <w:right w:w="28" w:type="dxa"/>
            </w:tcMar>
          </w:tcPr>
          <w:p w14:paraId="03F0A4ED" w14:textId="77328D40"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1 (3.7)</w:t>
            </w:r>
          </w:p>
        </w:tc>
        <w:tc>
          <w:tcPr>
            <w:tcW w:w="992" w:type="dxa"/>
            <w:tcBorders>
              <w:top w:val="nil"/>
              <w:left w:val="nil"/>
              <w:bottom w:val="nil"/>
              <w:right w:val="nil"/>
            </w:tcBorders>
            <w:shd w:val="clear" w:color="auto" w:fill="FFFFFF"/>
            <w:tcMar>
              <w:left w:w="28" w:type="dxa"/>
              <w:right w:w="28" w:type="dxa"/>
            </w:tcMar>
          </w:tcPr>
          <w:p w14:paraId="41F3CC9F" w14:textId="6961BDA5"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418" w:type="dxa"/>
            <w:tcBorders>
              <w:top w:val="nil"/>
              <w:left w:val="nil"/>
              <w:bottom w:val="nil"/>
              <w:right w:val="nil"/>
            </w:tcBorders>
            <w:shd w:val="clear" w:color="auto" w:fill="FFFFFF"/>
            <w:tcMar>
              <w:left w:w="28" w:type="dxa"/>
              <w:right w:w="28" w:type="dxa"/>
            </w:tcMar>
          </w:tcPr>
          <w:p w14:paraId="40FDD644" w14:textId="65B54445"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(2.4)</w:t>
            </w:r>
          </w:p>
        </w:tc>
      </w:tr>
      <w:tr w:rsidR="00F616EB" w:rsidRPr="00F616EB" w14:paraId="79CDF453" w14:textId="77777777" w:rsidTr="00110F31">
        <w:tc>
          <w:tcPr>
            <w:tcW w:w="3402" w:type="dxa"/>
            <w:tcBorders>
              <w:top w:val="nil"/>
              <w:left w:val="nil"/>
              <w:bottom w:val="nil"/>
              <w:right w:val="nil"/>
            </w:tcBorders>
            <w:shd w:val="clear" w:color="auto" w:fill="FFFFFF"/>
            <w:tcMar>
              <w:left w:w="28" w:type="dxa"/>
              <w:right w:w="28" w:type="dxa"/>
            </w:tcMar>
          </w:tcPr>
          <w:p w14:paraId="718A7013" w14:textId="31A12C64"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Blood lactate dehydrogenase ↑</w:t>
            </w:r>
          </w:p>
        </w:tc>
        <w:tc>
          <w:tcPr>
            <w:tcW w:w="993" w:type="dxa"/>
            <w:tcBorders>
              <w:top w:val="nil"/>
              <w:left w:val="nil"/>
              <w:bottom w:val="nil"/>
              <w:right w:val="nil"/>
            </w:tcBorders>
            <w:shd w:val="clear" w:color="auto" w:fill="FFFFFF"/>
            <w:tcMar>
              <w:left w:w="28" w:type="dxa"/>
              <w:right w:w="28" w:type="dxa"/>
            </w:tcMar>
          </w:tcPr>
          <w:p w14:paraId="66FA87D4" w14:textId="056EA5C7" w:rsidR="00F616EB" w:rsidRPr="00F616EB" w:rsidRDefault="00F616EB" w:rsidP="00F616EB">
            <w:pPr>
              <w:spacing w:before="40" w:after="40"/>
              <w:rPr>
                <w:rFonts w:cstheme="minorHAnsi"/>
                <w:color w:val="000000" w:themeColor="text1"/>
                <w:sz w:val="20"/>
                <w:szCs w:val="20"/>
              </w:rPr>
            </w:pPr>
            <w:r w:rsidRPr="00F616EB">
              <w:rPr>
                <w:rFonts w:cstheme="minorHAnsi"/>
                <w:color w:val="000000" w:themeColor="text1"/>
                <w:sz w:val="20"/>
                <w:szCs w:val="20"/>
              </w:rPr>
              <w:t xml:space="preserve">         0</w:t>
            </w:r>
          </w:p>
        </w:tc>
        <w:tc>
          <w:tcPr>
            <w:tcW w:w="1275" w:type="dxa"/>
            <w:tcBorders>
              <w:top w:val="nil"/>
              <w:left w:val="nil"/>
              <w:bottom w:val="nil"/>
              <w:right w:val="nil"/>
            </w:tcBorders>
            <w:shd w:val="clear" w:color="auto" w:fill="FFFFFF"/>
            <w:tcMar>
              <w:left w:w="28" w:type="dxa"/>
              <w:right w:w="28" w:type="dxa"/>
            </w:tcMar>
          </w:tcPr>
          <w:p w14:paraId="3439C4D4" w14:textId="00DA82B0"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(9.1)</w:t>
            </w:r>
          </w:p>
        </w:tc>
        <w:tc>
          <w:tcPr>
            <w:tcW w:w="851" w:type="dxa"/>
            <w:tcBorders>
              <w:top w:val="nil"/>
              <w:left w:val="nil"/>
              <w:bottom w:val="nil"/>
              <w:right w:val="nil"/>
            </w:tcBorders>
            <w:shd w:val="clear" w:color="auto" w:fill="FFFFFF"/>
            <w:tcMar>
              <w:left w:w="28" w:type="dxa"/>
              <w:right w:w="28" w:type="dxa"/>
            </w:tcMar>
          </w:tcPr>
          <w:p w14:paraId="2740D9AD" w14:textId="59D440AD"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992" w:type="dxa"/>
            <w:tcBorders>
              <w:top w:val="nil"/>
              <w:left w:val="nil"/>
              <w:bottom w:val="nil"/>
              <w:right w:val="nil"/>
            </w:tcBorders>
            <w:shd w:val="clear" w:color="auto" w:fill="FFFFFF"/>
            <w:tcMar>
              <w:left w:w="28" w:type="dxa"/>
              <w:right w:w="28" w:type="dxa"/>
            </w:tcMar>
          </w:tcPr>
          <w:p w14:paraId="7DEB8175" w14:textId="3EC2032B"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0</w:t>
            </w:r>
          </w:p>
        </w:tc>
        <w:tc>
          <w:tcPr>
            <w:tcW w:w="1418" w:type="dxa"/>
            <w:tcBorders>
              <w:top w:val="nil"/>
              <w:left w:val="nil"/>
              <w:bottom w:val="nil"/>
              <w:right w:val="nil"/>
            </w:tcBorders>
            <w:shd w:val="clear" w:color="auto" w:fill="FFFFFF"/>
            <w:tcMar>
              <w:left w:w="28" w:type="dxa"/>
              <w:right w:w="28" w:type="dxa"/>
            </w:tcMar>
          </w:tcPr>
          <w:p w14:paraId="4ED26DDF" w14:textId="34005127" w:rsidR="00F616EB" w:rsidRPr="00F616EB" w:rsidRDefault="00F616EB" w:rsidP="00F616EB">
            <w:pPr>
              <w:spacing w:before="40" w:after="40"/>
              <w:jc w:val="center"/>
              <w:rPr>
                <w:rFonts w:cstheme="minorHAnsi"/>
                <w:color w:val="000000" w:themeColor="text1"/>
                <w:sz w:val="20"/>
                <w:szCs w:val="20"/>
              </w:rPr>
            </w:pPr>
            <w:r w:rsidRPr="00F616EB">
              <w:rPr>
                <w:rFonts w:cstheme="minorHAnsi"/>
                <w:color w:val="000000" w:themeColor="text1"/>
                <w:sz w:val="20"/>
                <w:szCs w:val="20"/>
              </w:rPr>
              <w:t>2 (2.4)</w:t>
            </w:r>
          </w:p>
        </w:tc>
      </w:tr>
      <w:tr w:rsidR="00F616EB" w:rsidRPr="00F616EB" w14:paraId="345B11D6" w14:textId="77777777" w:rsidTr="00110F31">
        <w:tc>
          <w:tcPr>
            <w:tcW w:w="3402" w:type="dxa"/>
            <w:tcBorders>
              <w:top w:val="nil"/>
              <w:left w:val="nil"/>
              <w:bottom w:val="single" w:sz="4" w:space="0" w:color="000000"/>
              <w:right w:val="nil"/>
            </w:tcBorders>
            <w:shd w:val="clear" w:color="auto" w:fill="FFFFFF"/>
            <w:tcMar>
              <w:left w:w="28" w:type="dxa"/>
              <w:right w:w="28" w:type="dxa"/>
            </w:tcMar>
          </w:tcPr>
          <w:p w14:paraId="5AEA1837" w14:textId="6C387555" w:rsidR="00F616EB" w:rsidRPr="001B4DA9" w:rsidRDefault="00F616EB" w:rsidP="00F616EB">
            <w:pPr>
              <w:spacing w:before="40" w:after="40"/>
              <w:rPr>
                <w:rFonts w:cstheme="minorHAnsi"/>
                <w:color w:val="000000" w:themeColor="text1"/>
                <w:sz w:val="20"/>
                <w:szCs w:val="20"/>
              </w:rPr>
            </w:pPr>
            <w:r w:rsidRPr="001B4DA9">
              <w:rPr>
                <w:sz w:val="20"/>
                <w:szCs w:val="20"/>
              </w:rPr>
              <w:t>Oedema, peripheral</w:t>
            </w:r>
          </w:p>
        </w:tc>
        <w:tc>
          <w:tcPr>
            <w:tcW w:w="993" w:type="dxa"/>
            <w:tcBorders>
              <w:top w:val="nil"/>
              <w:left w:val="nil"/>
              <w:bottom w:val="single" w:sz="4" w:space="0" w:color="000000"/>
              <w:right w:val="nil"/>
            </w:tcBorders>
            <w:shd w:val="clear" w:color="auto" w:fill="FFFFFF"/>
            <w:tcMar>
              <w:left w:w="28" w:type="dxa"/>
              <w:right w:w="28" w:type="dxa"/>
            </w:tcMar>
          </w:tcPr>
          <w:p w14:paraId="61AFE04D" w14:textId="4CFA4127" w:rsidR="00F616EB" w:rsidRPr="001B4DA9" w:rsidRDefault="00F616EB" w:rsidP="00F616EB">
            <w:pPr>
              <w:spacing w:before="40" w:after="40"/>
              <w:jc w:val="center"/>
              <w:rPr>
                <w:rFonts w:cstheme="minorHAnsi"/>
                <w:color w:val="000000" w:themeColor="text1"/>
                <w:sz w:val="20"/>
                <w:szCs w:val="20"/>
              </w:rPr>
            </w:pPr>
            <w:r w:rsidRPr="001B4DA9">
              <w:rPr>
                <w:sz w:val="20"/>
                <w:szCs w:val="20"/>
              </w:rPr>
              <w:t>1 (14.3)</w:t>
            </w:r>
          </w:p>
        </w:tc>
        <w:tc>
          <w:tcPr>
            <w:tcW w:w="1275" w:type="dxa"/>
            <w:tcBorders>
              <w:top w:val="nil"/>
              <w:left w:val="nil"/>
              <w:bottom w:val="single" w:sz="4" w:space="0" w:color="000000"/>
              <w:right w:val="nil"/>
            </w:tcBorders>
            <w:shd w:val="clear" w:color="auto" w:fill="FFFFFF"/>
            <w:tcMar>
              <w:left w:w="28" w:type="dxa"/>
              <w:right w:w="28" w:type="dxa"/>
            </w:tcMar>
          </w:tcPr>
          <w:p w14:paraId="333CE083" w14:textId="37A25800" w:rsidR="00F616EB" w:rsidRPr="001B4DA9" w:rsidRDefault="00F616EB" w:rsidP="00F616EB">
            <w:pPr>
              <w:spacing w:before="40" w:after="40"/>
              <w:jc w:val="center"/>
              <w:rPr>
                <w:rFonts w:cstheme="minorHAnsi"/>
                <w:color w:val="000000" w:themeColor="text1"/>
                <w:sz w:val="20"/>
                <w:szCs w:val="20"/>
              </w:rPr>
            </w:pPr>
            <w:r w:rsidRPr="001B4DA9">
              <w:rPr>
                <w:sz w:val="20"/>
                <w:szCs w:val="20"/>
              </w:rPr>
              <w:t>0</w:t>
            </w:r>
          </w:p>
        </w:tc>
        <w:tc>
          <w:tcPr>
            <w:tcW w:w="851" w:type="dxa"/>
            <w:tcBorders>
              <w:top w:val="nil"/>
              <w:left w:val="nil"/>
              <w:bottom w:val="single" w:sz="4" w:space="0" w:color="000000"/>
              <w:right w:val="nil"/>
            </w:tcBorders>
            <w:shd w:val="clear" w:color="auto" w:fill="FFFFFF"/>
            <w:tcMar>
              <w:left w:w="28" w:type="dxa"/>
              <w:right w:w="28" w:type="dxa"/>
            </w:tcMar>
          </w:tcPr>
          <w:p w14:paraId="417DC2B4" w14:textId="6A16C1E1" w:rsidR="00F616EB" w:rsidRPr="001B4DA9" w:rsidRDefault="00F616EB" w:rsidP="00F616EB">
            <w:pPr>
              <w:spacing w:before="40" w:after="40"/>
              <w:jc w:val="center"/>
              <w:rPr>
                <w:rFonts w:cstheme="minorHAnsi"/>
                <w:color w:val="000000" w:themeColor="text1"/>
                <w:sz w:val="20"/>
                <w:szCs w:val="20"/>
              </w:rPr>
            </w:pPr>
            <w:r w:rsidRPr="001B4DA9">
              <w:rPr>
                <w:sz w:val="20"/>
                <w:szCs w:val="20"/>
              </w:rPr>
              <w:t>0</w:t>
            </w:r>
          </w:p>
        </w:tc>
        <w:tc>
          <w:tcPr>
            <w:tcW w:w="992" w:type="dxa"/>
            <w:tcBorders>
              <w:top w:val="nil"/>
              <w:left w:val="nil"/>
              <w:bottom w:val="single" w:sz="4" w:space="0" w:color="000000"/>
              <w:right w:val="nil"/>
            </w:tcBorders>
            <w:shd w:val="clear" w:color="auto" w:fill="FFFFFF"/>
            <w:tcMar>
              <w:left w:w="28" w:type="dxa"/>
              <w:right w:w="28" w:type="dxa"/>
            </w:tcMar>
          </w:tcPr>
          <w:p w14:paraId="10A34750" w14:textId="0618B254" w:rsidR="00F616EB" w:rsidRPr="001B4DA9" w:rsidRDefault="00F616EB" w:rsidP="00F616EB">
            <w:pPr>
              <w:spacing w:before="40" w:after="40"/>
              <w:jc w:val="center"/>
              <w:rPr>
                <w:rFonts w:cstheme="minorHAnsi"/>
                <w:color w:val="000000" w:themeColor="text1"/>
                <w:sz w:val="20"/>
                <w:szCs w:val="20"/>
              </w:rPr>
            </w:pPr>
            <w:r w:rsidRPr="001B4DA9">
              <w:rPr>
                <w:sz w:val="20"/>
                <w:szCs w:val="20"/>
              </w:rPr>
              <w:t>0</w:t>
            </w:r>
          </w:p>
        </w:tc>
        <w:tc>
          <w:tcPr>
            <w:tcW w:w="1418" w:type="dxa"/>
            <w:tcBorders>
              <w:top w:val="nil"/>
              <w:left w:val="nil"/>
              <w:bottom w:val="single" w:sz="4" w:space="0" w:color="000000"/>
              <w:right w:val="nil"/>
            </w:tcBorders>
            <w:shd w:val="clear" w:color="auto" w:fill="FFFFFF"/>
            <w:tcMar>
              <w:left w:w="28" w:type="dxa"/>
              <w:right w:w="28" w:type="dxa"/>
            </w:tcMar>
          </w:tcPr>
          <w:p w14:paraId="62F38C52" w14:textId="7C7DEEF8" w:rsidR="00F616EB" w:rsidRPr="001B4DA9" w:rsidRDefault="00F616EB" w:rsidP="00F616EB">
            <w:pPr>
              <w:spacing w:before="40" w:after="40"/>
              <w:jc w:val="center"/>
              <w:rPr>
                <w:rFonts w:cstheme="minorHAnsi"/>
                <w:color w:val="000000" w:themeColor="text1"/>
                <w:sz w:val="20"/>
                <w:szCs w:val="20"/>
              </w:rPr>
            </w:pPr>
            <w:r w:rsidRPr="001B4DA9">
              <w:rPr>
                <w:sz w:val="20"/>
                <w:szCs w:val="20"/>
              </w:rPr>
              <w:t>1 (1.2)</w:t>
            </w:r>
          </w:p>
        </w:tc>
      </w:tr>
    </w:tbl>
    <w:p w14:paraId="760558B7" w14:textId="5DEB9136" w:rsidR="0061520E" w:rsidRPr="00F616EB" w:rsidRDefault="00F616EB" w:rsidP="00E30E85">
      <w:pPr>
        <w:spacing w:after="0"/>
        <w:rPr>
          <w:rFonts w:eastAsiaTheme="minorEastAsia" w:cstheme="minorHAnsi"/>
          <w:color w:val="000000" w:themeColor="text1"/>
          <w:kern w:val="24"/>
          <w:position w:val="6"/>
          <w:sz w:val="18"/>
          <w:szCs w:val="18"/>
          <w14:ligatures w14:val="none"/>
        </w:rPr>
      </w:pPr>
      <w:r>
        <w:rPr>
          <w:rFonts w:eastAsiaTheme="minorEastAsia" w:cstheme="minorHAnsi"/>
          <w:color w:val="000000" w:themeColor="text1"/>
          <w:kern w:val="24"/>
          <w:position w:val="6"/>
          <w:sz w:val="18"/>
          <w:szCs w:val="18"/>
          <w14:ligatures w14:val="none"/>
        </w:rPr>
        <w:t xml:space="preserve">HCC, hepatocellular carcinoma; NSCLC, non-small cell lung carcinoma; UC, urothelial carcinoma; nsq, non-squamous; sq, squamous; </w:t>
      </w:r>
      <w:r>
        <w:rPr>
          <w:rFonts w:eastAsiaTheme="minorEastAsia" w:cstheme="minorHAnsi"/>
          <w:color w:val="000000" w:themeColor="text1"/>
          <w:kern w:val="24"/>
          <w:position w:val="6"/>
          <w:sz w:val="18"/>
          <w:szCs w:val="18"/>
          <w14:ligatures w14:val="none"/>
        </w:rPr>
        <w:sym w:font="Wingdings" w:char="F0E1"/>
      </w:r>
      <w:r>
        <w:rPr>
          <w:rFonts w:eastAsiaTheme="minorEastAsia" w:cstheme="minorHAnsi"/>
          <w:color w:val="000000" w:themeColor="text1"/>
          <w:kern w:val="24"/>
          <w:position w:val="6"/>
          <w:sz w:val="18"/>
          <w:szCs w:val="18"/>
          <w14:ligatures w14:val="none"/>
        </w:rPr>
        <w:t>, increased.</w:t>
      </w:r>
      <w:r w:rsidRPr="00F616EB">
        <w:rPr>
          <w:rFonts w:eastAsiaTheme="minorEastAsia" w:cstheme="minorHAnsi"/>
          <w:color w:val="000000" w:themeColor="text1"/>
          <w:kern w:val="24"/>
          <w:position w:val="6"/>
          <w:sz w:val="18"/>
          <w:szCs w:val="18"/>
          <w14:ligatures w14:val="none"/>
        </w:rPr>
        <w:t xml:space="preserve"> </w:t>
      </w:r>
    </w:p>
    <w:p w14:paraId="5C97A69D" w14:textId="37DB602C" w:rsidR="00E30E85" w:rsidRPr="00A5268B" w:rsidRDefault="0061520E" w:rsidP="00E30E85">
      <w:pPr>
        <w:spacing w:after="0"/>
        <w:rPr>
          <w:rFonts w:cstheme="minorHAnsi"/>
          <w:kern w:val="0"/>
          <w:lang w:val="en-US"/>
          <w14:ligatures w14:val="none"/>
        </w:rPr>
      </w:pPr>
      <w:r>
        <w:rPr>
          <w:rFonts w:eastAsiaTheme="minorEastAsia" w:cstheme="minorHAnsi"/>
          <w:color w:val="000000" w:themeColor="text1"/>
          <w:kern w:val="24"/>
          <w:position w:val="6"/>
          <w:sz w:val="18"/>
          <w:szCs w:val="18"/>
          <w14:ligatures w14:val="none"/>
        </w:rPr>
        <w:t>†</w:t>
      </w:r>
      <w:r>
        <w:rPr>
          <w:rFonts w:ascii="Arial" w:eastAsiaTheme="minorEastAsia" w:hAnsi="Arial" w:cs="Arial"/>
          <w:color w:val="000000" w:themeColor="text1"/>
          <w:kern w:val="24"/>
          <w:position w:val="6"/>
          <w:sz w:val="12"/>
          <w:szCs w:val="12"/>
          <w:vertAlign w:val="superscript"/>
          <w14:ligatures w14:val="none"/>
        </w:rPr>
        <w:t xml:space="preserve"> </w:t>
      </w:r>
      <w:r>
        <w:rPr>
          <w:rFonts w:ascii="Calibri" w:hAnsi="Calibri" w:cs="Calibri"/>
          <w:sz w:val="16"/>
          <w:szCs w:val="16"/>
          <w14:ligatures w14:val="none"/>
        </w:rPr>
        <w:t>Preferred Terms (PT) not observed in at least 5% of participants (of any grade and/or in any of the cohorts) are not listed</w:t>
      </w:r>
    </w:p>
    <w:p w14:paraId="5F94EF07" w14:textId="77777777" w:rsidR="00E30E85" w:rsidRDefault="00E30E85" w:rsidP="00E30E85">
      <w:pPr>
        <w:spacing w:after="0"/>
        <w:rPr>
          <w:rFonts w:cstheme="minorHAnsi"/>
          <w:kern w:val="0"/>
          <w:lang w:val="en-US"/>
          <w14:ligatures w14:val="none"/>
        </w:rPr>
      </w:pPr>
    </w:p>
    <w:p w14:paraId="5673032A" w14:textId="1F91D7E6" w:rsidR="00040478" w:rsidRDefault="00040478">
      <w:pPr>
        <w:rPr>
          <w:rFonts w:ascii="Times New Roman" w:hAnsi="Times New Roman" w:cs="Times New Roman"/>
          <w:kern w:val="0"/>
          <w:lang w:val="en-US"/>
          <w14:ligatures w14:val="none"/>
        </w:rPr>
      </w:pPr>
      <w:r>
        <w:rPr>
          <w:rFonts w:ascii="Times New Roman" w:hAnsi="Times New Roman" w:cs="Times New Roman"/>
          <w:kern w:val="0"/>
          <w:lang w:val="en-US"/>
          <w14:ligatures w14:val="none"/>
        </w:rPr>
        <w:br w:type="page"/>
      </w:r>
    </w:p>
    <w:p w14:paraId="503C14C4" w14:textId="0121CB6D" w:rsidR="00040478" w:rsidRDefault="00040478" w:rsidP="00040478">
      <w:pPr>
        <w:spacing w:after="0"/>
        <w:rPr>
          <w:rFonts w:cstheme="minorHAnsi"/>
          <w:kern w:val="0"/>
          <w:lang w:val="en-US"/>
          <w14:ligatures w14:val="none"/>
        </w:rPr>
      </w:pPr>
      <w:r w:rsidRPr="003C06D2">
        <w:rPr>
          <w:rFonts w:ascii="Calibri" w:hAnsi="Calibri" w:cs="Calibri"/>
          <w:b/>
          <w:bCs/>
          <w:sz w:val="24"/>
          <w:szCs w:val="24"/>
          <w:lang w:val="en-US"/>
        </w:rPr>
        <w:lastRenderedPageBreak/>
        <w:t>Table S.</w:t>
      </w:r>
      <w:r w:rsidR="00E30E85">
        <w:rPr>
          <w:rFonts w:ascii="Calibri" w:hAnsi="Calibri" w:cs="Calibri"/>
          <w:b/>
          <w:bCs/>
          <w:sz w:val="24"/>
          <w:szCs w:val="24"/>
          <w:lang w:val="en-US"/>
        </w:rPr>
        <w:t>2</w:t>
      </w:r>
      <w:r w:rsidRPr="003C06D2">
        <w:rPr>
          <w:rFonts w:ascii="Calibri" w:hAnsi="Calibri" w:cs="Calibri"/>
          <w:b/>
          <w:bCs/>
          <w:color w:val="000000" w:themeColor="text1"/>
          <w:sz w:val="24"/>
          <w:szCs w:val="24"/>
          <w:lang w:val="en-US"/>
        </w:rPr>
        <w:t>:</w:t>
      </w:r>
      <w:r w:rsidRPr="00FD0EFC">
        <w:rPr>
          <w:color w:val="000000" w:themeColor="text1"/>
          <w:sz w:val="20"/>
          <w:szCs w:val="20"/>
        </w:rPr>
        <w:t xml:space="preserve"> </w:t>
      </w:r>
      <w:r w:rsidRPr="00FD0EFC">
        <w:rPr>
          <w:rFonts w:ascii="Calibri" w:hAnsi="Calibri" w:cs="Calibri"/>
          <w:b/>
          <w:bCs/>
          <w:color w:val="000000" w:themeColor="text1"/>
          <w:sz w:val="24"/>
          <w:szCs w:val="24"/>
        </w:rPr>
        <w:t xml:space="preserve">Reasons for </w:t>
      </w:r>
      <w:r w:rsidR="00AB0672" w:rsidRPr="00954D4A">
        <w:rPr>
          <w:rFonts w:ascii="Calibri" w:hAnsi="Calibri" w:cs="Calibri"/>
          <w:b/>
          <w:bCs/>
          <w:color w:val="000000" w:themeColor="text1"/>
          <w:sz w:val="24"/>
          <w:szCs w:val="24"/>
        </w:rPr>
        <w:t>Permanent</w:t>
      </w:r>
      <w:r w:rsidR="00AB0672">
        <w:rPr>
          <w:rFonts w:ascii="Calibri" w:hAnsi="Calibri" w:cs="Calibri"/>
          <w:b/>
          <w:bCs/>
          <w:color w:val="000000" w:themeColor="text1"/>
          <w:sz w:val="24"/>
          <w:szCs w:val="24"/>
        </w:rPr>
        <w:t xml:space="preserve"> </w:t>
      </w:r>
      <w:r w:rsidRPr="00FD0EFC">
        <w:rPr>
          <w:rFonts w:ascii="Calibri" w:hAnsi="Calibri" w:cs="Calibri"/>
          <w:b/>
          <w:bCs/>
          <w:color w:val="000000" w:themeColor="text1"/>
          <w:sz w:val="24"/>
          <w:szCs w:val="24"/>
        </w:rPr>
        <w:t>Treatment Discontinuation</w:t>
      </w:r>
      <w:r>
        <w:rPr>
          <w:rFonts w:ascii="Calibri" w:hAnsi="Calibri" w:cs="Calibri"/>
          <w:b/>
          <w:bCs/>
          <w:color w:val="000000" w:themeColor="text1"/>
          <w:sz w:val="24"/>
          <w:szCs w:val="24"/>
        </w:rPr>
        <w:t xml:space="preserve"> (for any reason)</w:t>
      </w:r>
    </w:p>
    <w:p w14:paraId="079954D5" w14:textId="77777777" w:rsidR="00040478" w:rsidRDefault="00040478" w:rsidP="00040478">
      <w:pPr>
        <w:spacing w:after="0"/>
        <w:rPr>
          <w:rFonts w:cstheme="minorHAnsi"/>
          <w:kern w:val="0"/>
          <w:lang w:val="en-US"/>
          <w14:ligatures w14:val="none"/>
        </w:rPr>
      </w:pPr>
    </w:p>
    <w:tbl>
      <w:tblPr>
        <w:tblStyle w:val="TableGrid"/>
        <w:tblW w:w="9072" w:type="dxa"/>
        <w:tblLook w:val="04A0" w:firstRow="1" w:lastRow="0" w:firstColumn="1" w:lastColumn="0" w:noHBand="0" w:noVBand="1"/>
      </w:tblPr>
      <w:tblGrid>
        <w:gridCol w:w="3402"/>
        <w:gridCol w:w="993"/>
        <w:gridCol w:w="1275"/>
        <w:gridCol w:w="851"/>
        <w:gridCol w:w="850"/>
        <w:gridCol w:w="1701"/>
      </w:tblGrid>
      <w:tr w:rsidR="00B75793" w:rsidRPr="00A5268B" w14:paraId="67D232BA" w14:textId="77777777" w:rsidTr="00F63C65">
        <w:tc>
          <w:tcPr>
            <w:tcW w:w="3402" w:type="dxa"/>
            <w:tcBorders>
              <w:left w:val="nil"/>
              <w:right w:val="nil"/>
            </w:tcBorders>
            <w:tcMar>
              <w:left w:w="28" w:type="dxa"/>
              <w:right w:w="28" w:type="dxa"/>
            </w:tcMar>
          </w:tcPr>
          <w:p w14:paraId="20581273" w14:textId="77777777" w:rsidR="00B75793" w:rsidRPr="00A5268B" w:rsidRDefault="00B75793" w:rsidP="00EA086B">
            <w:pPr>
              <w:spacing w:before="40" w:after="40"/>
              <w:rPr>
                <w:rFonts w:cstheme="minorHAnsi"/>
                <w:lang w:val="en-US"/>
              </w:rPr>
            </w:pPr>
          </w:p>
        </w:tc>
        <w:tc>
          <w:tcPr>
            <w:tcW w:w="993" w:type="dxa"/>
            <w:tcBorders>
              <w:left w:val="nil"/>
              <w:right w:val="nil"/>
            </w:tcBorders>
            <w:tcMar>
              <w:left w:w="28" w:type="dxa"/>
              <w:right w:w="28" w:type="dxa"/>
            </w:tcMar>
          </w:tcPr>
          <w:p w14:paraId="6DC8798D" w14:textId="77777777" w:rsidR="00B75793" w:rsidRPr="00A5268B" w:rsidRDefault="00B75793" w:rsidP="00EA086B">
            <w:pPr>
              <w:spacing w:before="40" w:after="40"/>
              <w:jc w:val="center"/>
              <w:rPr>
                <w:rFonts w:cstheme="minorHAnsi"/>
                <w:b/>
                <w:bCs/>
                <w:lang w:val="en-US"/>
              </w:rPr>
            </w:pPr>
            <w:r w:rsidRPr="00A5268B">
              <w:rPr>
                <w:rFonts w:cstheme="minorHAnsi"/>
                <w:b/>
                <w:bCs/>
                <w:lang w:val="en-US"/>
              </w:rPr>
              <w:t>NSCLC sq</w:t>
            </w:r>
          </w:p>
        </w:tc>
        <w:tc>
          <w:tcPr>
            <w:tcW w:w="1275" w:type="dxa"/>
            <w:tcBorders>
              <w:left w:val="nil"/>
              <w:right w:val="nil"/>
            </w:tcBorders>
            <w:tcMar>
              <w:left w:w="28" w:type="dxa"/>
              <w:right w:w="28" w:type="dxa"/>
            </w:tcMar>
          </w:tcPr>
          <w:p w14:paraId="3EEC03C5" w14:textId="77777777" w:rsidR="00B75793" w:rsidRPr="00A5268B" w:rsidRDefault="00B75793" w:rsidP="00EA086B">
            <w:pPr>
              <w:spacing w:before="40" w:after="40"/>
              <w:jc w:val="center"/>
              <w:rPr>
                <w:rFonts w:cstheme="minorHAnsi"/>
                <w:b/>
                <w:bCs/>
                <w:lang w:val="en-US"/>
              </w:rPr>
            </w:pPr>
            <w:r w:rsidRPr="00A5268B">
              <w:rPr>
                <w:rFonts w:cstheme="minorHAnsi"/>
                <w:b/>
                <w:bCs/>
                <w:lang w:val="en-US"/>
              </w:rPr>
              <w:t>NSCLC N-sq</w:t>
            </w:r>
          </w:p>
        </w:tc>
        <w:tc>
          <w:tcPr>
            <w:tcW w:w="851" w:type="dxa"/>
            <w:tcBorders>
              <w:left w:val="nil"/>
              <w:right w:val="nil"/>
            </w:tcBorders>
            <w:tcMar>
              <w:left w:w="28" w:type="dxa"/>
              <w:right w:w="28" w:type="dxa"/>
            </w:tcMar>
          </w:tcPr>
          <w:p w14:paraId="7F59659E" w14:textId="77777777" w:rsidR="00B75793" w:rsidRPr="00A5268B" w:rsidRDefault="00B75793" w:rsidP="00EA086B">
            <w:pPr>
              <w:spacing w:before="40" w:after="40"/>
              <w:jc w:val="center"/>
              <w:rPr>
                <w:rFonts w:cstheme="minorHAnsi"/>
                <w:b/>
                <w:bCs/>
                <w:lang w:val="en-US"/>
              </w:rPr>
            </w:pPr>
            <w:r w:rsidRPr="00A5268B">
              <w:rPr>
                <w:rFonts w:cstheme="minorHAnsi"/>
                <w:b/>
                <w:bCs/>
                <w:lang w:val="en-US"/>
              </w:rPr>
              <w:t>UC</w:t>
            </w:r>
          </w:p>
        </w:tc>
        <w:tc>
          <w:tcPr>
            <w:tcW w:w="850" w:type="dxa"/>
            <w:tcBorders>
              <w:left w:val="nil"/>
              <w:right w:val="nil"/>
            </w:tcBorders>
            <w:tcMar>
              <w:left w:w="28" w:type="dxa"/>
              <w:right w:w="28" w:type="dxa"/>
            </w:tcMar>
          </w:tcPr>
          <w:p w14:paraId="239C626D" w14:textId="77777777" w:rsidR="00B75793" w:rsidRPr="00A5268B" w:rsidRDefault="00B75793" w:rsidP="00EA086B">
            <w:pPr>
              <w:spacing w:before="40" w:after="40"/>
              <w:jc w:val="center"/>
              <w:rPr>
                <w:rFonts w:cstheme="minorHAnsi"/>
                <w:b/>
                <w:bCs/>
                <w:lang w:val="en-US"/>
              </w:rPr>
            </w:pPr>
            <w:r w:rsidRPr="00A5268B">
              <w:rPr>
                <w:rFonts w:cstheme="minorHAnsi"/>
                <w:b/>
                <w:bCs/>
                <w:lang w:val="en-US"/>
              </w:rPr>
              <w:t>HCC</w:t>
            </w:r>
          </w:p>
        </w:tc>
        <w:tc>
          <w:tcPr>
            <w:tcW w:w="1701" w:type="dxa"/>
            <w:tcBorders>
              <w:left w:val="nil"/>
              <w:right w:val="nil"/>
            </w:tcBorders>
            <w:tcMar>
              <w:left w:w="28" w:type="dxa"/>
              <w:right w:w="28" w:type="dxa"/>
            </w:tcMar>
          </w:tcPr>
          <w:p w14:paraId="4C655DF4" w14:textId="4E1BBE49" w:rsidR="00B75793" w:rsidRPr="00A5268B" w:rsidRDefault="00B75793" w:rsidP="00EA086B">
            <w:pPr>
              <w:spacing w:before="40" w:after="40"/>
              <w:jc w:val="center"/>
              <w:rPr>
                <w:rFonts w:cstheme="minorHAnsi"/>
                <w:b/>
                <w:bCs/>
                <w:lang w:val="en-US"/>
              </w:rPr>
            </w:pPr>
            <w:r w:rsidRPr="00A5268B">
              <w:rPr>
                <w:rFonts w:cstheme="minorHAnsi"/>
                <w:b/>
                <w:bCs/>
                <w:lang w:val="en-US"/>
              </w:rPr>
              <w:t xml:space="preserve">Total </w:t>
            </w:r>
            <w:r w:rsidR="006F49A7">
              <w:rPr>
                <w:rFonts w:cstheme="minorHAnsi"/>
                <w:b/>
                <w:bCs/>
                <w:lang w:val="en-US"/>
              </w:rPr>
              <w:t>(</w:t>
            </w:r>
            <w:r w:rsidRPr="00A5268B">
              <w:rPr>
                <w:rFonts w:cstheme="minorHAnsi"/>
                <w:b/>
                <w:bCs/>
                <w:lang w:val="en-US"/>
              </w:rPr>
              <w:t>Saf</w:t>
            </w:r>
            <w:r w:rsidR="006F49A7">
              <w:rPr>
                <w:rFonts w:cstheme="minorHAnsi"/>
                <w:b/>
                <w:bCs/>
                <w:lang w:val="en-US"/>
              </w:rPr>
              <w:t>ety)</w:t>
            </w:r>
          </w:p>
        </w:tc>
      </w:tr>
      <w:tr w:rsidR="00B75793" w:rsidRPr="00A5268B" w14:paraId="6BCEF2CD" w14:textId="77777777" w:rsidTr="00B94164">
        <w:tc>
          <w:tcPr>
            <w:tcW w:w="3402" w:type="dxa"/>
            <w:tcBorders>
              <w:left w:val="nil"/>
              <w:bottom w:val="single" w:sz="4" w:space="0" w:color="auto"/>
              <w:right w:val="nil"/>
            </w:tcBorders>
            <w:tcMar>
              <w:left w:w="28" w:type="dxa"/>
              <w:right w:w="28" w:type="dxa"/>
            </w:tcMar>
          </w:tcPr>
          <w:p w14:paraId="05F108A7" w14:textId="77777777" w:rsidR="00B75793" w:rsidRPr="00CB1E28" w:rsidRDefault="00B75793" w:rsidP="00EA086B">
            <w:pPr>
              <w:spacing w:before="40" w:after="40"/>
              <w:ind w:left="567"/>
              <w:rPr>
                <w:rFonts w:cstheme="minorHAnsi"/>
                <w:b/>
                <w:bCs/>
                <w:sz w:val="20"/>
                <w:szCs w:val="20"/>
                <w:lang w:val="en-US"/>
              </w:rPr>
            </w:pPr>
            <w:r>
              <w:rPr>
                <w:rFonts w:cstheme="minorHAnsi"/>
                <w:b/>
                <w:bCs/>
                <w:sz w:val="20"/>
                <w:szCs w:val="20"/>
                <w:lang w:val="en-US"/>
              </w:rPr>
              <w:t>Reason</w:t>
            </w:r>
          </w:p>
        </w:tc>
        <w:tc>
          <w:tcPr>
            <w:tcW w:w="993" w:type="dxa"/>
            <w:tcBorders>
              <w:left w:val="nil"/>
              <w:bottom w:val="single" w:sz="4" w:space="0" w:color="auto"/>
              <w:right w:val="nil"/>
            </w:tcBorders>
            <w:tcMar>
              <w:left w:w="28" w:type="dxa"/>
              <w:right w:w="28" w:type="dxa"/>
            </w:tcMar>
          </w:tcPr>
          <w:p w14:paraId="0AE5A48C" w14:textId="77777777" w:rsidR="00B75793" w:rsidRPr="00A5268B" w:rsidRDefault="00B75793" w:rsidP="00EA086B">
            <w:pPr>
              <w:spacing w:before="40" w:after="40"/>
              <w:jc w:val="center"/>
              <w:rPr>
                <w:rFonts w:cstheme="minorHAnsi"/>
                <w:b/>
                <w:bCs/>
                <w:lang w:val="en-US"/>
              </w:rPr>
            </w:pPr>
            <w:r>
              <w:rPr>
                <w:rFonts w:cstheme="minorHAnsi"/>
                <w:b/>
                <w:bCs/>
                <w:lang w:val="en-US"/>
              </w:rPr>
              <w:t>(n = 7)</w:t>
            </w:r>
          </w:p>
        </w:tc>
        <w:tc>
          <w:tcPr>
            <w:tcW w:w="1275" w:type="dxa"/>
            <w:tcBorders>
              <w:left w:val="nil"/>
              <w:bottom w:val="single" w:sz="4" w:space="0" w:color="auto"/>
              <w:right w:val="nil"/>
            </w:tcBorders>
            <w:tcMar>
              <w:left w:w="28" w:type="dxa"/>
              <w:right w:w="28" w:type="dxa"/>
            </w:tcMar>
          </w:tcPr>
          <w:p w14:paraId="26E632FA" w14:textId="77777777" w:rsidR="00B75793" w:rsidRPr="00A5268B" w:rsidRDefault="00B75793" w:rsidP="00EA086B">
            <w:pPr>
              <w:spacing w:before="40" w:after="40"/>
              <w:jc w:val="center"/>
              <w:rPr>
                <w:rFonts w:cstheme="minorHAnsi"/>
                <w:b/>
                <w:bCs/>
                <w:lang w:val="en-US"/>
              </w:rPr>
            </w:pPr>
            <w:r>
              <w:rPr>
                <w:rFonts w:cstheme="minorHAnsi"/>
                <w:b/>
                <w:bCs/>
                <w:lang w:val="en-US"/>
              </w:rPr>
              <w:t>(n = 22)</w:t>
            </w:r>
          </w:p>
        </w:tc>
        <w:tc>
          <w:tcPr>
            <w:tcW w:w="851" w:type="dxa"/>
            <w:tcBorders>
              <w:left w:val="nil"/>
              <w:bottom w:val="single" w:sz="4" w:space="0" w:color="auto"/>
              <w:right w:val="nil"/>
            </w:tcBorders>
            <w:tcMar>
              <w:left w:w="28" w:type="dxa"/>
              <w:right w:w="28" w:type="dxa"/>
            </w:tcMar>
          </w:tcPr>
          <w:p w14:paraId="683E696C" w14:textId="77777777" w:rsidR="00B75793" w:rsidRPr="00A5268B" w:rsidRDefault="00B75793" w:rsidP="00EA086B">
            <w:pPr>
              <w:spacing w:before="40" w:after="40"/>
              <w:jc w:val="center"/>
              <w:rPr>
                <w:rFonts w:cstheme="minorHAnsi"/>
                <w:b/>
                <w:bCs/>
                <w:lang w:val="en-US"/>
              </w:rPr>
            </w:pPr>
            <w:r>
              <w:rPr>
                <w:rFonts w:cstheme="minorHAnsi"/>
                <w:b/>
                <w:bCs/>
                <w:lang w:val="en-US"/>
              </w:rPr>
              <w:t>(n = 27)</w:t>
            </w:r>
          </w:p>
        </w:tc>
        <w:tc>
          <w:tcPr>
            <w:tcW w:w="850" w:type="dxa"/>
            <w:tcBorders>
              <w:left w:val="nil"/>
              <w:bottom w:val="single" w:sz="4" w:space="0" w:color="auto"/>
              <w:right w:val="nil"/>
            </w:tcBorders>
            <w:tcMar>
              <w:left w:w="28" w:type="dxa"/>
              <w:right w:w="28" w:type="dxa"/>
            </w:tcMar>
          </w:tcPr>
          <w:p w14:paraId="3D5F54D0" w14:textId="77777777" w:rsidR="00B75793" w:rsidRPr="00A5268B" w:rsidRDefault="00B75793" w:rsidP="00EA086B">
            <w:pPr>
              <w:spacing w:before="40" w:after="40"/>
              <w:jc w:val="center"/>
              <w:rPr>
                <w:rFonts w:cstheme="minorHAnsi"/>
                <w:b/>
                <w:bCs/>
                <w:lang w:val="en-US"/>
              </w:rPr>
            </w:pPr>
            <w:r>
              <w:rPr>
                <w:rFonts w:cstheme="minorHAnsi"/>
                <w:b/>
                <w:bCs/>
                <w:lang w:val="en-US"/>
              </w:rPr>
              <w:t>(n = 28)</w:t>
            </w:r>
          </w:p>
        </w:tc>
        <w:tc>
          <w:tcPr>
            <w:tcW w:w="1701" w:type="dxa"/>
            <w:tcBorders>
              <w:left w:val="nil"/>
              <w:bottom w:val="single" w:sz="4" w:space="0" w:color="auto"/>
              <w:right w:val="nil"/>
            </w:tcBorders>
            <w:tcMar>
              <w:left w:w="28" w:type="dxa"/>
              <w:right w:w="28" w:type="dxa"/>
            </w:tcMar>
          </w:tcPr>
          <w:p w14:paraId="3DF49A44" w14:textId="77777777" w:rsidR="00B75793" w:rsidRPr="00A5268B" w:rsidRDefault="00B75793" w:rsidP="00EA086B">
            <w:pPr>
              <w:spacing w:before="40" w:after="40"/>
              <w:jc w:val="center"/>
              <w:rPr>
                <w:rFonts w:cstheme="minorHAnsi"/>
                <w:b/>
                <w:bCs/>
                <w:lang w:val="en-US"/>
              </w:rPr>
            </w:pPr>
            <w:r>
              <w:rPr>
                <w:rFonts w:cstheme="minorHAnsi"/>
                <w:b/>
                <w:bCs/>
                <w:lang w:val="en-US"/>
              </w:rPr>
              <w:t>(n = 84)</w:t>
            </w:r>
          </w:p>
        </w:tc>
      </w:tr>
      <w:tr w:rsidR="00B75793" w14:paraId="4E071C2E" w14:textId="77777777" w:rsidTr="00B94164">
        <w:tc>
          <w:tcPr>
            <w:tcW w:w="3402" w:type="dxa"/>
            <w:tcBorders>
              <w:top w:val="single" w:sz="4" w:space="0" w:color="auto"/>
              <w:left w:val="nil"/>
              <w:bottom w:val="single" w:sz="4" w:space="0" w:color="000000"/>
              <w:right w:val="nil"/>
            </w:tcBorders>
            <w:tcMar>
              <w:left w:w="28" w:type="dxa"/>
              <w:right w:w="28" w:type="dxa"/>
            </w:tcMar>
          </w:tcPr>
          <w:p w14:paraId="7D4582FA" w14:textId="77777777" w:rsidR="00B75793" w:rsidRPr="00CB1E28" w:rsidRDefault="00B75793" w:rsidP="00EA086B">
            <w:pPr>
              <w:spacing w:before="40" w:after="40"/>
              <w:rPr>
                <w:rFonts w:ascii="Times New Roman" w:hAnsi="Times New Roman" w:cs="Times New Roman"/>
                <w:b/>
                <w:bCs/>
                <w:lang w:val="en-US"/>
              </w:rPr>
            </w:pPr>
            <w:r>
              <w:rPr>
                <w:rFonts w:cs="Arial"/>
                <w:b/>
                <w:bCs/>
                <w:color w:val="000000"/>
                <w:sz w:val="18"/>
                <w:szCs w:val="18"/>
              </w:rPr>
              <w:t>No. of patients discontinuing treatment (%)</w:t>
            </w:r>
          </w:p>
        </w:tc>
        <w:tc>
          <w:tcPr>
            <w:tcW w:w="993" w:type="dxa"/>
            <w:tcBorders>
              <w:top w:val="single" w:sz="4" w:space="0" w:color="auto"/>
              <w:left w:val="nil"/>
              <w:bottom w:val="single" w:sz="4" w:space="0" w:color="000000"/>
              <w:right w:val="nil"/>
            </w:tcBorders>
            <w:tcMar>
              <w:left w:w="28" w:type="dxa"/>
              <w:right w:w="28" w:type="dxa"/>
            </w:tcMar>
          </w:tcPr>
          <w:p w14:paraId="6EBEAF39" w14:textId="77777777" w:rsidR="00B75793" w:rsidRDefault="00B75793" w:rsidP="00EA086B">
            <w:pPr>
              <w:spacing w:before="40" w:after="40"/>
              <w:jc w:val="center"/>
              <w:rPr>
                <w:rFonts w:ascii="Times New Roman" w:hAnsi="Times New Roman" w:cs="Times New Roman"/>
                <w:lang w:val="en-US"/>
              </w:rPr>
            </w:pPr>
            <w:r>
              <w:rPr>
                <w:rFonts w:cs="Arial"/>
                <w:color w:val="000000"/>
                <w:sz w:val="18"/>
                <w:szCs w:val="18"/>
              </w:rPr>
              <w:t>7 (100.0)</w:t>
            </w:r>
          </w:p>
        </w:tc>
        <w:tc>
          <w:tcPr>
            <w:tcW w:w="1275" w:type="dxa"/>
            <w:tcBorders>
              <w:top w:val="single" w:sz="4" w:space="0" w:color="auto"/>
              <w:left w:val="nil"/>
              <w:bottom w:val="single" w:sz="4" w:space="0" w:color="000000"/>
              <w:right w:val="nil"/>
            </w:tcBorders>
            <w:tcMar>
              <w:left w:w="28" w:type="dxa"/>
              <w:right w:w="28" w:type="dxa"/>
            </w:tcMar>
          </w:tcPr>
          <w:p w14:paraId="24550808" w14:textId="77777777" w:rsidR="00B75793" w:rsidRDefault="00B75793" w:rsidP="00EA086B">
            <w:pPr>
              <w:spacing w:before="40" w:after="40"/>
              <w:jc w:val="center"/>
              <w:rPr>
                <w:rFonts w:ascii="Times New Roman" w:hAnsi="Times New Roman" w:cs="Times New Roman"/>
                <w:lang w:val="en-US"/>
              </w:rPr>
            </w:pPr>
            <w:r>
              <w:rPr>
                <w:rFonts w:cs="Arial"/>
                <w:color w:val="000000"/>
                <w:sz w:val="18"/>
                <w:szCs w:val="18"/>
              </w:rPr>
              <w:t>20 (90.9)</w:t>
            </w:r>
          </w:p>
        </w:tc>
        <w:tc>
          <w:tcPr>
            <w:tcW w:w="851" w:type="dxa"/>
            <w:tcBorders>
              <w:top w:val="single" w:sz="4" w:space="0" w:color="auto"/>
              <w:left w:val="nil"/>
              <w:bottom w:val="single" w:sz="4" w:space="0" w:color="000000"/>
              <w:right w:val="nil"/>
            </w:tcBorders>
            <w:tcMar>
              <w:left w:w="28" w:type="dxa"/>
              <w:right w:w="28" w:type="dxa"/>
            </w:tcMar>
          </w:tcPr>
          <w:p w14:paraId="6D21EB27" w14:textId="77777777" w:rsidR="00B75793" w:rsidRDefault="00B75793" w:rsidP="00EA086B">
            <w:pPr>
              <w:spacing w:before="40" w:after="40"/>
              <w:jc w:val="center"/>
              <w:rPr>
                <w:rFonts w:ascii="Times New Roman" w:hAnsi="Times New Roman" w:cs="Times New Roman"/>
                <w:lang w:val="en-US"/>
              </w:rPr>
            </w:pPr>
            <w:r>
              <w:rPr>
                <w:rFonts w:cs="Arial"/>
                <w:color w:val="000000"/>
                <w:sz w:val="18"/>
                <w:szCs w:val="18"/>
              </w:rPr>
              <w:t>25 (92.6)</w:t>
            </w:r>
          </w:p>
        </w:tc>
        <w:tc>
          <w:tcPr>
            <w:tcW w:w="850" w:type="dxa"/>
            <w:tcBorders>
              <w:top w:val="single" w:sz="4" w:space="0" w:color="auto"/>
              <w:left w:val="nil"/>
              <w:bottom w:val="single" w:sz="4" w:space="0" w:color="000000"/>
              <w:right w:val="nil"/>
            </w:tcBorders>
            <w:tcMar>
              <w:left w:w="28" w:type="dxa"/>
              <w:right w:w="28" w:type="dxa"/>
            </w:tcMar>
          </w:tcPr>
          <w:p w14:paraId="4947259D" w14:textId="77777777" w:rsidR="00B75793" w:rsidRDefault="00B75793" w:rsidP="00EA086B">
            <w:pPr>
              <w:spacing w:before="40" w:after="40"/>
              <w:jc w:val="center"/>
              <w:rPr>
                <w:rFonts w:ascii="Times New Roman" w:hAnsi="Times New Roman" w:cs="Times New Roman"/>
                <w:lang w:val="en-US"/>
              </w:rPr>
            </w:pPr>
            <w:r>
              <w:rPr>
                <w:rFonts w:cs="Arial"/>
                <w:color w:val="000000"/>
                <w:sz w:val="18"/>
                <w:szCs w:val="18"/>
              </w:rPr>
              <w:t>24 (85.7)</w:t>
            </w:r>
          </w:p>
        </w:tc>
        <w:tc>
          <w:tcPr>
            <w:tcW w:w="1701" w:type="dxa"/>
            <w:tcBorders>
              <w:top w:val="single" w:sz="4" w:space="0" w:color="auto"/>
              <w:left w:val="nil"/>
              <w:bottom w:val="single" w:sz="4" w:space="0" w:color="000000"/>
              <w:right w:val="nil"/>
            </w:tcBorders>
            <w:tcMar>
              <w:left w:w="28" w:type="dxa"/>
              <w:right w:w="28" w:type="dxa"/>
            </w:tcMar>
          </w:tcPr>
          <w:p w14:paraId="0656E11F" w14:textId="77777777" w:rsidR="00B75793" w:rsidRDefault="00B75793" w:rsidP="00EA086B">
            <w:pPr>
              <w:spacing w:before="40" w:after="40"/>
              <w:jc w:val="center"/>
              <w:rPr>
                <w:rFonts w:ascii="Times New Roman" w:hAnsi="Times New Roman" w:cs="Times New Roman"/>
                <w:lang w:val="en-US"/>
              </w:rPr>
            </w:pPr>
            <w:r>
              <w:rPr>
                <w:rFonts w:cs="Arial"/>
                <w:color w:val="000000"/>
                <w:sz w:val="18"/>
                <w:szCs w:val="18"/>
              </w:rPr>
              <w:t>76 (90.5)</w:t>
            </w:r>
          </w:p>
        </w:tc>
      </w:tr>
      <w:tr w:rsidR="00B75793" w:rsidRPr="00C64209" w14:paraId="0EA36130" w14:textId="77777777" w:rsidTr="00110F31">
        <w:tc>
          <w:tcPr>
            <w:tcW w:w="3402" w:type="dxa"/>
            <w:tcBorders>
              <w:top w:val="single" w:sz="4" w:space="0" w:color="000000"/>
              <w:left w:val="nil"/>
              <w:bottom w:val="nil"/>
              <w:right w:val="nil"/>
            </w:tcBorders>
            <w:shd w:val="clear" w:color="auto" w:fill="FFFFFF"/>
            <w:tcMar>
              <w:left w:w="28" w:type="dxa"/>
              <w:right w:w="28" w:type="dxa"/>
            </w:tcMar>
          </w:tcPr>
          <w:p w14:paraId="01D0FA37" w14:textId="77777777" w:rsidR="00B75793" w:rsidRPr="00C64209" w:rsidRDefault="00B75793" w:rsidP="00EA086B">
            <w:pPr>
              <w:spacing w:before="40" w:after="40"/>
              <w:rPr>
                <w:rFonts w:cstheme="minorHAnsi"/>
                <w:sz w:val="20"/>
                <w:szCs w:val="20"/>
                <w:lang w:val="en-US"/>
              </w:rPr>
            </w:pPr>
            <w:r w:rsidRPr="00C64209">
              <w:rPr>
                <w:rFonts w:cstheme="minorHAnsi"/>
                <w:sz w:val="20"/>
                <w:szCs w:val="20"/>
                <w:lang w:val="en-US"/>
              </w:rPr>
              <w:t>AE not related to disease progression</w:t>
            </w:r>
          </w:p>
        </w:tc>
        <w:tc>
          <w:tcPr>
            <w:tcW w:w="993" w:type="dxa"/>
            <w:tcBorders>
              <w:top w:val="nil"/>
              <w:left w:val="nil"/>
              <w:bottom w:val="nil"/>
              <w:right w:val="nil"/>
            </w:tcBorders>
            <w:shd w:val="clear" w:color="auto" w:fill="FFFFFF"/>
            <w:tcMar>
              <w:left w:w="28" w:type="dxa"/>
              <w:right w:w="28" w:type="dxa"/>
            </w:tcMar>
          </w:tcPr>
          <w:p w14:paraId="491BB9DD" w14:textId="77777777" w:rsidR="00B75793" w:rsidRPr="00C64209" w:rsidRDefault="00B75793" w:rsidP="00EA086B">
            <w:pPr>
              <w:spacing w:before="40" w:after="40"/>
              <w:jc w:val="center"/>
              <w:rPr>
                <w:rFonts w:cstheme="minorHAnsi"/>
                <w:sz w:val="20"/>
                <w:szCs w:val="20"/>
                <w:lang w:val="en-US"/>
              </w:rPr>
            </w:pPr>
            <w:r>
              <w:rPr>
                <w:rFonts w:cs="Arial"/>
                <w:color w:val="000000"/>
                <w:sz w:val="18"/>
                <w:szCs w:val="18"/>
              </w:rPr>
              <w:t xml:space="preserve">0 </w:t>
            </w:r>
          </w:p>
        </w:tc>
        <w:tc>
          <w:tcPr>
            <w:tcW w:w="1275" w:type="dxa"/>
            <w:tcBorders>
              <w:top w:val="nil"/>
              <w:left w:val="nil"/>
              <w:bottom w:val="nil"/>
              <w:right w:val="nil"/>
            </w:tcBorders>
            <w:shd w:val="clear" w:color="auto" w:fill="FFFFFF"/>
            <w:tcMar>
              <w:left w:w="28" w:type="dxa"/>
              <w:right w:w="28" w:type="dxa"/>
            </w:tcMar>
          </w:tcPr>
          <w:p w14:paraId="47B641BB" w14:textId="77777777" w:rsidR="00B75793" w:rsidRPr="000960A1" w:rsidRDefault="00B75793" w:rsidP="00EA086B">
            <w:pPr>
              <w:spacing w:before="40" w:after="40"/>
              <w:jc w:val="center"/>
              <w:rPr>
                <w:rFonts w:cstheme="minorHAnsi"/>
                <w:sz w:val="20"/>
                <w:szCs w:val="20"/>
                <w:lang w:val="en-US"/>
              </w:rPr>
            </w:pPr>
            <w:r w:rsidRPr="000960A1">
              <w:rPr>
                <w:rFonts w:cs="Arial"/>
                <w:color w:val="000000"/>
                <w:sz w:val="18"/>
                <w:szCs w:val="18"/>
              </w:rPr>
              <w:t>1 (4.5)</w:t>
            </w:r>
          </w:p>
        </w:tc>
        <w:tc>
          <w:tcPr>
            <w:tcW w:w="851" w:type="dxa"/>
            <w:tcBorders>
              <w:top w:val="nil"/>
              <w:left w:val="nil"/>
              <w:bottom w:val="nil"/>
              <w:right w:val="nil"/>
            </w:tcBorders>
            <w:shd w:val="clear" w:color="auto" w:fill="FFFFFF"/>
            <w:tcMar>
              <w:left w:w="28" w:type="dxa"/>
              <w:right w:w="28" w:type="dxa"/>
            </w:tcMar>
          </w:tcPr>
          <w:p w14:paraId="360489BC" w14:textId="77777777" w:rsidR="00B75793" w:rsidRPr="000960A1" w:rsidRDefault="00B75793" w:rsidP="00EA086B">
            <w:pPr>
              <w:spacing w:before="40" w:after="40"/>
              <w:jc w:val="center"/>
              <w:rPr>
                <w:rFonts w:cstheme="minorHAnsi"/>
                <w:sz w:val="20"/>
                <w:szCs w:val="20"/>
                <w:lang w:val="en-US"/>
              </w:rPr>
            </w:pPr>
            <w:r w:rsidRPr="000960A1">
              <w:rPr>
                <w:rFonts w:cs="Arial"/>
                <w:color w:val="000000"/>
                <w:sz w:val="18"/>
                <w:szCs w:val="18"/>
              </w:rPr>
              <w:t>1 (3.7)</w:t>
            </w:r>
          </w:p>
        </w:tc>
        <w:tc>
          <w:tcPr>
            <w:tcW w:w="850" w:type="dxa"/>
            <w:tcBorders>
              <w:top w:val="nil"/>
              <w:left w:val="nil"/>
              <w:bottom w:val="nil"/>
              <w:right w:val="nil"/>
            </w:tcBorders>
            <w:shd w:val="clear" w:color="auto" w:fill="FFFFFF"/>
            <w:tcMar>
              <w:left w:w="28" w:type="dxa"/>
              <w:right w:w="28" w:type="dxa"/>
            </w:tcMar>
          </w:tcPr>
          <w:p w14:paraId="6724D33A" w14:textId="77777777" w:rsidR="00B75793" w:rsidRPr="000960A1" w:rsidRDefault="00B75793" w:rsidP="00EA086B">
            <w:pPr>
              <w:spacing w:before="40" w:after="40"/>
              <w:jc w:val="center"/>
              <w:rPr>
                <w:rFonts w:cstheme="minorHAnsi"/>
                <w:sz w:val="20"/>
                <w:szCs w:val="20"/>
                <w:lang w:val="en-US"/>
              </w:rPr>
            </w:pPr>
            <w:r w:rsidRPr="000960A1">
              <w:rPr>
                <w:rFonts w:cs="Arial"/>
                <w:color w:val="000000"/>
                <w:sz w:val="18"/>
                <w:szCs w:val="18"/>
              </w:rPr>
              <w:t>1 (3.6)</w:t>
            </w:r>
          </w:p>
        </w:tc>
        <w:tc>
          <w:tcPr>
            <w:tcW w:w="1701" w:type="dxa"/>
            <w:tcBorders>
              <w:top w:val="nil"/>
              <w:left w:val="nil"/>
              <w:bottom w:val="nil"/>
              <w:right w:val="nil"/>
            </w:tcBorders>
            <w:shd w:val="clear" w:color="auto" w:fill="FFFFFF"/>
            <w:tcMar>
              <w:left w:w="28" w:type="dxa"/>
              <w:right w:w="28" w:type="dxa"/>
            </w:tcMar>
          </w:tcPr>
          <w:p w14:paraId="3F828E8C" w14:textId="5A395FC3" w:rsidR="00B75793" w:rsidRPr="000960A1" w:rsidRDefault="000960A1" w:rsidP="00EA086B">
            <w:pPr>
              <w:spacing w:before="40" w:after="40"/>
              <w:jc w:val="center"/>
              <w:rPr>
                <w:rFonts w:cstheme="minorHAnsi"/>
                <w:sz w:val="20"/>
                <w:szCs w:val="20"/>
                <w:lang w:val="en-US"/>
              </w:rPr>
            </w:pPr>
            <w:r w:rsidRPr="007B6939">
              <w:rPr>
                <w:rFonts w:cs="Arial"/>
                <w:color w:val="000000" w:themeColor="text1"/>
                <w:sz w:val="18"/>
                <w:szCs w:val="18"/>
              </w:rPr>
              <w:t xml:space="preserve">3 </w:t>
            </w:r>
            <w:r w:rsidR="00B75793" w:rsidRPr="007B6939">
              <w:rPr>
                <w:rFonts w:cs="Arial"/>
                <w:color w:val="000000" w:themeColor="text1"/>
                <w:sz w:val="18"/>
                <w:szCs w:val="18"/>
              </w:rPr>
              <w:t>(3.6)</w:t>
            </w:r>
          </w:p>
        </w:tc>
      </w:tr>
      <w:tr w:rsidR="00B75793" w:rsidRPr="002470E3" w14:paraId="37723ED8" w14:textId="77777777" w:rsidTr="00110F31">
        <w:tc>
          <w:tcPr>
            <w:tcW w:w="3402" w:type="dxa"/>
            <w:tcBorders>
              <w:top w:val="nil"/>
              <w:left w:val="nil"/>
              <w:bottom w:val="nil"/>
              <w:right w:val="nil"/>
            </w:tcBorders>
            <w:shd w:val="clear" w:color="auto" w:fill="FFFFFF"/>
            <w:tcMar>
              <w:left w:w="28" w:type="dxa"/>
              <w:right w:w="28" w:type="dxa"/>
            </w:tcMar>
          </w:tcPr>
          <w:p w14:paraId="2CD41720"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Lost to Follow-Up</w:t>
            </w:r>
          </w:p>
        </w:tc>
        <w:tc>
          <w:tcPr>
            <w:tcW w:w="993" w:type="dxa"/>
            <w:tcBorders>
              <w:top w:val="nil"/>
              <w:left w:val="nil"/>
              <w:bottom w:val="nil"/>
              <w:right w:val="nil"/>
            </w:tcBorders>
            <w:shd w:val="clear" w:color="auto" w:fill="FFFFFF"/>
            <w:tcMar>
              <w:left w:w="28" w:type="dxa"/>
              <w:right w:w="28" w:type="dxa"/>
            </w:tcMar>
          </w:tcPr>
          <w:p w14:paraId="5F87F24D"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7D675F57"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851" w:type="dxa"/>
            <w:tcBorders>
              <w:top w:val="nil"/>
              <w:left w:val="nil"/>
              <w:bottom w:val="nil"/>
              <w:right w:val="nil"/>
            </w:tcBorders>
            <w:shd w:val="clear" w:color="auto" w:fill="FFFFFF"/>
            <w:tcMar>
              <w:left w:w="28" w:type="dxa"/>
              <w:right w:w="28" w:type="dxa"/>
            </w:tcMar>
          </w:tcPr>
          <w:p w14:paraId="01C197FA"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850" w:type="dxa"/>
            <w:tcBorders>
              <w:top w:val="nil"/>
              <w:left w:val="nil"/>
              <w:bottom w:val="nil"/>
              <w:right w:val="nil"/>
            </w:tcBorders>
            <w:shd w:val="clear" w:color="auto" w:fill="FFFFFF"/>
            <w:tcMar>
              <w:left w:w="28" w:type="dxa"/>
              <w:right w:w="28" w:type="dxa"/>
            </w:tcMar>
          </w:tcPr>
          <w:p w14:paraId="7AEFFF99"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701" w:type="dxa"/>
            <w:tcBorders>
              <w:top w:val="nil"/>
              <w:left w:val="nil"/>
              <w:bottom w:val="nil"/>
              <w:right w:val="nil"/>
            </w:tcBorders>
            <w:shd w:val="clear" w:color="auto" w:fill="FFFFFF"/>
            <w:tcMar>
              <w:left w:w="28" w:type="dxa"/>
              <w:right w:w="28" w:type="dxa"/>
            </w:tcMar>
          </w:tcPr>
          <w:p w14:paraId="42FE78EF"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r>
      <w:tr w:rsidR="00B75793" w:rsidRPr="002470E3" w14:paraId="1DBE59A7" w14:textId="77777777" w:rsidTr="00110F31">
        <w:tc>
          <w:tcPr>
            <w:tcW w:w="3402" w:type="dxa"/>
            <w:tcBorders>
              <w:top w:val="nil"/>
              <w:left w:val="nil"/>
              <w:bottom w:val="nil"/>
              <w:right w:val="nil"/>
            </w:tcBorders>
            <w:shd w:val="clear" w:color="auto" w:fill="FFFFFF"/>
            <w:tcMar>
              <w:left w:w="28" w:type="dxa"/>
              <w:right w:w="28" w:type="dxa"/>
            </w:tcMar>
          </w:tcPr>
          <w:p w14:paraId="34E1AC07"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Objective Disease Progression</w:t>
            </w:r>
          </w:p>
        </w:tc>
        <w:tc>
          <w:tcPr>
            <w:tcW w:w="993" w:type="dxa"/>
            <w:tcBorders>
              <w:top w:val="nil"/>
              <w:left w:val="nil"/>
              <w:bottom w:val="nil"/>
              <w:right w:val="nil"/>
            </w:tcBorders>
            <w:shd w:val="clear" w:color="auto" w:fill="FFFFFF"/>
            <w:tcMar>
              <w:left w:w="28" w:type="dxa"/>
              <w:right w:w="28" w:type="dxa"/>
            </w:tcMar>
          </w:tcPr>
          <w:p w14:paraId="50914DED"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6 </w:t>
            </w:r>
            <w:r w:rsidRPr="002470E3">
              <w:rPr>
                <w:rFonts w:cstheme="minorHAnsi"/>
                <w:color w:val="000000"/>
                <w:sz w:val="18"/>
                <w:szCs w:val="18"/>
              </w:rPr>
              <w:t>(85.7)</w:t>
            </w:r>
          </w:p>
        </w:tc>
        <w:tc>
          <w:tcPr>
            <w:tcW w:w="1275" w:type="dxa"/>
            <w:tcBorders>
              <w:top w:val="nil"/>
              <w:left w:val="nil"/>
              <w:bottom w:val="nil"/>
              <w:right w:val="nil"/>
            </w:tcBorders>
            <w:shd w:val="clear" w:color="auto" w:fill="FFFFFF"/>
            <w:tcMar>
              <w:left w:w="28" w:type="dxa"/>
              <w:right w:w="28" w:type="dxa"/>
            </w:tcMar>
          </w:tcPr>
          <w:p w14:paraId="71675E94"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16 </w:t>
            </w:r>
            <w:r w:rsidRPr="002470E3">
              <w:rPr>
                <w:rFonts w:cstheme="minorHAnsi"/>
                <w:color w:val="000000"/>
                <w:sz w:val="18"/>
                <w:szCs w:val="18"/>
              </w:rPr>
              <w:t>(72.7)</w:t>
            </w:r>
          </w:p>
        </w:tc>
        <w:tc>
          <w:tcPr>
            <w:tcW w:w="851" w:type="dxa"/>
            <w:tcBorders>
              <w:top w:val="nil"/>
              <w:left w:val="nil"/>
              <w:bottom w:val="nil"/>
              <w:right w:val="nil"/>
            </w:tcBorders>
            <w:shd w:val="clear" w:color="auto" w:fill="FFFFFF"/>
            <w:tcMar>
              <w:left w:w="28" w:type="dxa"/>
              <w:right w:w="28" w:type="dxa"/>
            </w:tcMar>
          </w:tcPr>
          <w:p w14:paraId="25A439AC"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17 </w:t>
            </w:r>
            <w:r w:rsidRPr="002470E3">
              <w:rPr>
                <w:rFonts w:cstheme="minorHAnsi"/>
                <w:color w:val="000000"/>
                <w:sz w:val="18"/>
                <w:szCs w:val="18"/>
              </w:rPr>
              <w:t>(63.0)</w:t>
            </w:r>
          </w:p>
        </w:tc>
        <w:tc>
          <w:tcPr>
            <w:tcW w:w="850" w:type="dxa"/>
            <w:tcBorders>
              <w:top w:val="nil"/>
              <w:left w:val="nil"/>
              <w:bottom w:val="nil"/>
              <w:right w:val="nil"/>
            </w:tcBorders>
            <w:shd w:val="clear" w:color="auto" w:fill="FFFFFF"/>
            <w:tcMar>
              <w:left w:w="28" w:type="dxa"/>
              <w:right w:w="28" w:type="dxa"/>
            </w:tcMar>
          </w:tcPr>
          <w:p w14:paraId="28453029"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19 </w:t>
            </w:r>
            <w:r w:rsidRPr="002470E3">
              <w:rPr>
                <w:rFonts w:cstheme="minorHAnsi"/>
                <w:color w:val="000000"/>
                <w:sz w:val="18"/>
                <w:szCs w:val="18"/>
              </w:rPr>
              <w:t>(67.9)</w:t>
            </w:r>
          </w:p>
        </w:tc>
        <w:tc>
          <w:tcPr>
            <w:tcW w:w="1701" w:type="dxa"/>
            <w:tcBorders>
              <w:top w:val="nil"/>
              <w:left w:val="nil"/>
              <w:bottom w:val="nil"/>
              <w:right w:val="nil"/>
            </w:tcBorders>
            <w:shd w:val="clear" w:color="auto" w:fill="FFFFFF"/>
            <w:tcMar>
              <w:left w:w="28" w:type="dxa"/>
              <w:right w:w="28" w:type="dxa"/>
            </w:tcMar>
          </w:tcPr>
          <w:p w14:paraId="43C2A846" w14:textId="77777777" w:rsidR="00B75793" w:rsidRPr="00052D1E" w:rsidRDefault="00B75793" w:rsidP="00EA086B">
            <w:pPr>
              <w:spacing w:before="40" w:after="40"/>
              <w:jc w:val="center"/>
              <w:rPr>
                <w:rFonts w:cstheme="minorHAnsi"/>
                <w:color w:val="808080" w:themeColor="background1" w:themeShade="80"/>
                <w:sz w:val="18"/>
                <w:szCs w:val="18"/>
                <w:lang w:val="en-US"/>
              </w:rPr>
            </w:pPr>
            <w:r w:rsidRPr="008917F8">
              <w:rPr>
                <w:rFonts w:cstheme="minorHAnsi"/>
                <w:color w:val="000000" w:themeColor="text1"/>
                <w:sz w:val="18"/>
                <w:szCs w:val="18"/>
              </w:rPr>
              <w:t>58 (69.0)</w:t>
            </w:r>
          </w:p>
        </w:tc>
      </w:tr>
      <w:tr w:rsidR="00B75793" w:rsidRPr="002470E3" w14:paraId="764AED5D" w14:textId="77777777" w:rsidTr="00110F31">
        <w:tc>
          <w:tcPr>
            <w:tcW w:w="3402" w:type="dxa"/>
            <w:tcBorders>
              <w:top w:val="nil"/>
              <w:left w:val="nil"/>
              <w:bottom w:val="nil"/>
              <w:right w:val="nil"/>
            </w:tcBorders>
            <w:shd w:val="clear" w:color="auto" w:fill="FFFFFF"/>
            <w:tcMar>
              <w:left w:w="28" w:type="dxa"/>
              <w:right w:w="28" w:type="dxa"/>
            </w:tcMar>
          </w:tcPr>
          <w:p w14:paraId="2A8220E7"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Protocol Deviation</w:t>
            </w:r>
          </w:p>
        </w:tc>
        <w:tc>
          <w:tcPr>
            <w:tcW w:w="993" w:type="dxa"/>
            <w:tcBorders>
              <w:top w:val="nil"/>
              <w:left w:val="nil"/>
              <w:bottom w:val="nil"/>
              <w:right w:val="nil"/>
            </w:tcBorders>
            <w:shd w:val="clear" w:color="auto" w:fill="FFFFFF"/>
            <w:tcMar>
              <w:left w:w="28" w:type="dxa"/>
              <w:right w:w="28" w:type="dxa"/>
            </w:tcMar>
          </w:tcPr>
          <w:p w14:paraId="5D351176"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57EBCA03"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851" w:type="dxa"/>
            <w:tcBorders>
              <w:top w:val="nil"/>
              <w:left w:val="nil"/>
              <w:bottom w:val="nil"/>
              <w:right w:val="nil"/>
            </w:tcBorders>
            <w:shd w:val="clear" w:color="auto" w:fill="FFFFFF"/>
            <w:tcMar>
              <w:left w:w="28" w:type="dxa"/>
              <w:right w:w="28" w:type="dxa"/>
            </w:tcMar>
          </w:tcPr>
          <w:p w14:paraId="0BB1AF62"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3AA1F15C"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4B437777"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08BCD455" w14:textId="77777777" w:rsidTr="00110F31">
        <w:tc>
          <w:tcPr>
            <w:tcW w:w="3402" w:type="dxa"/>
            <w:tcBorders>
              <w:top w:val="nil"/>
              <w:left w:val="nil"/>
              <w:bottom w:val="nil"/>
              <w:right w:val="nil"/>
            </w:tcBorders>
            <w:shd w:val="clear" w:color="auto" w:fill="FFFFFF"/>
            <w:tcMar>
              <w:left w:w="28" w:type="dxa"/>
              <w:right w:w="28" w:type="dxa"/>
            </w:tcMar>
          </w:tcPr>
          <w:p w14:paraId="33810086" w14:textId="5CE87684"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xml:space="preserve"> Subject </w:t>
            </w:r>
            <w:r w:rsidR="001B4DA9">
              <w:rPr>
                <w:rFonts w:cstheme="minorHAnsi"/>
                <w:color w:val="000000"/>
                <w:sz w:val="18"/>
                <w:szCs w:val="18"/>
              </w:rPr>
              <w:t>N</w:t>
            </w:r>
            <w:r w:rsidR="001B4DA9" w:rsidRPr="002470E3">
              <w:rPr>
                <w:rFonts w:cstheme="minorHAnsi"/>
                <w:color w:val="000000"/>
                <w:sz w:val="18"/>
                <w:szCs w:val="18"/>
              </w:rPr>
              <w:t>on-compliance</w:t>
            </w:r>
          </w:p>
        </w:tc>
        <w:tc>
          <w:tcPr>
            <w:tcW w:w="993" w:type="dxa"/>
            <w:tcBorders>
              <w:top w:val="nil"/>
              <w:left w:val="nil"/>
              <w:bottom w:val="nil"/>
              <w:right w:val="nil"/>
            </w:tcBorders>
            <w:shd w:val="clear" w:color="auto" w:fill="FFFFFF"/>
            <w:tcMar>
              <w:left w:w="28" w:type="dxa"/>
              <w:right w:w="28" w:type="dxa"/>
            </w:tcMar>
          </w:tcPr>
          <w:p w14:paraId="76FDD258"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0 </w:t>
            </w:r>
          </w:p>
        </w:tc>
        <w:tc>
          <w:tcPr>
            <w:tcW w:w="1275" w:type="dxa"/>
            <w:tcBorders>
              <w:top w:val="nil"/>
              <w:left w:val="nil"/>
              <w:bottom w:val="nil"/>
              <w:right w:val="nil"/>
            </w:tcBorders>
            <w:shd w:val="clear" w:color="auto" w:fill="FFFFFF"/>
            <w:tcMar>
              <w:left w:w="28" w:type="dxa"/>
              <w:right w:w="28" w:type="dxa"/>
            </w:tcMar>
          </w:tcPr>
          <w:p w14:paraId="027B669E"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851" w:type="dxa"/>
            <w:tcBorders>
              <w:top w:val="nil"/>
              <w:left w:val="nil"/>
              <w:bottom w:val="nil"/>
              <w:right w:val="nil"/>
            </w:tcBorders>
            <w:shd w:val="clear" w:color="auto" w:fill="FFFFFF"/>
            <w:tcMar>
              <w:left w:w="28" w:type="dxa"/>
              <w:right w:w="28" w:type="dxa"/>
            </w:tcMar>
          </w:tcPr>
          <w:p w14:paraId="531C7D8F"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0709BFB5"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18DA4604"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3C377192" w14:textId="77777777" w:rsidTr="00110F31">
        <w:tc>
          <w:tcPr>
            <w:tcW w:w="3402" w:type="dxa"/>
            <w:tcBorders>
              <w:top w:val="nil"/>
              <w:left w:val="nil"/>
              <w:bottom w:val="nil"/>
              <w:right w:val="nil"/>
            </w:tcBorders>
            <w:shd w:val="clear" w:color="auto" w:fill="FFFFFF"/>
            <w:tcMar>
              <w:left w:w="28" w:type="dxa"/>
              <w:right w:w="28" w:type="dxa"/>
            </w:tcMar>
          </w:tcPr>
          <w:p w14:paraId="4F2A824A"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Sponsor Decision</w:t>
            </w:r>
          </w:p>
        </w:tc>
        <w:tc>
          <w:tcPr>
            <w:tcW w:w="993" w:type="dxa"/>
            <w:tcBorders>
              <w:top w:val="nil"/>
              <w:left w:val="nil"/>
              <w:bottom w:val="nil"/>
              <w:right w:val="nil"/>
            </w:tcBorders>
            <w:shd w:val="clear" w:color="auto" w:fill="FFFFFF"/>
            <w:tcMar>
              <w:left w:w="28" w:type="dxa"/>
              <w:right w:w="28" w:type="dxa"/>
            </w:tcMar>
          </w:tcPr>
          <w:p w14:paraId="2CD540AD"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0C1F06FD"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851" w:type="dxa"/>
            <w:tcBorders>
              <w:top w:val="nil"/>
              <w:left w:val="nil"/>
              <w:bottom w:val="nil"/>
              <w:right w:val="nil"/>
            </w:tcBorders>
            <w:shd w:val="clear" w:color="auto" w:fill="FFFFFF"/>
            <w:tcMar>
              <w:left w:w="28" w:type="dxa"/>
              <w:right w:w="28" w:type="dxa"/>
            </w:tcMar>
          </w:tcPr>
          <w:p w14:paraId="1D5BDF18"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688A649F"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49DCF1DC"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76B23450" w14:textId="77777777" w:rsidTr="00110F31">
        <w:tc>
          <w:tcPr>
            <w:tcW w:w="3402" w:type="dxa"/>
            <w:tcBorders>
              <w:top w:val="nil"/>
              <w:left w:val="nil"/>
              <w:bottom w:val="nil"/>
              <w:right w:val="nil"/>
            </w:tcBorders>
            <w:shd w:val="clear" w:color="auto" w:fill="FFFFFF"/>
            <w:tcMar>
              <w:left w:w="28" w:type="dxa"/>
              <w:right w:w="28" w:type="dxa"/>
            </w:tcMar>
          </w:tcPr>
          <w:p w14:paraId="360CB00D"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Physician Decision</w:t>
            </w:r>
          </w:p>
        </w:tc>
        <w:tc>
          <w:tcPr>
            <w:tcW w:w="993" w:type="dxa"/>
            <w:tcBorders>
              <w:top w:val="nil"/>
              <w:left w:val="nil"/>
              <w:bottom w:val="nil"/>
              <w:right w:val="nil"/>
            </w:tcBorders>
            <w:shd w:val="clear" w:color="auto" w:fill="FFFFFF"/>
            <w:tcMar>
              <w:left w:w="28" w:type="dxa"/>
              <w:right w:w="28" w:type="dxa"/>
            </w:tcMar>
          </w:tcPr>
          <w:p w14:paraId="1FCABD8A"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3FD6104E"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851" w:type="dxa"/>
            <w:tcBorders>
              <w:top w:val="nil"/>
              <w:left w:val="nil"/>
              <w:bottom w:val="nil"/>
              <w:right w:val="nil"/>
            </w:tcBorders>
            <w:shd w:val="clear" w:color="auto" w:fill="FFFFFF"/>
            <w:tcMar>
              <w:left w:w="28" w:type="dxa"/>
              <w:right w:w="28" w:type="dxa"/>
            </w:tcMar>
          </w:tcPr>
          <w:p w14:paraId="123C4A85"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2E037D0D"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1597AC1B"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0E2A3A7F" w14:textId="77777777" w:rsidTr="00110F31">
        <w:tc>
          <w:tcPr>
            <w:tcW w:w="3402" w:type="dxa"/>
            <w:tcBorders>
              <w:top w:val="nil"/>
              <w:left w:val="nil"/>
              <w:bottom w:val="nil"/>
              <w:right w:val="nil"/>
            </w:tcBorders>
            <w:shd w:val="clear" w:color="auto" w:fill="FFFFFF"/>
            <w:tcMar>
              <w:left w:w="28" w:type="dxa"/>
              <w:right w:w="28" w:type="dxa"/>
            </w:tcMar>
          </w:tcPr>
          <w:p w14:paraId="2D8DDD38"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Treatment Withdrawal by Subject</w:t>
            </w:r>
          </w:p>
        </w:tc>
        <w:tc>
          <w:tcPr>
            <w:tcW w:w="993" w:type="dxa"/>
            <w:tcBorders>
              <w:top w:val="nil"/>
              <w:left w:val="nil"/>
              <w:bottom w:val="nil"/>
              <w:right w:val="nil"/>
            </w:tcBorders>
            <w:shd w:val="clear" w:color="auto" w:fill="FFFFFF"/>
            <w:tcMar>
              <w:left w:w="28" w:type="dxa"/>
              <w:right w:w="28" w:type="dxa"/>
            </w:tcMar>
          </w:tcPr>
          <w:p w14:paraId="366C866F"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 </w:t>
            </w:r>
            <w:r w:rsidRPr="002470E3">
              <w:rPr>
                <w:rFonts w:cstheme="minorHAnsi"/>
                <w:color w:val="000000"/>
                <w:sz w:val="18"/>
                <w:szCs w:val="18"/>
              </w:rPr>
              <w:t>(14.3)</w:t>
            </w:r>
          </w:p>
        </w:tc>
        <w:tc>
          <w:tcPr>
            <w:tcW w:w="1275" w:type="dxa"/>
            <w:tcBorders>
              <w:top w:val="nil"/>
              <w:left w:val="nil"/>
              <w:bottom w:val="nil"/>
              <w:right w:val="nil"/>
            </w:tcBorders>
            <w:shd w:val="clear" w:color="auto" w:fill="FFFFFF"/>
            <w:tcMar>
              <w:left w:w="28" w:type="dxa"/>
              <w:right w:w="28" w:type="dxa"/>
            </w:tcMar>
          </w:tcPr>
          <w:p w14:paraId="7C6E2909"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292940DF"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2EAA7591"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5E556C57"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 </w:t>
            </w:r>
            <w:r w:rsidRPr="002470E3">
              <w:rPr>
                <w:rFonts w:cstheme="minorHAnsi"/>
                <w:color w:val="000000"/>
                <w:sz w:val="18"/>
                <w:szCs w:val="18"/>
              </w:rPr>
              <w:t>(1.2)</w:t>
            </w:r>
          </w:p>
        </w:tc>
      </w:tr>
      <w:tr w:rsidR="00B75793" w:rsidRPr="002470E3" w14:paraId="78B2C822" w14:textId="77777777" w:rsidTr="00110F31">
        <w:tc>
          <w:tcPr>
            <w:tcW w:w="3402" w:type="dxa"/>
            <w:tcBorders>
              <w:top w:val="nil"/>
              <w:left w:val="nil"/>
              <w:bottom w:val="nil"/>
              <w:right w:val="nil"/>
            </w:tcBorders>
            <w:shd w:val="clear" w:color="auto" w:fill="FFFFFF"/>
            <w:tcMar>
              <w:left w:w="28" w:type="dxa"/>
              <w:right w:w="28" w:type="dxa"/>
            </w:tcMar>
          </w:tcPr>
          <w:p w14:paraId="0512DB67"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Study Withdrawal by Subject</w:t>
            </w:r>
          </w:p>
        </w:tc>
        <w:tc>
          <w:tcPr>
            <w:tcW w:w="993" w:type="dxa"/>
            <w:tcBorders>
              <w:top w:val="nil"/>
              <w:left w:val="nil"/>
              <w:bottom w:val="nil"/>
              <w:right w:val="nil"/>
            </w:tcBorders>
            <w:shd w:val="clear" w:color="auto" w:fill="FFFFFF"/>
            <w:tcMar>
              <w:left w:w="28" w:type="dxa"/>
              <w:right w:w="28" w:type="dxa"/>
            </w:tcMar>
          </w:tcPr>
          <w:p w14:paraId="3F77B9E9"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6F240206"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536E8CFA"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 </w:t>
            </w:r>
            <w:r w:rsidRPr="002470E3">
              <w:rPr>
                <w:rFonts w:cstheme="minorHAnsi"/>
                <w:color w:val="000000"/>
                <w:sz w:val="18"/>
                <w:szCs w:val="18"/>
              </w:rPr>
              <w:t>(3.7)</w:t>
            </w:r>
          </w:p>
        </w:tc>
        <w:tc>
          <w:tcPr>
            <w:tcW w:w="850" w:type="dxa"/>
            <w:tcBorders>
              <w:top w:val="nil"/>
              <w:left w:val="nil"/>
              <w:bottom w:val="nil"/>
              <w:right w:val="nil"/>
            </w:tcBorders>
            <w:shd w:val="clear" w:color="auto" w:fill="FFFFFF"/>
            <w:tcMar>
              <w:left w:w="28" w:type="dxa"/>
              <w:right w:w="28" w:type="dxa"/>
            </w:tcMar>
          </w:tcPr>
          <w:p w14:paraId="532322C5"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5733C8FF"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 </w:t>
            </w:r>
            <w:r w:rsidRPr="002470E3">
              <w:rPr>
                <w:rFonts w:cstheme="minorHAnsi"/>
                <w:color w:val="000000"/>
                <w:sz w:val="18"/>
                <w:szCs w:val="18"/>
              </w:rPr>
              <w:t>(1.2)</w:t>
            </w:r>
          </w:p>
        </w:tc>
      </w:tr>
      <w:tr w:rsidR="00B75793" w:rsidRPr="002470E3" w14:paraId="31D457F6" w14:textId="77777777" w:rsidTr="00110F31">
        <w:tc>
          <w:tcPr>
            <w:tcW w:w="3402" w:type="dxa"/>
            <w:tcBorders>
              <w:top w:val="nil"/>
              <w:left w:val="nil"/>
              <w:bottom w:val="nil"/>
              <w:right w:val="nil"/>
            </w:tcBorders>
            <w:shd w:val="clear" w:color="auto" w:fill="FFFFFF"/>
            <w:tcMar>
              <w:left w:w="28" w:type="dxa"/>
              <w:right w:w="28" w:type="dxa"/>
            </w:tcMar>
          </w:tcPr>
          <w:p w14:paraId="7DB4B6F6"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Unacceptable Toxicity</w:t>
            </w:r>
          </w:p>
        </w:tc>
        <w:tc>
          <w:tcPr>
            <w:tcW w:w="993" w:type="dxa"/>
            <w:tcBorders>
              <w:top w:val="nil"/>
              <w:left w:val="nil"/>
              <w:bottom w:val="nil"/>
              <w:right w:val="nil"/>
            </w:tcBorders>
            <w:shd w:val="clear" w:color="auto" w:fill="FFFFFF"/>
            <w:tcMar>
              <w:left w:w="28" w:type="dxa"/>
              <w:right w:w="28" w:type="dxa"/>
            </w:tcMar>
          </w:tcPr>
          <w:p w14:paraId="18DBE9E4"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47A8804E"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264F1E2F"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850" w:type="dxa"/>
            <w:tcBorders>
              <w:top w:val="nil"/>
              <w:left w:val="nil"/>
              <w:bottom w:val="nil"/>
              <w:right w:val="nil"/>
            </w:tcBorders>
            <w:shd w:val="clear" w:color="auto" w:fill="FFFFFF"/>
            <w:tcMar>
              <w:left w:w="28" w:type="dxa"/>
              <w:right w:w="28" w:type="dxa"/>
            </w:tcMar>
          </w:tcPr>
          <w:p w14:paraId="4445AF7D"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455A3C9E"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4378C375" w14:textId="77777777" w:rsidTr="00110F31">
        <w:tc>
          <w:tcPr>
            <w:tcW w:w="3402" w:type="dxa"/>
            <w:tcBorders>
              <w:top w:val="nil"/>
              <w:left w:val="nil"/>
              <w:bottom w:val="nil"/>
              <w:right w:val="nil"/>
            </w:tcBorders>
            <w:shd w:val="clear" w:color="auto" w:fill="FFFFFF"/>
            <w:tcMar>
              <w:left w:w="28" w:type="dxa"/>
              <w:right w:w="28" w:type="dxa"/>
            </w:tcMar>
          </w:tcPr>
          <w:p w14:paraId="3A3F34AF"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Death</w:t>
            </w:r>
          </w:p>
        </w:tc>
        <w:tc>
          <w:tcPr>
            <w:tcW w:w="993" w:type="dxa"/>
            <w:tcBorders>
              <w:top w:val="nil"/>
              <w:left w:val="nil"/>
              <w:bottom w:val="nil"/>
              <w:right w:val="nil"/>
            </w:tcBorders>
            <w:shd w:val="clear" w:color="auto" w:fill="FFFFFF"/>
            <w:tcMar>
              <w:left w:w="28" w:type="dxa"/>
              <w:right w:w="28" w:type="dxa"/>
            </w:tcMar>
          </w:tcPr>
          <w:p w14:paraId="25D4FFE2"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77694090"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2 </w:t>
            </w:r>
            <w:r w:rsidRPr="002470E3">
              <w:rPr>
                <w:rFonts w:cstheme="minorHAnsi"/>
                <w:color w:val="000000"/>
                <w:sz w:val="18"/>
                <w:szCs w:val="18"/>
              </w:rPr>
              <w:t>(9.1)</w:t>
            </w:r>
          </w:p>
        </w:tc>
        <w:tc>
          <w:tcPr>
            <w:tcW w:w="851" w:type="dxa"/>
            <w:tcBorders>
              <w:top w:val="nil"/>
              <w:left w:val="nil"/>
              <w:bottom w:val="nil"/>
              <w:right w:val="nil"/>
            </w:tcBorders>
            <w:shd w:val="clear" w:color="auto" w:fill="FFFFFF"/>
            <w:tcMar>
              <w:left w:w="28" w:type="dxa"/>
              <w:right w:w="28" w:type="dxa"/>
            </w:tcMar>
          </w:tcPr>
          <w:p w14:paraId="1BDECEBF"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 </w:t>
            </w:r>
            <w:r w:rsidRPr="002470E3">
              <w:rPr>
                <w:rFonts w:cstheme="minorHAnsi"/>
                <w:color w:val="000000"/>
                <w:sz w:val="18"/>
                <w:szCs w:val="18"/>
              </w:rPr>
              <w:t>(3.7)</w:t>
            </w:r>
          </w:p>
        </w:tc>
        <w:tc>
          <w:tcPr>
            <w:tcW w:w="850" w:type="dxa"/>
            <w:tcBorders>
              <w:top w:val="nil"/>
              <w:left w:val="nil"/>
              <w:bottom w:val="nil"/>
              <w:right w:val="nil"/>
            </w:tcBorders>
            <w:shd w:val="clear" w:color="auto" w:fill="FFFFFF"/>
            <w:tcMar>
              <w:left w:w="28" w:type="dxa"/>
              <w:right w:w="28" w:type="dxa"/>
            </w:tcMar>
          </w:tcPr>
          <w:p w14:paraId="4DAE47BB" w14:textId="58466C52" w:rsidR="00B75793" w:rsidRPr="002470E3" w:rsidRDefault="008917F8" w:rsidP="00EA086B">
            <w:pPr>
              <w:spacing w:before="40" w:after="40"/>
              <w:jc w:val="center"/>
              <w:rPr>
                <w:rFonts w:cstheme="minorHAnsi"/>
                <w:sz w:val="18"/>
                <w:szCs w:val="18"/>
                <w:lang w:val="en-US"/>
              </w:rPr>
            </w:pPr>
            <w:r>
              <w:rPr>
                <w:rFonts w:cstheme="minorHAnsi"/>
                <w:color w:val="000000"/>
                <w:sz w:val="18"/>
                <w:szCs w:val="18"/>
              </w:rPr>
              <w:t xml:space="preserve"> </w:t>
            </w:r>
            <w:r w:rsidR="00B75793">
              <w:rPr>
                <w:rFonts w:cstheme="minorHAnsi"/>
                <w:color w:val="000000"/>
                <w:sz w:val="18"/>
                <w:szCs w:val="18"/>
              </w:rPr>
              <w:t xml:space="preserve">3 </w:t>
            </w:r>
            <w:r w:rsidR="00B75793" w:rsidRPr="002470E3">
              <w:rPr>
                <w:rFonts w:cstheme="minorHAnsi"/>
                <w:color w:val="000000"/>
                <w:sz w:val="18"/>
                <w:szCs w:val="18"/>
              </w:rPr>
              <w:t>(10.7)</w:t>
            </w:r>
          </w:p>
        </w:tc>
        <w:tc>
          <w:tcPr>
            <w:tcW w:w="1701" w:type="dxa"/>
            <w:tcBorders>
              <w:top w:val="nil"/>
              <w:left w:val="nil"/>
              <w:bottom w:val="nil"/>
              <w:right w:val="nil"/>
            </w:tcBorders>
            <w:shd w:val="clear" w:color="auto" w:fill="FFFFFF"/>
            <w:tcMar>
              <w:left w:w="28" w:type="dxa"/>
              <w:right w:w="28" w:type="dxa"/>
            </w:tcMar>
          </w:tcPr>
          <w:p w14:paraId="2EF33659"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6 </w:t>
            </w:r>
            <w:r w:rsidRPr="002470E3">
              <w:rPr>
                <w:rFonts w:cstheme="minorHAnsi"/>
                <w:color w:val="000000"/>
                <w:sz w:val="18"/>
                <w:szCs w:val="18"/>
              </w:rPr>
              <w:t>(7.1)</w:t>
            </w:r>
          </w:p>
        </w:tc>
      </w:tr>
      <w:tr w:rsidR="00B75793" w:rsidRPr="002470E3" w14:paraId="30613102" w14:textId="77777777" w:rsidTr="00110F31">
        <w:tc>
          <w:tcPr>
            <w:tcW w:w="3402" w:type="dxa"/>
            <w:tcBorders>
              <w:top w:val="nil"/>
              <w:left w:val="nil"/>
              <w:bottom w:val="nil"/>
              <w:right w:val="nil"/>
            </w:tcBorders>
            <w:shd w:val="clear" w:color="auto" w:fill="FFFFFF"/>
            <w:tcMar>
              <w:left w:w="28" w:type="dxa"/>
              <w:right w:w="28" w:type="dxa"/>
            </w:tcMar>
          </w:tcPr>
          <w:p w14:paraId="0AEF3227"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Death due to COVID-19</w:t>
            </w:r>
          </w:p>
        </w:tc>
        <w:tc>
          <w:tcPr>
            <w:tcW w:w="993" w:type="dxa"/>
            <w:tcBorders>
              <w:top w:val="nil"/>
              <w:left w:val="nil"/>
              <w:bottom w:val="nil"/>
              <w:right w:val="nil"/>
            </w:tcBorders>
            <w:shd w:val="clear" w:color="auto" w:fill="FFFFFF"/>
            <w:tcMar>
              <w:left w:w="28" w:type="dxa"/>
              <w:right w:w="28" w:type="dxa"/>
            </w:tcMar>
          </w:tcPr>
          <w:p w14:paraId="1563C30F"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0 </w:t>
            </w:r>
          </w:p>
        </w:tc>
        <w:tc>
          <w:tcPr>
            <w:tcW w:w="1275" w:type="dxa"/>
            <w:tcBorders>
              <w:top w:val="nil"/>
              <w:left w:val="nil"/>
              <w:bottom w:val="nil"/>
              <w:right w:val="nil"/>
            </w:tcBorders>
            <w:shd w:val="clear" w:color="auto" w:fill="FFFFFF"/>
            <w:tcMar>
              <w:left w:w="28" w:type="dxa"/>
              <w:right w:w="28" w:type="dxa"/>
            </w:tcMar>
          </w:tcPr>
          <w:p w14:paraId="2F3ED577"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189006DB"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6863C41E"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5EB71303"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76DAA4E0" w14:textId="77777777" w:rsidTr="00110F31">
        <w:tc>
          <w:tcPr>
            <w:tcW w:w="3402" w:type="dxa"/>
            <w:tcBorders>
              <w:top w:val="nil"/>
              <w:left w:val="nil"/>
              <w:bottom w:val="nil"/>
              <w:right w:val="nil"/>
            </w:tcBorders>
            <w:shd w:val="clear" w:color="auto" w:fill="FFFFFF"/>
            <w:tcMar>
              <w:left w:w="28" w:type="dxa"/>
              <w:right w:w="28" w:type="dxa"/>
            </w:tcMar>
          </w:tcPr>
          <w:p w14:paraId="1BA1E82E"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Subject diagnosed with COVID-19</w:t>
            </w:r>
          </w:p>
        </w:tc>
        <w:tc>
          <w:tcPr>
            <w:tcW w:w="993" w:type="dxa"/>
            <w:tcBorders>
              <w:top w:val="nil"/>
              <w:left w:val="nil"/>
              <w:bottom w:val="nil"/>
              <w:right w:val="nil"/>
            </w:tcBorders>
            <w:shd w:val="clear" w:color="auto" w:fill="FFFFFF"/>
            <w:tcMar>
              <w:left w:w="28" w:type="dxa"/>
              <w:right w:w="28" w:type="dxa"/>
            </w:tcMar>
          </w:tcPr>
          <w:p w14:paraId="2D54E702"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0 </w:t>
            </w:r>
          </w:p>
        </w:tc>
        <w:tc>
          <w:tcPr>
            <w:tcW w:w="1275" w:type="dxa"/>
            <w:tcBorders>
              <w:top w:val="nil"/>
              <w:left w:val="nil"/>
              <w:bottom w:val="nil"/>
              <w:right w:val="nil"/>
            </w:tcBorders>
            <w:shd w:val="clear" w:color="auto" w:fill="FFFFFF"/>
            <w:tcMar>
              <w:left w:w="28" w:type="dxa"/>
              <w:right w:w="28" w:type="dxa"/>
            </w:tcMar>
          </w:tcPr>
          <w:p w14:paraId="2D2EF758"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7DD3A69C"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3BAB9EFD"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768F69CC"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7FF3288C" w14:textId="77777777" w:rsidTr="00110F31">
        <w:tc>
          <w:tcPr>
            <w:tcW w:w="3402" w:type="dxa"/>
            <w:tcBorders>
              <w:top w:val="nil"/>
              <w:left w:val="nil"/>
              <w:bottom w:val="nil"/>
              <w:right w:val="nil"/>
            </w:tcBorders>
            <w:shd w:val="clear" w:color="auto" w:fill="FFFFFF"/>
            <w:tcMar>
              <w:left w:w="28" w:type="dxa"/>
              <w:right w:w="28" w:type="dxa"/>
            </w:tcMar>
          </w:tcPr>
          <w:p w14:paraId="3CF429A0"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COVID-19 Subject fears</w:t>
            </w:r>
          </w:p>
        </w:tc>
        <w:tc>
          <w:tcPr>
            <w:tcW w:w="993" w:type="dxa"/>
            <w:tcBorders>
              <w:top w:val="nil"/>
              <w:left w:val="nil"/>
              <w:bottom w:val="nil"/>
              <w:right w:val="nil"/>
            </w:tcBorders>
            <w:shd w:val="clear" w:color="auto" w:fill="FFFFFF"/>
            <w:tcMar>
              <w:left w:w="28" w:type="dxa"/>
              <w:right w:w="28" w:type="dxa"/>
            </w:tcMar>
          </w:tcPr>
          <w:p w14:paraId="7DEDA986"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218D880C"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4DA8EC55"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647F46A7"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32DDBEF2"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6F52AB69" w14:textId="77777777" w:rsidTr="00110F31">
        <w:tc>
          <w:tcPr>
            <w:tcW w:w="3402" w:type="dxa"/>
            <w:tcBorders>
              <w:top w:val="nil"/>
              <w:left w:val="nil"/>
              <w:bottom w:val="nil"/>
              <w:right w:val="nil"/>
            </w:tcBorders>
            <w:shd w:val="clear" w:color="auto" w:fill="FFFFFF"/>
            <w:tcMar>
              <w:left w:w="28" w:type="dxa"/>
              <w:right w:w="28" w:type="dxa"/>
            </w:tcMar>
          </w:tcPr>
          <w:p w14:paraId="2E678383"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COVID-19 Movement restrictions</w:t>
            </w:r>
          </w:p>
        </w:tc>
        <w:tc>
          <w:tcPr>
            <w:tcW w:w="993" w:type="dxa"/>
            <w:tcBorders>
              <w:top w:val="nil"/>
              <w:left w:val="nil"/>
              <w:bottom w:val="nil"/>
              <w:right w:val="nil"/>
            </w:tcBorders>
            <w:shd w:val="clear" w:color="auto" w:fill="FFFFFF"/>
            <w:tcMar>
              <w:left w:w="28" w:type="dxa"/>
              <w:right w:w="28" w:type="dxa"/>
            </w:tcMar>
          </w:tcPr>
          <w:p w14:paraId="542D0DC8"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5F769FA6"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64D79605"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3DA31B2D"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509E98A4"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3A47B50E" w14:textId="77777777" w:rsidTr="00110F31">
        <w:tc>
          <w:tcPr>
            <w:tcW w:w="3402" w:type="dxa"/>
            <w:tcBorders>
              <w:top w:val="nil"/>
              <w:left w:val="nil"/>
              <w:bottom w:val="nil"/>
              <w:right w:val="nil"/>
            </w:tcBorders>
            <w:shd w:val="clear" w:color="auto" w:fill="FFFFFF"/>
            <w:tcMar>
              <w:left w:w="28" w:type="dxa"/>
              <w:right w:w="28" w:type="dxa"/>
            </w:tcMar>
          </w:tcPr>
          <w:p w14:paraId="5186C132"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COVID-19 Sponsor action</w:t>
            </w:r>
          </w:p>
        </w:tc>
        <w:tc>
          <w:tcPr>
            <w:tcW w:w="993" w:type="dxa"/>
            <w:tcBorders>
              <w:top w:val="nil"/>
              <w:left w:val="nil"/>
              <w:bottom w:val="nil"/>
              <w:right w:val="nil"/>
            </w:tcBorders>
            <w:shd w:val="clear" w:color="auto" w:fill="FFFFFF"/>
            <w:tcMar>
              <w:left w:w="28" w:type="dxa"/>
              <w:right w:w="28" w:type="dxa"/>
            </w:tcMar>
          </w:tcPr>
          <w:p w14:paraId="39AE844A"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7715DEA6"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1D0B895B"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5EA1360F"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493CBDBC"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3C53FBF2" w14:textId="77777777" w:rsidTr="00110F31">
        <w:tc>
          <w:tcPr>
            <w:tcW w:w="3402" w:type="dxa"/>
            <w:tcBorders>
              <w:top w:val="nil"/>
              <w:left w:val="nil"/>
              <w:bottom w:val="nil"/>
              <w:right w:val="nil"/>
            </w:tcBorders>
            <w:shd w:val="clear" w:color="auto" w:fill="FFFFFF"/>
            <w:tcMar>
              <w:left w:w="28" w:type="dxa"/>
              <w:right w:w="0" w:type="dxa"/>
            </w:tcMar>
          </w:tcPr>
          <w:p w14:paraId="6BF9B92B"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xml:space="preserve"> Hospital restricted access to clinic </w:t>
            </w:r>
            <w:r>
              <w:rPr>
                <w:rFonts w:cstheme="minorHAnsi"/>
                <w:color w:val="000000"/>
                <w:sz w:val="18"/>
                <w:szCs w:val="18"/>
              </w:rPr>
              <w:t>(</w:t>
            </w:r>
            <w:r w:rsidRPr="002470E3">
              <w:rPr>
                <w:rFonts w:cstheme="minorHAnsi"/>
                <w:color w:val="000000"/>
                <w:sz w:val="18"/>
                <w:szCs w:val="18"/>
              </w:rPr>
              <w:t>COVID-19</w:t>
            </w:r>
            <w:r>
              <w:rPr>
                <w:rFonts w:cstheme="minorHAnsi"/>
                <w:color w:val="000000"/>
                <w:sz w:val="18"/>
                <w:szCs w:val="18"/>
              </w:rPr>
              <w:t>)</w:t>
            </w:r>
          </w:p>
        </w:tc>
        <w:tc>
          <w:tcPr>
            <w:tcW w:w="993" w:type="dxa"/>
            <w:tcBorders>
              <w:top w:val="nil"/>
              <w:left w:val="nil"/>
              <w:bottom w:val="nil"/>
              <w:right w:val="nil"/>
            </w:tcBorders>
            <w:shd w:val="clear" w:color="auto" w:fill="FFFFFF"/>
            <w:tcMar>
              <w:left w:w="28" w:type="dxa"/>
              <w:right w:w="28" w:type="dxa"/>
            </w:tcMar>
          </w:tcPr>
          <w:p w14:paraId="664193B7"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7CCCBF4D"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55D3D56C"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3AAF722B"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73C088FB"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6D2F4215" w14:textId="77777777" w:rsidTr="00110F31">
        <w:tc>
          <w:tcPr>
            <w:tcW w:w="3402" w:type="dxa"/>
            <w:tcBorders>
              <w:top w:val="nil"/>
              <w:left w:val="nil"/>
              <w:bottom w:val="nil"/>
              <w:right w:val="nil"/>
            </w:tcBorders>
            <w:shd w:val="clear" w:color="auto" w:fill="FFFFFF"/>
            <w:tcMar>
              <w:left w:w="28" w:type="dxa"/>
              <w:right w:w="28" w:type="dxa"/>
            </w:tcMar>
          </w:tcPr>
          <w:p w14:paraId="7CF54901"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Chaperone unavailable due to COVID-19</w:t>
            </w:r>
          </w:p>
        </w:tc>
        <w:tc>
          <w:tcPr>
            <w:tcW w:w="993" w:type="dxa"/>
            <w:tcBorders>
              <w:top w:val="nil"/>
              <w:left w:val="nil"/>
              <w:bottom w:val="nil"/>
              <w:right w:val="nil"/>
            </w:tcBorders>
            <w:shd w:val="clear" w:color="auto" w:fill="FFFFFF"/>
            <w:tcMar>
              <w:left w:w="28" w:type="dxa"/>
              <w:right w:w="28" w:type="dxa"/>
            </w:tcMar>
          </w:tcPr>
          <w:p w14:paraId="68FEA040"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0B569EE1"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1519D93C"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1BAF8ED1"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505BCF5F"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01673786" w14:textId="77777777" w:rsidTr="00110F31">
        <w:tc>
          <w:tcPr>
            <w:tcW w:w="3402" w:type="dxa"/>
            <w:tcBorders>
              <w:top w:val="nil"/>
              <w:left w:val="nil"/>
              <w:bottom w:val="nil"/>
              <w:right w:val="nil"/>
            </w:tcBorders>
            <w:shd w:val="clear" w:color="auto" w:fill="FFFFFF"/>
            <w:tcMar>
              <w:left w:w="28" w:type="dxa"/>
              <w:right w:w="28" w:type="dxa"/>
            </w:tcMar>
          </w:tcPr>
          <w:p w14:paraId="4906FFE9"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Study cancelled due to COVID-19</w:t>
            </w:r>
          </w:p>
        </w:tc>
        <w:tc>
          <w:tcPr>
            <w:tcW w:w="993" w:type="dxa"/>
            <w:tcBorders>
              <w:top w:val="nil"/>
              <w:left w:val="nil"/>
              <w:bottom w:val="nil"/>
              <w:right w:val="nil"/>
            </w:tcBorders>
            <w:shd w:val="clear" w:color="auto" w:fill="FFFFFF"/>
            <w:tcMar>
              <w:left w:w="28" w:type="dxa"/>
              <w:right w:w="28" w:type="dxa"/>
            </w:tcMar>
          </w:tcPr>
          <w:p w14:paraId="2C947738"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56AE768F"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1" w:type="dxa"/>
            <w:tcBorders>
              <w:top w:val="nil"/>
              <w:left w:val="nil"/>
              <w:bottom w:val="nil"/>
              <w:right w:val="nil"/>
            </w:tcBorders>
            <w:shd w:val="clear" w:color="auto" w:fill="FFFFFF"/>
            <w:tcMar>
              <w:left w:w="28" w:type="dxa"/>
              <w:right w:w="28" w:type="dxa"/>
            </w:tcMar>
          </w:tcPr>
          <w:p w14:paraId="7E073645"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850" w:type="dxa"/>
            <w:tcBorders>
              <w:top w:val="nil"/>
              <w:left w:val="nil"/>
              <w:bottom w:val="nil"/>
              <w:right w:val="nil"/>
            </w:tcBorders>
            <w:shd w:val="clear" w:color="auto" w:fill="FFFFFF"/>
            <w:tcMar>
              <w:left w:w="28" w:type="dxa"/>
              <w:right w:w="28" w:type="dxa"/>
            </w:tcMar>
          </w:tcPr>
          <w:p w14:paraId="75B9EB9A"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c>
          <w:tcPr>
            <w:tcW w:w="1701" w:type="dxa"/>
            <w:tcBorders>
              <w:top w:val="nil"/>
              <w:left w:val="nil"/>
              <w:bottom w:val="nil"/>
              <w:right w:val="nil"/>
            </w:tcBorders>
            <w:shd w:val="clear" w:color="auto" w:fill="FFFFFF"/>
            <w:tcMar>
              <w:left w:w="28" w:type="dxa"/>
              <w:right w:w="28" w:type="dxa"/>
            </w:tcMar>
          </w:tcPr>
          <w:p w14:paraId="54EF74F8" w14:textId="77777777" w:rsidR="00B75793" w:rsidRPr="002470E3" w:rsidRDefault="00B75793" w:rsidP="00EA086B">
            <w:pPr>
              <w:spacing w:before="40" w:after="40"/>
              <w:jc w:val="center"/>
              <w:rPr>
                <w:rFonts w:cstheme="minorHAnsi"/>
                <w:sz w:val="18"/>
                <w:szCs w:val="18"/>
                <w:lang w:val="en-US"/>
              </w:rPr>
            </w:pPr>
            <w:r>
              <w:rPr>
                <w:rFonts w:cstheme="minorHAnsi"/>
                <w:sz w:val="18"/>
                <w:szCs w:val="18"/>
                <w:lang w:val="en-US"/>
              </w:rPr>
              <w:t>0</w:t>
            </w:r>
          </w:p>
        </w:tc>
      </w:tr>
      <w:tr w:rsidR="00B75793" w:rsidRPr="002470E3" w14:paraId="4E18C22E" w14:textId="77777777" w:rsidTr="00110F31">
        <w:tc>
          <w:tcPr>
            <w:tcW w:w="3402" w:type="dxa"/>
            <w:tcBorders>
              <w:top w:val="nil"/>
              <w:left w:val="nil"/>
              <w:bottom w:val="nil"/>
              <w:right w:val="nil"/>
            </w:tcBorders>
            <w:shd w:val="clear" w:color="auto" w:fill="FFFFFF"/>
            <w:tcMar>
              <w:left w:w="28" w:type="dxa"/>
              <w:right w:w="28" w:type="dxa"/>
            </w:tcMar>
          </w:tcPr>
          <w:p w14:paraId="6FC9B298"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Clinical/Symptomatic Disease Progression</w:t>
            </w:r>
          </w:p>
        </w:tc>
        <w:tc>
          <w:tcPr>
            <w:tcW w:w="993" w:type="dxa"/>
            <w:tcBorders>
              <w:top w:val="nil"/>
              <w:left w:val="nil"/>
              <w:bottom w:val="nil"/>
              <w:right w:val="nil"/>
            </w:tcBorders>
            <w:shd w:val="clear" w:color="auto" w:fill="FFFFFF"/>
            <w:tcMar>
              <w:left w:w="28" w:type="dxa"/>
              <w:right w:w="28" w:type="dxa"/>
            </w:tcMar>
          </w:tcPr>
          <w:p w14:paraId="27D563C9"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275" w:type="dxa"/>
            <w:tcBorders>
              <w:top w:val="nil"/>
              <w:left w:val="nil"/>
              <w:bottom w:val="nil"/>
              <w:right w:val="nil"/>
            </w:tcBorders>
            <w:shd w:val="clear" w:color="auto" w:fill="FFFFFF"/>
            <w:tcMar>
              <w:left w:w="28" w:type="dxa"/>
              <w:right w:w="28" w:type="dxa"/>
            </w:tcMar>
          </w:tcPr>
          <w:p w14:paraId="4061F10F"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 </w:t>
            </w:r>
            <w:r w:rsidRPr="002470E3">
              <w:rPr>
                <w:rFonts w:cstheme="minorHAnsi"/>
                <w:color w:val="000000"/>
                <w:sz w:val="18"/>
                <w:szCs w:val="18"/>
              </w:rPr>
              <w:t>(4.5)</w:t>
            </w:r>
          </w:p>
        </w:tc>
        <w:tc>
          <w:tcPr>
            <w:tcW w:w="851" w:type="dxa"/>
            <w:tcBorders>
              <w:top w:val="nil"/>
              <w:left w:val="nil"/>
              <w:bottom w:val="nil"/>
              <w:right w:val="nil"/>
            </w:tcBorders>
            <w:shd w:val="clear" w:color="auto" w:fill="FFFFFF"/>
            <w:tcMar>
              <w:left w:w="28" w:type="dxa"/>
              <w:right w:w="28" w:type="dxa"/>
            </w:tcMar>
          </w:tcPr>
          <w:p w14:paraId="08699A87" w14:textId="41864D0B" w:rsidR="00B75793" w:rsidRPr="002470E3" w:rsidRDefault="008917F8" w:rsidP="00EA086B">
            <w:pPr>
              <w:spacing w:before="40" w:after="40"/>
              <w:jc w:val="center"/>
              <w:rPr>
                <w:rFonts w:cstheme="minorHAnsi"/>
                <w:sz w:val="18"/>
                <w:szCs w:val="18"/>
                <w:lang w:val="en-US"/>
              </w:rPr>
            </w:pPr>
            <w:r>
              <w:rPr>
                <w:rFonts w:cstheme="minorHAnsi"/>
                <w:color w:val="000000"/>
                <w:sz w:val="18"/>
                <w:szCs w:val="18"/>
              </w:rPr>
              <w:t xml:space="preserve"> </w:t>
            </w:r>
            <w:r w:rsidR="00B75793">
              <w:rPr>
                <w:rFonts w:cstheme="minorHAnsi"/>
                <w:color w:val="000000"/>
                <w:sz w:val="18"/>
                <w:szCs w:val="18"/>
              </w:rPr>
              <w:t xml:space="preserve">4 </w:t>
            </w:r>
            <w:r w:rsidR="00B75793" w:rsidRPr="002470E3">
              <w:rPr>
                <w:rFonts w:cstheme="minorHAnsi"/>
                <w:color w:val="000000"/>
                <w:sz w:val="18"/>
                <w:szCs w:val="18"/>
              </w:rPr>
              <w:t>(14.8)</w:t>
            </w:r>
          </w:p>
        </w:tc>
        <w:tc>
          <w:tcPr>
            <w:tcW w:w="850" w:type="dxa"/>
            <w:tcBorders>
              <w:top w:val="nil"/>
              <w:left w:val="nil"/>
              <w:bottom w:val="nil"/>
              <w:right w:val="nil"/>
            </w:tcBorders>
            <w:shd w:val="clear" w:color="auto" w:fill="FFFFFF"/>
            <w:tcMar>
              <w:left w:w="28" w:type="dxa"/>
              <w:right w:w="28" w:type="dxa"/>
            </w:tcMar>
          </w:tcPr>
          <w:p w14:paraId="5659EADC"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 </w:t>
            </w:r>
            <w:r w:rsidRPr="002470E3">
              <w:rPr>
                <w:rFonts w:cstheme="minorHAnsi"/>
                <w:color w:val="000000"/>
                <w:sz w:val="18"/>
                <w:szCs w:val="18"/>
              </w:rPr>
              <w:t>(3.6)</w:t>
            </w:r>
          </w:p>
        </w:tc>
        <w:tc>
          <w:tcPr>
            <w:tcW w:w="1701" w:type="dxa"/>
            <w:tcBorders>
              <w:top w:val="nil"/>
              <w:left w:val="nil"/>
              <w:bottom w:val="nil"/>
              <w:right w:val="nil"/>
            </w:tcBorders>
            <w:shd w:val="clear" w:color="auto" w:fill="FFFFFF"/>
            <w:tcMar>
              <w:left w:w="28" w:type="dxa"/>
              <w:right w:w="28" w:type="dxa"/>
            </w:tcMar>
          </w:tcPr>
          <w:p w14:paraId="0B581B37"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6 </w:t>
            </w:r>
            <w:r w:rsidRPr="002470E3">
              <w:rPr>
                <w:rFonts w:cstheme="minorHAnsi"/>
                <w:color w:val="000000"/>
                <w:sz w:val="18"/>
                <w:szCs w:val="18"/>
              </w:rPr>
              <w:t>(7.1)</w:t>
            </w:r>
          </w:p>
        </w:tc>
      </w:tr>
      <w:tr w:rsidR="00B75793" w:rsidRPr="002470E3" w14:paraId="32042B5C" w14:textId="77777777" w:rsidTr="00110F31">
        <w:tc>
          <w:tcPr>
            <w:tcW w:w="3402" w:type="dxa"/>
            <w:tcBorders>
              <w:top w:val="nil"/>
              <w:left w:val="nil"/>
              <w:bottom w:val="single" w:sz="4" w:space="0" w:color="auto"/>
              <w:right w:val="nil"/>
            </w:tcBorders>
            <w:shd w:val="clear" w:color="auto" w:fill="FFFFFF"/>
            <w:tcMar>
              <w:left w:w="28" w:type="dxa"/>
              <w:right w:w="28" w:type="dxa"/>
            </w:tcMar>
          </w:tcPr>
          <w:p w14:paraId="26DE3734" w14:textId="77777777" w:rsidR="00B75793" w:rsidRPr="002470E3" w:rsidRDefault="00B75793" w:rsidP="00EA086B">
            <w:pPr>
              <w:spacing w:before="40" w:after="40"/>
              <w:rPr>
                <w:rFonts w:cstheme="minorHAnsi"/>
                <w:sz w:val="18"/>
                <w:szCs w:val="18"/>
                <w:lang w:val="en-US"/>
              </w:rPr>
            </w:pPr>
            <w:r w:rsidRPr="002470E3">
              <w:rPr>
                <w:rFonts w:cstheme="minorHAnsi"/>
                <w:color w:val="000000"/>
                <w:sz w:val="18"/>
                <w:szCs w:val="18"/>
              </w:rPr>
              <w:t> Other</w:t>
            </w:r>
          </w:p>
        </w:tc>
        <w:tc>
          <w:tcPr>
            <w:tcW w:w="993" w:type="dxa"/>
            <w:tcBorders>
              <w:top w:val="nil"/>
              <w:left w:val="nil"/>
              <w:bottom w:val="single" w:sz="4" w:space="0" w:color="auto"/>
              <w:right w:val="nil"/>
            </w:tcBorders>
            <w:shd w:val="clear" w:color="auto" w:fill="FFFFFF"/>
            <w:tcMar>
              <w:left w:w="28" w:type="dxa"/>
              <w:right w:w="28" w:type="dxa"/>
            </w:tcMar>
          </w:tcPr>
          <w:p w14:paraId="35F88D39"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r w:rsidRPr="002470E3">
              <w:rPr>
                <w:rFonts w:cstheme="minorHAnsi"/>
                <w:color w:val="000000"/>
                <w:sz w:val="18"/>
                <w:szCs w:val="18"/>
              </w:rPr>
              <w:t>)</w:t>
            </w:r>
          </w:p>
        </w:tc>
        <w:tc>
          <w:tcPr>
            <w:tcW w:w="1275" w:type="dxa"/>
            <w:tcBorders>
              <w:top w:val="nil"/>
              <w:left w:val="nil"/>
              <w:bottom w:val="single" w:sz="4" w:space="0" w:color="auto"/>
              <w:right w:val="nil"/>
            </w:tcBorders>
            <w:shd w:val="clear" w:color="auto" w:fill="FFFFFF"/>
            <w:tcMar>
              <w:left w:w="28" w:type="dxa"/>
              <w:right w:w="28" w:type="dxa"/>
            </w:tcMar>
          </w:tcPr>
          <w:p w14:paraId="1B4E9A8D"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851" w:type="dxa"/>
            <w:tcBorders>
              <w:top w:val="nil"/>
              <w:left w:val="nil"/>
              <w:bottom w:val="single" w:sz="4" w:space="0" w:color="auto"/>
              <w:right w:val="nil"/>
            </w:tcBorders>
            <w:shd w:val="clear" w:color="auto" w:fill="FFFFFF"/>
            <w:tcMar>
              <w:left w:w="28" w:type="dxa"/>
              <w:right w:w="28" w:type="dxa"/>
            </w:tcMar>
          </w:tcPr>
          <w:p w14:paraId="318BDAB5"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 </w:t>
            </w:r>
            <w:r w:rsidRPr="002470E3">
              <w:rPr>
                <w:rFonts w:cstheme="minorHAnsi"/>
                <w:color w:val="000000"/>
                <w:sz w:val="18"/>
                <w:szCs w:val="18"/>
              </w:rPr>
              <w:t>(3.7)</w:t>
            </w:r>
          </w:p>
        </w:tc>
        <w:tc>
          <w:tcPr>
            <w:tcW w:w="850" w:type="dxa"/>
            <w:tcBorders>
              <w:top w:val="nil"/>
              <w:left w:val="nil"/>
              <w:bottom w:val="single" w:sz="4" w:space="0" w:color="auto"/>
              <w:right w:val="nil"/>
            </w:tcBorders>
            <w:shd w:val="clear" w:color="auto" w:fill="FFFFFF"/>
            <w:tcMar>
              <w:left w:w="28" w:type="dxa"/>
              <w:right w:w="28" w:type="dxa"/>
            </w:tcMar>
          </w:tcPr>
          <w:p w14:paraId="5D52102B"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0</w:t>
            </w:r>
          </w:p>
        </w:tc>
        <w:tc>
          <w:tcPr>
            <w:tcW w:w="1701" w:type="dxa"/>
            <w:tcBorders>
              <w:top w:val="nil"/>
              <w:left w:val="nil"/>
              <w:bottom w:val="single" w:sz="4" w:space="0" w:color="auto"/>
              <w:right w:val="nil"/>
            </w:tcBorders>
            <w:shd w:val="clear" w:color="auto" w:fill="FFFFFF"/>
            <w:tcMar>
              <w:left w:w="28" w:type="dxa"/>
              <w:right w:w="28" w:type="dxa"/>
            </w:tcMar>
          </w:tcPr>
          <w:p w14:paraId="1B449B3D" w14:textId="77777777" w:rsidR="00B75793" w:rsidRPr="002470E3" w:rsidRDefault="00B75793" w:rsidP="00EA086B">
            <w:pPr>
              <w:spacing w:before="40" w:after="40"/>
              <w:jc w:val="center"/>
              <w:rPr>
                <w:rFonts w:cstheme="minorHAnsi"/>
                <w:sz w:val="18"/>
                <w:szCs w:val="18"/>
                <w:lang w:val="en-US"/>
              </w:rPr>
            </w:pPr>
            <w:r>
              <w:rPr>
                <w:rFonts w:cstheme="minorHAnsi"/>
                <w:color w:val="000000"/>
                <w:sz w:val="18"/>
                <w:szCs w:val="18"/>
              </w:rPr>
              <w:t xml:space="preserve">1 </w:t>
            </w:r>
            <w:r w:rsidRPr="002470E3">
              <w:rPr>
                <w:rFonts w:cstheme="minorHAnsi"/>
                <w:color w:val="000000"/>
                <w:sz w:val="18"/>
                <w:szCs w:val="18"/>
              </w:rPr>
              <w:t>(1.2)</w:t>
            </w:r>
          </w:p>
        </w:tc>
      </w:tr>
    </w:tbl>
    <w:p w14:paraId="650024BD" w14:textId="77777777" w:rsidR="00040478" w:rsidRDefault="00040478" w:rsidP="00040478">
      <w:pPr>
        <w:spacing w:after="0"/>
        <w:rPr>
          <w:rFonts w:cstheme="minorHAnsi"/>
          <w:kern w:val="0"/>
          <w:lang w:val="en-US"/>
          <w14:ligatures w14:val="none"/>
        </w:rPr>
      </w:pPr>
    </w:p>
    <w:p w14:paraId="518E48F7" w14:textId="77777777" w:rsidR="00040478" w:rsidRDefault="00040478" w:rsidP="00040478">
      <w:pPr>
        <w:spacing w:after="0"/>
        <w:rPr>
          <w:rFonts w:cstheme="minorHAnsi"/>
          <w:kern w:val="0"/>
          <w:lang w:val="en-US"/>
          <w14:ligatures w14:val="none"/>
        </w:rPr>
      </w:pPr>
    </w:p>
    <w:p w14:paraId="5A92118F" w14:textId="77777777" w:rsidR="00040478" w:rsidRDefault="00040478" w:rsidP="00040478">
      <w:pPr>
        <w:spacing w:after="0"/>
        <w:rPr>
          <w:rFonts w:cstheme="minorHAnsi"/>
          <w:kern w:val="0"/>
          <w:lang w:val="en-US"/>
          <w14:ligatures w14:val="none"/>
        </w:rPr>
      </w:pPr>
    </w:p>
    <w:p w14:paraId="7B3581A5" w14:textId="757926C7" w:rsidR="003C06D2" w:rsidRDefault="003C06D2">
      <w:pPr>
        <w:rPr>
          <w:rFonts w:ascii="Times New Roman" w:hAnsi="Times New Roman" w:cs="Times New Roman"/>
          <w:kern w:val="0"/>
          <w:lang w:val="en-US"/>
          <w14:ligatures w14:val="none"/>
        </w:rPr>
      </w:pPr>
      <w:r>
        <w:rPr>
          <w:rFonts w:ascii="Times New Roman" w:hAnsi="Times New Roman" w:cs="Times New Roman"/>
          <w:kern w:val="0"/>
          <w:lang w:val="en-US"/>
          <w14:ligatures w14:val="none"/>
        </w:rPr>
        <w:br w:type="page"/>
      </w:r>
    </w:p>
    <w:p w14:paraId="0AA880AF" w14:textId="77777777" w:rsidR="001D2A4D" w:rsidRDefault="001D2A4D" w:rsidP="007E76DE">
      <w:pPr>
        <w:pStyle w:val="paragraph"/>
        <w:spacing w:before="0" w:beforeAutospacing="0" w:after="0" w:afterAutospacing="0" w:line="259" w:lineRule="auto"/>
        <w:ind w:right="-284"/>
        <w:textAlignment w:val="baseline"/>
        <w:rPr>
          <w:rStyle w:val="normaltextrun"/>
          <w:rFonts w:ascii="Calibri" w:eastAsiaTheme="majorEastAsia" w:hAnsi="Calibri" w:cs="Calibri"/>
          <w:b/>
          <w:bCs/>
          <w:lang w:val="en-US"/>
        </w:rPr>
      </w:pPr>
    </w:p>
    <w:p w14:paraId="7ED7F0B8" w14:textId="7E75DCE7" w:rsidR="00B75793" w:rsidRPr="00D82ACD" w:rsidRDefault="00B75793" w:rsidP="007E76DE">
      <w:pPr>
        <w:pStyle w:val="paragraph"/>
        <w:spacing w:before="0" w:beforeAutospacing="0" w:after="0" w:afterAutospacing="0" w:line="259" w:lineRule="auto"/>
        <w:ind w:right="-284"/>
        <w:textAlignment w:val="baseline"/>
        <w:rPr>
          <w:rFonts w:ascii="Segoe UI" w:hAnsi="Segoe UI" w:cs="Segoe UI"/>
          <w:sz w:val="18"/>
          <w:szCs w:val="18"/>
          <w:lang w:val="en-US"/>
        </w:rPr>
      </w:pPr>
      <w:r>
        <w:rPr>
          <w:rStyle w:val="normaltextrun"/>
          <w:rFonts w:ascii="Calibri" w:eastAsiaTheme="majorEastAsia" w:hAnsi="Calibri" w:cs="Calibri"/>
          <w:b/>
          <w:bCs/>
          <w:lang w:val="en-US"/>
        </w:rPr>
        <w:t xml:space="preserve">Safety </w:t>
      </w:r>
      <w:r w:rsidR="007E76DE">
        <w:rPr>
          <w:rStyle w:val="normaltextrun"/>
          <w:rFonts w:ascii="Calibri" w:eastAsiaTheme="majorEastAsia" w:hAnsi="Calibri" w:cs="Calibri"/>
          <w:b/>
          <w:bCs/>
          <w:lang w:val="en-US"/>
        </w:rPr>
        <w:t>–</w:t>
      </w:r>
      <w:r>
        <w:rPr>
          <w:rStyle w:val="normaltextrun"/>
          <w:rFonts w:ascii="Calibri" w:eastAsiaTheme="majorEastAsia" w:hAnsi="Calibri" w:cs="Calibri"/>
          <w:b/>
          <w:bCs/>
          <w:lang w:val="en-US"/>
        </w:rPr>
        <w:t xml:space="preserve"> Pa</w:t>
      </w:r>
      <w:r w:rsidR="007E76DE">
        <w:rPr>
          <w:rStyle w:val="normaltextrun"/>
          <w:rFonts w:ascii="Calibri" w:eastAsiaTheme="majorEastAsia" w:hAnsi="Calibri" w:cs="Calibri"/>
          <w:b/>
          <w:bCs/>
          <w:lang w:val="en-US"/>
        </w:rPr>
        <w:t xml:space="preserve">rticipant </w:t>
      </w:r>
      <w:r>
        <w:rPr>
          <w:rStyle w:val="normaltextrun"/>
          <w:rFonts w:ascii="Calibri" w:eastAsiaTheme="majorEastAsia" w:hAnsi="Calibri" w:cs="Calibri"/>
          <w:b/>
          <w:bCs/>
          <w:lang w:val="en-US"/>
        </w:rPr>
        <w:t xml:space="preserve">narrative 3-02-003: 70 years old male, </w:t>
      </w:r>
      <w:r w:rsidR="009E2744">
        <w:rPr>
          <w:rStyle w:val="normaltextrun"/>
          <w:rFonts w:ascii="Calibri" w:eastAsiaTheme="majorEastAsia" w:hAnsi="Calibri" w:cs="Calibri"/>
          <w:b/>
          <w:bCs/>
          <w:lang w:val="en-US"/>
        </w:rPr>
        <w:t xml:space="preserve">nsq </w:t>
      </w:r>
      <w:r>
        <w:rPr>
          <w:rStyle w:val="normaltextrun"/>
          <w:rFonts w:ascii="Calibri" w:eastAsiaTheme="majorEastAsia" w:hAnsi="Calibri" w:cs="Calibri"/>
          <w:b/>
          <w:bCs/>
          <w:lang w:val="en-US"/>
        </w:rPr>
        <w:t xml:space="preserve">NSCLC (Grade 5 </w:t>
      </w:r>
      <w:r w:rsidRPr="002459E0">
        <w:rPr>
          <w:rStyle w:val="normaltextrun"/>
          <w:rFonts w:ascii="Calibri" w:eastAsiaTheme="majorEastAsia" w:hAnsi="Calibri" w:cs="Calibri"/>
          <w:b/>
          <w:bCs/>
          <w:color w:val="000000" w:themeColor="text1"/>
          <w:lang w:val="en-US"/>
        </w:rPr>
        <w:t>TRAE</w:t>
      </w:r>
      <w:r>
        <w:rPr>
          <w:rStyle w:val="normaltextrun"/>
          <w:rFonts w:ascii="Calibri" w:eastAsiaTheme="majorEastAsia" w:hAnsi="Calibri" w:cs="Calibri"/>
          <w:b/>
          <w:bCs/>
          <w:lang w:val="en-US"/>
        </w:rPr>
        <w:t>)</w:t>
      </w:r>
      <w:r w:rsidRPr="00D82ACD">
        <w:rPr>
          <w:rStyle w:val="eop"/>
          <w:rFonts w:ascii="Calibri" w:eastAsiaTheme="majorEastAsia" w:hAnsi="Calibri" w:cs="Calibri"/>
          <w:lang w:val="en-US"/>
        </w:rPr>
        <w:t> </w:t>
      </w:r>
    </w:p>
    <w:p w14:paraId="33DDD183" w14:textId="77777777" w:rsidR="00A50A10" w:rsidRDefault="00A50A10" w:rsidP="00274662">
      <w:pPr>
        <w:pStyle w:val="paragraph"/>
        <w:spacing w:before="0" w:beforeAutospacing="0" w:after="0" w:afterAutospacing="0" w:line="259" w:lineRule="auto"/>
        <w:jc w:val="both"/>
        <w:textAlignment w:val="baseline"/>
        <w:rPr>
          <w:rStyle w:val="normaltextrun"/>
          <w:rFonts w:ascii="Calibri" w:eastAsiaTheme="majorEastAsia" w:hAnsi="Calibri" w:cs="Calibri"/>
          <w:color w:val="000000" w:themeColor="text1"/>
          <w:sz w:val="23"/>
          <w:szCs w:val="23"/>
          <w:lang w:val="en-GB"/>
        </w:rPr>
      </w:pPr>
    </w:p>
    <w:p w14:paraId="3D3AAD78" w14:textId="1EAD633D" w:rsidR="00B75793" w:rsidRPr="00D82ACD" w:rsidRDefault="00B75793" w:rsidP="00274662">
      <w:pPr>
        <w:pStyle w:val="paragraph"/>
        <w:spacing w:before="0" w:beforeAutospacing="0" w:after="0" w:afterAutospacing="0" w:line="259" w:lineRule="auto"/>
        <w:jc w:val="both"/>
        <w:textAlignment w:val="baseline"/>
        <w:rPr>
          <w:rStyle w:val="eop"/>
          <w:rFonts w:ascii="Calibri" w:eastAsiaTheme="majorEastAsia" w:hAnsi="Calibri" w:cs="Calibri"/>
          <w:color w:val="000000"/>
          <w:sz w:val="23"/>
          <w:szCs w:val="23"/>
          <w:lang w:val="en-US"/>
        </w:rPr>
      </w:pPr>
      <w:r w:rsidRPr="00A50A10">
        <w:rPr>
          <w:rStyle w:val="normaltextrun"/>
          <w:rFonts w:ascii="Calibri" w:eastAsiaTheme="majorEastAsia" w:hAnsi="Calibri" w:cs="Calibri"/>
          <w:color w:val="000000" w:themeColor="text1"/>
          <w:sz w:val="23"/>
          <w:szCs w:val="23"/>
          <w:lang w:val="en-GB"/>
        </w:rPr>
        <w:t>The participant with</w:t>
      </w:r>
      <w:r w:rsidR="00A50A10">
        <w:rPr>
          <w:rStyle w:val="normaltextrun"/>
          <w:rFonts w:ascii="Calibri" w:eastAsiaTheme="majorEastAsia" w:hAnsi="Calibri" w:cs="Calibri"/>
          <w:color w:val="000000" w:themeColor="text1"/>
          <w:sz w:val="23"/>
          <w:szCs w:val="23"/>
          <w:lang w:val="en-GB"/>
        </w:rPr>
        <w:t xml:space="preserve"> multiple organ dysfunction syndrome </w:t>
      </w:r>
      <w:r w:rsidRPr="00A50A10">
        <w:rPr>
          <w:rStyle w:val="normaltextrun"/>
          <w:rFonts w:ascii="Calibri" w:eastAsiaTheme="majorEastAsia" w:hAnsi="Calibri" w:cs="Calibri"/>
          <w:color w:val="000000" w:themeColor="text1"/>
          <w:sz w:val="23"/>
          <w:szCs w:val="23"/>
          <w:lang w:val="en-GB"/>
        </w:rPr>
        <w:t xml:space="preserve">had received prior treatment with an </w:t>
      </w:r>
      <w:r w:rsidR="00A50A10">
        <w:rPr>
          <w:rStyle w:val="normaltextrun"/>
          <w:rFonts w:ascii="Calibri" w:eastAsiaTheme="majorEastAsia" w:hAnsi="Calibri" w:cs="Calibri"/>
          <w:color w:val="000000" w:themeColor="text1"/>
          <w:sz w:val="23"/>
          <w:szCs w:val="23"/>
          <w:lang w:val="en-GB"/>
        </w:rPr>
        <w:t xml:space="preserve">experimental antibody drug conjugate </w:t>
      </w:r>
      <w:r w:rsidRPr="00A50A10">
        <w:rPr>
          <w:rStyle w:val="normaltextrun"/>
          <w:rFonts w:ascii="Calibri" w:eastAsiaTheme="majorEastAsia" w:hAnsi="Calibri" w:cs="Calibri"/>
          <w:color w:val="000000" w:themeColor="text1"/>
          <w:sz w:val="23"/>
          <w:szCs w:val="23"/>
          <w:lang w:val="en-GB"/>
        </w:rPr>
        <w:t>until 30 days prior to trial entry for NSCLC treatment that had resulted in kidney toxicity. The AE had resolved to residual Grade 1 creatinine elevation that allowed</w:t>
      </w:r>
      <w:r w:rsidR="007D7ECB">
        <w:rPr>
          <w:rStyle w:val="normaltextrun"/>
          <w:rFonts w:ascii="Calibri" w:eastAsiaTheme="majorEastAsia" w:hAnsi="Calibri" w:cs="Calibri"/>
          <w:color w:val="000000" w:themeColor="text1"/>
          <w:sz w:val="23"/>
          <w:szCs w:val="23"/>
          <w:lang w:val="en-GB"/>
        </w:rPr>
        <w:t xml:space="preserve"> for </w:t>
      </w:r>
      <w:r w:rsidRPr="00A50A10">
        <w:rPr>
          <w:rStyle w:val="normaltextrun"/>
          <w:rFonts w:ascii="Calibri" w:eastAsiaTheme="majorEastAsia" w:hAnsi="Calibri" w:cs="Calibri"/>
          <w:color w:val="000000" w:themeColor="text1"/>
          <w:sz w:val="23"/>
          <w:szCs w:val="23"/>
          <w:lang w:val="en-GB"/>
        </w:rPr>
        <w:t>trial inclusion. One week after the first administration of visugromab and nivolumab, impairment of</w:t>
      </w:r>
      <w:r w:rsidR="00A50A10">
        <w:rPr>
          <w:rStyle w:val="normaltextrun"/>
          <w:rFonts w:ascii="Calibri" w:eastAsiaTheme="majorEastAsia" w:hAnsi="Calibri" w:cs="Calibri"/>
          <w:color w:val="000000" w:themeColor="text1"/>
          <w:sz w:val="23"/>
          <w:szCs w:val="23"/>
          <w:lang w:val="en-GB"/>
        </w:rPr>
        <w:t xml:space="preserve"> kidney function</w:t>
      </w:r>
      <w:r w:rsidRPr="00A50A10">
        <w:rPr>
          <w:rStyle w:val="normaltextrun"/>
          <w:rFonts w:ascii="Calibri" w:eastAsiaTheme="majorEastAsia" w:hAnsi="Calibri" w:cs="Calibri"/>
          <w:color w:val="000000" w:themeColor="text1"/>
          <w:sz w:val="23"/>
          <w:szCs w:val="23"/>
          <w:lang w:val="en-GB"/>
        </w:rPr>
        <w:t xml:space="preserve"> occurred followed by rapid</w:t>
      </w:r>
      <w:r w:rsidR="00A50A10">
        <w:rPr>
          <w:rStyle w:val="normaltextrun"/>
          <w:rFonts w:ascii="Calibri" w:eastAsiaTheme="majorEastAsia" w:hAnsi="Calibri" w:cs="Calibri"/>
          <w:color w:val="000000" w:themeColor="text1"/>
          <w:sz w:val="23"/>
          <w:szCs w:val="23"/>
          <w:lang w:val="en-GB"/>
        </w:rPr>
        <w:t xml:space="preserve"> hepatic failure</w:t>
      </w:r>
      <w:r w:rsidRPr="00A50A10">
        <w:rPr>
          <w:rStyle w:val="normaltextrun"/>
          <w:rFonts w:ascii="Calibri" w:eastAsiaTheme="majorEastAsia" w:hAnsi="Calibri" w:cs="Calibri"/>
          <w:color w:val="000000" w:themeColor="text1"/>
          <w:sz w:val="23"/>
          <w:szCs w:val="23"/>
          <w:lang w:val="en-GB"/>
        </w:rPr>
        <w:t xml:space="preserve">, both evaluated as possibly related to one or both study drugs (visugromab and/or nivolumab). One hour after a diagnostic transjugular kidney and liver biopsy sudden cardiac arrest occurred while the patient was hospitalized and attached to a monitor, but no resuscitation was initiated due to an existing </w:t>
      </w:r>
      <w:r w:rsidR="007D7ECB">
        <w:rPr>
          <w:rStyle w:val="normaltextrun"/>
          <w:rFonts w:ascii="Calibri" w:eastAsiaTheme="majorEastAsia" w:hAnsi="Calibri" w:cs="Calibri"/>
          <w:color w:val="000000" w:themeColor="text1"/>
          <w:sz w:val="23"/>
          <w:szCs w:val="23"/>
          <w:lang w:val="en-GB"/>
        </w:rPr>
        <w:t>patient-</w:t>
      </w:r>
      <w:r w:rsidRPr="00A50A10">
        <w:rPr>
          <w:rStyle w:val="normaltextrun"/>
          <w:rFonts w:ascii="Calibri" w:eastAsiaTheme="majorEastAsia" w:hAnsi="Calibri" w:cs="Calibri"/>
          <w:color w:val="000000" w:themeColor="text1"/>
          <w:sz w:val="23"/>
          <w:szCs w:val="23"/>
          <w:lang w:val="en-GB"/>
        </w:rPr>
        <w:t>signed “do-not-resuscitate” declaration on file with the hospital.</w:t>
      </w:r>
    </w:p>
    <w:p w14:paraId="10CA22E6" w14:textId="77777777" w:rsidR="00A50A10" w:rsidRPr="00D82ACD" w:rsidRDefault="00A50A10" w:rsidP="00274662">
      <w:pPr>
        <w:pStyle w:val="paragraph"/>
        <w:spacing w:before="0" w:beforeAutospacing="0" w:after="0" w:afterAutospacing="0" w:line="259" w:lineRule="auto"/>
        <w:jc w:val="both"/>
        <w:textAlignment w:val="baseline"/>
        <w:rPr>
          <w:rFonts w:ascii="Segoe UI" w:hAnsi="Segoe UI" w:cs="Segoe UI"/>
          <w:sz w:val="18"/>
          <w:szCs w:val="18"/>
          <w:lang w:val="en-US"/>
        </w:rPr>
      </w:pPr>
    </w:p>
    <w:p w14:paraId="53479CBE" w14:textId="77777777" w:rsidR="00274662" w:rsidRPr="00D82ACD" w:rsidRDefault="00274662" w:rsidP="00274662">
      <w:pPr>
        <w:pStyle w:val="paragraph"/>
        <w:spacing w:before="0" w:beforeAutospacing="0" w:after="0" w:afterAutospacing="0" w:line="259" w:lineRule="auto"/>
        <w:jc w:val="both"/>
        <w:textAlignment w:val="baseline"/>
        <w:rPr>
          <w:rFonts w:ascii="Segoe UI" w:hAnsi="Segoe UI" w:cs="Segoe UI"/>
          <w:sz w:val="18"/>
          <w:szCs w:val="18"/>
          <w:lang w:val="en-US"/>
        </w:rPr>
      </w:pPr>
    </w:p>
    <w:p w14:paraId="0F1D9A5B" w14:textId="58885FBA"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i/>
          <w:iCs/>
          <w:color w:val="000000"/>
          <w:sz w:val="23"/>
          <w:szCs w:val="23"/>
          <w:lang w:val="en-GB"/>
        </w:rPr>
        <w:t>Summary of histologic findings in pa</w:t>
      </w:r>
      <w:r w:rsidR="007E76DE">
        <w:rPr>
          <w:rStyle w:val="normaltextrun"/>
          <w:rFonts w:ascii="Calibri" w:eastAsiaTheme="majorEastAsia" w:hAnsi="Calibri" w:cs="Calibri"/>
          <w:i/>
          <w:iCs/>
          <w:color w:val="000000"/>
          <w:sz w:val="23"/>
          <w:szCs w:val="23"/>
          <w:lang w:val="en-GB"/>
        </w:rPr>
        <w:t xml:space="preserve">rticipant </w:t>
      </w:r>
      <w:r>
        <w:rPr>
          <w:rStyle w:val="normaltextrun"/>
          <w:rFonts w:ascii="Calibri" w:eastAsiaTheme="majorEastAsia" w:hAnsi="Calibri" w:cs="Calibri"/>
          <w:i/>
          <w:iCs/>
          <w:color w:val="000000"/>
          <w:sz w:val="23"/>
          <w:szCs w:val="23"/>
          <w:lang w:val="en-GB"/>
        </w:rPr>
        <w:t>3-02-003</w:t>
      </w:r>
      <w:r w:rsidRPr="00D82ACD">
        <w:rPr>
          <w:rStyle w:val="eop"/>
          <w:rFonts w:ascii="Calibri" w:eastAsiaTheme="majorEastAsia" w:hAnsi="Calibri" w:cs="Calibri"/>
          <w:color w:val="000000"/>
          <w:sz w:val="23"/>
          <w:szCs w:val="23"/>
          <w:lang w:val="en-US"/>
        </w:rPr>
        <w:t> </w:t>
      </w:r>
    </w:p>
    <w:p w14:paraId="12A34CEB" w14:textId="77777777" w:rsidR="00C65614" w:rsidRDefault="00C65614" w:rsidP="00274662">
      <w:pPr>
        <w:pStyle w:val="paragraph"/>
        <w:spacing w:before="0" w:beforeAutospacing="0" w:after="0" w:afterAutospacing="0" w:line="259" w:lineRule="auto"/>
        <w:jc w:val="both"/>
        <w:textAlignment w:val="baseline"/>
        <w:rPr>
          <w:rStyle w:val="normaltextrun"/>
          <w:rFonts w:ascii="Calibri" w:eastAsiaTheme="majorEastAsia" w:hAnsi="Calibri" w:cs="Calibri"/>
          <w:color w:val="000000"/>
          <w:sz w:val="23"/>
          <w:szCs w:val="23"/>
          <w:lang w:val="en-GB"/>
        </w:rPr>
      </w:pPr>
    </w:p>
    <w:p w14:paraId="57A16580" w14:textId="579BE694" w:rsidR="00B75793" w:rsidRPr="00D82ACD" w:rsidRDefault="00B75793" w:rsidP="00274662">
      <w:pPr>
        <w:pStyle w:val="paragraph"/>
        <w:spacing w:before="0" w:beforeAutospacing="0" w:after="0" w:afterAutospacing="0" w:line="259" w:lineRule="auto"/>
        <w:jc w:val="both"/>
        <w:textAlignment w:val="baseline"/>
        <w:rPr>
          <w:rStyle w:val="eop"/>
          <w:rFonts w:ascii="Calibri" w:eastAsiaTheme="majorEastAsia" w:hAnsi="Calibri" w:cs="Calibri"/>
          <w:color w:val="000000"/>
          <w:sz w:val="23"/>
          <w:szCs w:val="23"/>
          <w:lang w:val="en-US"/>
        </w:rPr>
      </w:pPr>
      <w:r>
        <w:rPr>
          <w:rStyle w:val="normaltextrun"/>
          <w:rFonts w:ascii="Calibri" w:eastAsiaTheme="majorEastAsia" w:hAnsi="Calibri" w:cs="Calibri"/>
          <w:color w:val="000000"/>
          <w:sz w:val="23"/>
          <w:szCs w:val="23"/>
          <w:lang w:val="en-GB"/>
        </w:rPr>
        <w:t>The autopsy showed an inhomogeneous coloration of the kidney as an expression of acute renal damage. A diagnostic kidney transjugular biopsy performed pre-mortem on the day of death had revealed renal cortical and medullary tissue with up to 10 glomeruli in part with slightly increased cellularity, consistent capillary loops and one glomerulus with capsular fibrosis. Focal mixed cell inflammatory infiltrate including numerous eosinophil granulocyte and edema in the interstitium with widespread acute tubular necrosis was noted. The intrarenal arteries had slight intimal fibrosis and tubules were dilated. Further examinations revealed acute damage to the renal tubules (tubular necrosis) with adjacent microabscesses and reactive cell changes. All the histological findings were consistent with an acute interstitial nephritis, compatible with a drug-toxic renal injury however no granulomas, fibrosis, significant tubulitis, and vasculitis were noted. The unusual widespread acute tubular necrosis without significant tubulitis confirmed the acute tubular injury could be due to an additional cause. Immunofluorescence microscopy revealed renal tissue with up to 7 glomeruli, one of which completely sclerosed, factor VIII and fibrinogen in normal patterns, and IgG, IgM, IgA, complement factors C1q and C3 all negative. The pre-mortem liver transjugular biopsy (also performed on the day of death) revealed regular architecture and more than 15 portal tracts in which mixed cell inflammatory infiltrate including numerous eosinophil granulocytes, interface hepatitis, signs of bile duct damage and ductular reaction (CK19 staining) were observed. There were no portal fibrosis and no fibrous septa. The lobular parenchyma was noted with several necroinflammatory lesions with numerous granulocytes, individual cell necrosis, Kupffer cell siderosis and hepatocellular cholestasis. No steatosis and no PAS positive, diastase resistant glomerular inclusions were noted, and consistent central veins were present. </w:t>
      </w:r>
      <w:r w:rsidRPr="00D82ACD">
        <w:rPr>
          <w:rStyle w:val="eop"/>
          <w:rFonts w:ascii="Calibri" w:eastAsiaTheme="majorEastAsia" w:hAnsi="Calibri" w:cs="Calibri"/>
          <w:color w:val="000000"/>
          <w:sz w:val="23"/>
          <w:szCs w:val="23"/>
          <w:lang w:val="en-US"/>
        </w:rPr>
        <w:t> </w:t>
      </w:r>
      <w:r w:rsidRPr="001D3625">
        <w:rPr>
          <w:rStyle w:val="normaltextrun"/>
          <w:rFonts w:ascii="Calibri" w:eastAsiaTheme="majorEastAsia" w:hAnsi="Calibri" w:cs="Calibri"/>
          <w:color w:val="000000"/>
          <w:sz w:val="23"/>
          <w:szCs w:val="23"/>
          <w:lang w:val="en-GB"/>
        </w:rPr>
        <w:t xml:space="preserve">There was no evidence of malignancy. </w:t>
      </w:r>
      <w:r w:rsidR="00596159" w:rsidRPr="001D3625">
        <w:rPr>
          <w:rStyle w:val="normaltextrun"/>
          <w:rFonts w:ascii="Calibri" w:eastAsiaTheme="majorEastAsia" w:hAnsi="Calibri" w:cs="Calibri"/>
          <w:color w:val="000000"/>
          <w:sz w:val="23"/>
          <w:szCs w:val="23"/>
          <w:lang w:val="en-GB"/>
        </w:rPr>
        <w:t>In summary, a</w:t>
      </w:r>
      <w:r w:rsidRPr="001D3625">
        <w:rPr>
          <w:rStyle w:val="normaltextrun"/>
          <w:rFonts w:ascii="Calibri" w:eastAsiaTheme="majorEastAsia" w:hAnsi="Calibri" w:cs="Calibri"/>
          <w:color w:val="000000"/>
          <w:sz w:val="23"/>
          <w:szCs w:val="23"/>
          <w:lang w:val="en-GB"/>
        </w:rPr>
        <w:t xml:space="preserve">cute </w:t>
      </w:r>
      <w:r w:rsidR="00596159" w:rsidRPr="001D3625">
        <w:rPr>
          <w:rStyle w:val="normaltextrun"/>
          <w:rFonts w:ascii="Calibri" w:eastAsiaTheme="majorEastAsia" w:hAnsi="Calibri" w:cs="Calibri"/>
          <w:color w:val="000000"/>
          <w:sz w:val="23"/>
          <w:szCs w:val="23"/>
          <w:lang w:val="en-GB"/>
        </w:rPr>
        <w:t xml:space="preserve">kidney and </w:t>
      </w:r>
      <w:r w:rsidRPr="001D3625">
        <w:rPr>
          <w:rStyle w:val="normaltextrun"/>
          <w:rFonts w:ascii="Calibri" w:eastAsiaTheme="majorEastAsia" w:hAnsi="Calibri" w:cs="Calibri"/>
          <w:color w:val="000000"/>
          <w:sz w:val="23"/>
          <w:szCs w:val="23"/>
          <w:lang w:val="en-GB"/>
        </w:rPr>
        <w:t>hepatic cell damage was detected</w:t>
      </w:r>
      <w:r w:rsidR="00596159" w:rsidRPr="001D3625">
        <w:rPr>
          <w:rStyle w:val="normaltextrun"/>
          <w:rFonts w:ascii="Calibri" w:eastAsiaTheme="majorEastAsia" w:hAnsi="Calibri" w:cs="Calibri"/>
          <w:color w:val="000000"/>
          <w:sz w:val="23"/>
          <w:szCs w:val="23"/>
          <w:lang w:val="en-GB"/>
        </w:rPr>
        <w:t xml:space="preserve">. Overall kidney and </w:t>
      </w:r>
      <w:r w:rsidRPr="001D3625">
        <w:rPr>
          <w:rStyle w:val="normaltextrun"/>
          <w:rFonts w:ascii="Calibri" w:eastAsiaTheme="majorEastAsia" w:hAnsi="Calibri" w:cs="Calibri"/>
          <w:color w:val="000000"/>
          <w:sz w:val="23"/>
          <w:szCs w:val="23"/>
          <w:lang w:val="en-GB"/>
        </w:rPr>
        <w:t>hepatic histologic findings were suggestive of drug induced injury. The investigations from the main autopsy confirmed the findings of the pre-mortem biopsies with no additional or diverging findings.</w:t>
      </w:r>
    </w:p>
    <w:p w14:paraId="7627F7A3" w14:textId="77777777" w:rsidR="00A50A10" w:rsidRPr="00D82ACD" w:rsidRDefault="00A50A10" w:rsidP="00274662">
      <w:pPr>
        <w:pStyle w:val="paragraph"/>
        <w:spacing w:before="0" w:beforeAutospacing="0" w:after="0" w:afterAutospacing="0" w:line="259" w:lineRule="auto"/>
        <w:jc w:val="both"/>
        <w:textAlignment w:val="baseline"/>
        <w:rPr>
          <w:rStyle w:val="eop"/>
          <w:rFonts w:ascii="Calibri" w:eastAsiaTheme="majorEastAsia" w:hAnsi="Calibri" w:cs="Calibri"/>
          <w:color w:val="000000"/>
          <w:sz w:val="23"/>
          <w:szCs w:val="23"/>
          <w:lang w:val="en-US"/>
        </w:rPr>
      </w:pPr>
    </w:p>
    <w:p w14:paraId="14774FDE" w14:textId="403FAD39" w:rsidR="00A50A10" w:rsidRPr="00D82ACD" w:rsidRDefault="00A50A10">
      <w:pPr>
        <w:rPr>
          <w:rFonts w:ascii="Segoe UI" w:eastAsia="Times New Roman" w:hAnsi="Segoe UI" w:cs="Segoe UI"/>
          <w:kern w:val="0"/>
          <w:sz w:val="18"/>
          <w:szCs w:val="18"/>
          <w:lang w:val="en-US" w:eastAsia="de-DE"/>
          <w14:ligatures w14:val="none"/>
        </w:rPr>
      </w:pPr>
      <w:r>
        <w:rPr>
          <w:rFonts w:ascii="Segoe UI" w:hAnsi="Segoe UI" w:cs="Segoe UI"/>
          <w:sz w:val="18"/>
          <w:szCs w:val="18"/>
        </w:rPr>
        <w:br w:type="page"/>
      </w:r>
    </w:p>
    <w:p w14:paraId="65E538AC" w14:textId="77777777" w:rsidR="00A50A10" w:rsidRPr="00D82ACD" w:rsidRDefault="00A50A10" w:rsidP="00274662">
      <w:pPr>
        <w:pStyle w:val="paragraph"/>
        <w:spacing w:before="0" w:beforeAutospacing="0" w:after="0" w:afterAutospacing="0" w:line="259" w:lineRule="auto"/>
        <w:jc w:val="both"/>
        <w:textAlignment w:val="baseline"/>
        <w:rPr>
          <w:rFonts w:asciiTheme="minorHAnsi" w:hAnsiTheme="minorHAnsi" w:cstheme="minorHAnsi"/>
          <w:sz w:val="22"/>
          <w:szCs w:val="22"/>
          <w:lang w:val="en-US"/>
        </w:rPr>
      </w:pPr>
    </w:p>
    <w:p w14:paraId="65BFC95F" w14:textId="2554D398" w:rsidR="00B75793" w:rsidRPr="00D82ACD" w:rsidRDefault="00B75793" w:rsidP="007E76DE">
      <w:pPr>
        <w:pStyle w:val="paragraph"/>
        <w:spacing w:before="0" w:beforeAutospacing="0" w:after="0" w:afterAutospacing="0" w:line="259" w:lineRule="auto"/>
        <w:ind w:right="-227"/>
        <w:textAlignment w:val="baseline"/>
        <w:rPr>
          <w:rFonts w:ascii="Segoe UI" w:hAnsi="Segoe UI" w:cs="Segoe UI"/>
          <w:lang w:val="en-US"/>
        </w:rPr>
      </w:pPr>
      <w:r w:rsidRPr="00065DE8">
        <w:rPr>
          <w:rStyle w:val="normaltextrun"/>
          <w:rFonts w:ascii="Calibri" w:eastAsiaTheme="majorEastAsia" w:hAnsi="Calibri" w:cs="Calibri"/>
          <w:b/>
          <w:bCs/>
          <w:lang w:val="en-US"/>
        </w:rPr>
        <w:t xml:space="preserve">Safety </w:t>
      </w:r>
      <w:r w:rsidR="007E76DE">
        <w:rPr>
          <w:rStyle w:val="normaltextrun"/>
          <w:rFonts w:ascii="Calibri" w:eastAsiaTheme="majorEastAsia" w:hAnsi="Calibri" w:cs="Calibri"/>
          <w:b/>
          <w:bCs/>
          <w:lang w:val="en-US"/>
        </w:rPr>
        <w:t>–</w:t>
      </w:r>
      <w:r w:rsidRPr="00065DE8">
        <w:rPr>
          <w:rStyle w:val="normaltextrun"/>
          <w:rFonts w:ascii="Calibri" w:eastAsiaTheme="majorEastAsia" w:hAnsi="Calibri" w:cs="Calibri"/>
          <w:b/>
          <w:bCs/>
          <w:lang w:val="en-US"/>
        </w:rPr>
        <w:t xml:space="preserve"> Pa</w:t>
      </w:r>
      <w:r w:rsidR="007E76DE">
        <w:rPr>
          <w:rStyle w:val="normaltextrun"/>
          <w:rFonts w:ascii="Calibri" w:eastAsiaTheme="majorEastAsia" w:hAnsi="Calibri" w:cs="Calibri"/>
          <w:b/>
          <w:bCs/>
          <w:lang w:val="en-US"/>
        </w:rPr>
        <w:t xml:space="preserve">rticipant </w:t>
      </w:r>
      <w:r w:rsidRPr="00065DE8">
        <w:rPr>
          <w:rStyle w:val="normaltextrun"/>
          <w:rFonts w:ascii="Calibri" w:eastAsiaTheme="majorEastAsia" w:hAnsi="Calibri" w:cs="Calibri"/>
          <w:b/>
          <w:bCs/>
          <w:lang w:val="en-US"/>
        </w:rPr>
        <w:t xml:space="preserve">narrative 2-01-006:  </w:t>
      </w:r>
      <w:r w:rsidR="009E2744">
        <w:rPr>
          <w:rStyle w:val="normaltextrun"/>
          <w:rFonts w:ascii="Calibri" w:eastAsiaTheme="majorEastAsia" w:hAnsi="Calibri" w:cs="Calibri"/>
          <w:b/>
          <w:bCs/>
          <w:lang w:val="en-US"/>
        </w:rPr>
        <w:t xml:space="preserve">56 years old male, nsq </w:t>
      </w:r>
      <w:r w:rsidRPr="00065DE8">
        <w:rPr>
          <w:rStyle w:val="normaltextrun"/>
          <w:rFonts w:ascii="Calibri" w:eastAsiaTheme="majorEastAsia" w:hAnsi="Calibri" w:cs="Calibri"/>
          <w:b/>
          <w:bCs/>
          <w:lang w:val="en-US"/>
        </w:rPr>
        <w:t xml:space="preserve">NSCLC (Grade 5 </w:t>
      </w:r>
      <w:r w:rsidRPr="002459E0">
        <w:rPr>
          <w:rStyle w:val="normaltextrun"/>
          <w:rFonts w:ascii="Calibri" w:eastAsiaTheme="majorEastAsia" w:hAnsi="Calibri" w:cs="Calibri"/>
          <w:b/>
          <w:bCs/>
          <w:color w:val="000000" w:themeColor="text1"/>
          <w:lang w:val="en-US"/>
        </w:rPr>
        <w:t>TRAE</w:t>
      </w:r>
      <w:r w:rsidRPr="00065DE8">
        <w:rPr>
          <w:rStyle w:val="normaltextrun"/>
          <w:rFonts w:ascii="Calibri" w:eastAsiaTheme="majorEastAsia" w:hAnsi="Calibri" w:cs="Calibri"/>
          <w:b/>
          <w:bCs/>
          <w:lang w:val="en-US"/>
        </w:rPr>
        <w:t>)</w:t>
      </w:r>
      <w:r w:rsidRPr="00D82ACD">
        <w:rPr>
          <w:rStyle w:val="eop"/>
          <w:rFonts w:ascii="Calibri" w:eastAsiaTheme="majorEastAsia" w:hAnsi="Calibri" w:cs="Calibri"/>
          <w:lang w:val="en-US"/>
        </w:rPr>
        <w:t> </w:t>
      </w:r>
    </w:p>
    <w:p w14:paraId="50C45BBE"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color w:val="000000"/>
          <w:sz w:val="23"/>
          <w:szCs w:val="23"/>
          <w:lang w:val="en-GB"/>
        </w:rPr>
      </w:pPr>
    </w:p>
    <w:p w14:paraId="099D349B" w14:textId="554123BD" w:rsidR="00B75793" w:rsidRDefault="00B75793" w:rsidP="00274662">
      <w:pPr>
        <w:pStyle w:val="paragraph"/>
        <w:spacing w:before="0" w:beforeAutospacing="0" w:after="0" w:afterAutospacing="0" w:line="259" w:lineRule="auto"/>
        <w:jc w:val="both"/>
        <w:textAlignment w:val="baseline"/>
        <w:rPr>
          <w:rStyle w:val="normaltextrun"/>
          <w:rFonts w:ascii="Calibri" w:eastAsiaTheme="majorEastAsia" w:hAnsi="Calibri" w:cs="Calibri"/>
          <w:color w:val="000000"/>
          <w:sz w:val="23"/>
          <w:szCs w:val="23"/>
          <w:lang w:val="en-GB"/>
        </w:rPr>
      </w:pPr>
      <w:r>
        <w:rPr>
          <w:rStyle w:val="normaltextrun"/>
          <w:rFonts w:ascii="Calibri" w:eastAsiaTheme="majorEastAsia" w:hAnsi="Calibri" w:cs="Calibri"/>
          <w:color w:val="000000"/>
          <w:sz w:val="23"/>
          <w:szCs w:val="23"/>
          <w:lang w:val="en-GB"/>
        </w:rPr>
        <w:t>The second pa</w:t>
      </w:r>
      <w:r w:rsidR="005E667B">
        <w:rPr>
          <w:rStyle w:val="normaltextrun"/>
          <w:rFonts w:ascii="Calibri" w:eastAsiaTheme="majorEastAsia" w:hAnsi="Calibri" w:cs="Calibri"/>
          <w:color w:val="000000"/>
          <w:sz w:val="23"/>
          <w:szCs w:val="23"/>
          <w:lang w:val="en-GB"/>
        </w:rPr>
        <w:t xml:space="preserve">rticipant </w:t>
      </w:r>
      <w:r>
        <w:rPr>
          <w:rStyle w:val="normaltextrun"/>
          <w:rFonts w:ascii="Calibri" w:eastAsiaTheme="majorEastAsia" w:hAnsi="Calibri" w:cs="Calibri"/>
          <w:color w:val="000000"/>
          <w:sz w:val="23"/>
          <w:szCs w:val="23"/>
          <w:lang w:val="en-GB"/>
        </w:rPr>
        <w:t>with Grade 5 outcome</w:t>
      </w:r>
      <w:r w:rsidR="006F49A7">
        <w:rPr>
          <w:rStyle w:val="normaltextrun"/>
          <w:rFonts w:ascii="Calibri" w:eastAsiaTheme="majorEastAsia" w:hAnsi="Calibri" w:cs="Calibri"/>
          <w:color w:val="000000"/>
          <w:sz w:val="23"/>
          <w:szCs w:val="23"/>
          <w:lang w:val="en-GB"/>
        </w:rPr>
        <w:t xml:space="preserve"> (56 years old, male)</w:t>
      </w:r>
      <w:r>
        <w:rPr>
          <w:rStyle w:val="normaltextrun"/>
          <w:rFonts w:ascii="Calibri" w:eastAsiaTheme="majorEastAsia" w:hAnsi="Calibri" w:cs="Calibri"/>
          <w:color w:val="000000"/>
          <w:sz w:val="23"/>
          <w:szCs w:val="23"/>
          <w:lang w:val="en-GB"/>
        </w:rPr>
        <w:t xml:space="preserve"> was diagnosed with NSCLC, too. The patient experienced Grade 2 respiratory infection of unknown origin with CRP increase and </w:t>
      </w:r>
      <w:r w:rsidR="00034BE6">
        <w:rPr>
          <w:rStyle w:val="normaltextrun"/>
          <w:rFonts w:ascii="Calibri" w:eastAsiaTheme="majorEastAsia" w:hAnsi="Calibri" w:cs="Calibri"/>
          <w:color w:val="000000"/>
          <w:sz w:val="23"/>
          <w:szCs w:val="23"/>
          <w:lang w:val="en-GB"/>
        </w:rPr>
        <w:t xml:space="preserve">pulmonary </w:t>
      </w:r>
      <w:r>
        <w:rPr>
          <w:rStyle w:val="normaltextrun"/>
          <w:rFonts w:ascii="Calibri" w:eastAsiaTheme="majorEastAsia" w:hAnsi="Calibri" w:cs="Calibri"/>
          <w:color w:val="000000"/>
          <w:sz w:val="23"/>
          <w:szCs w:val="23"/>
          <w:lang w:val="en-GB"/>
        </w:rPr>
        <w:t>infiltra</w:t>
      </w:r>
      <w:r w:rsidR="00034BE6">
        <w:rPr>
          <w:rStyle w:val="normaltextrun"/>
          <w:rFonts w:ascii="Calibri" w:eastAsiaTheme="majorEastAsia" w:hAnsi="Calibri" w:cs="Calibri"/>
          <w:color w:val="000000"/>
          <w:sz w:val="23"/>
          <w:szCs w:val="23"/>
          <w:lang w:val="en-GB"/>
        </w:rPr>
        <w:t>tes</w:t>
      </w:r>
      <w:r>
        <w:rPr>
          <w:rStyle w:val="normaltextrun"/>
          <w:rFonts w:ascii="Calibri" w:eastAsiaTheme="majorEastAsia" w:hAnsi="Calibri" w:cs="Calibri"/>
          <w:color w:val="000000"/>
          <w:sz w:val="23"/>
          <w:szCs w:val="23"/>
          <w:lang w:val="en-GB"/>
        </w:rPr>
        <w:t xml:space="preserve"> </w:t>
      </w:r>
      <w:r w:rsidR="00034BE6">
        <w:rPr>
          <w:rStyle w:val="normaltextrun"/>
          <w:rFonts w:ascii="Calibri" w:eastAsiaTheme="majorEastAsia" w:hAnsi="Calibri" w:cs="Calibri"/>
          <w:color w:val="000000"/>
          <w:sz w:val="23"/>
          <w:szCs w:val="23"/>
          <w:lang w:val="en-GB"/>
        </w:rPr>
        <w:t>(confirmed by CT)</w:t>
      </w:r>
      <w:r>
        <w:rPr>
          <w:rStyle w:val="normaltextrun"/>
          <w:rFonts w:ascii="Calibri" w:eastAsiaTheme="majorEastAsia" w:hAnsi="Calibri" w:cs="Calibri"/>
          <w:color w:val="000000"/>
          <w:sz w:val="23"/>
          <w:szCs w:val="23"/>
          <w:lang w:val="en-GB"/>
        </w:rPr>
        <w:t xml:space="preserve"> four weeks after initiation of study treatment. Under antibiotic treatment, CRP decreased, and the patient also improved clinically. However, 2 weeks after diagnosis of the respiratory infection, </w:t>
      </w:r>
      <w:r>
        <w:rPr>
          <w:rStyle w:val="normaltextrun"/>
          <w:rFonts w:ascii="Calibri" w:eastAsiaTheme="majorEastAsia" w:hAnsi="Calibri" w:cs="Calibri"/>
          <w:sz w:val="23"/>
          <w:szCs w:val="23"/>
          <w:lang w:val="en-US"/>
        </w:rPr>
        <w:t>the patient´s respiratory condition worsened</w:t>
      </w:r>
      <w:r w:rsidR="00034BE6">
        <w:rPr>
          <w:rStyle w:val="normaltextrun"/>
          <w:rFonts w:ascii="Calibri" w:eastAsiaTheme="majorEastAsia" w:hAnsi="Calibri" w:cs="Calibri"/>
          <w:sz w:val="23"/>
          <w:szCs w:val="23"/>
          <w:lang w:val="en-US"/>
        </w:rPr>
        <w:t>. Steroid treatment was added and antibio</w:t>
      </w:r>
      <w:r w:rsidR="005D6745">
        <w:rPr>
          <w:rStyle w:val="normaltextrun"/>
          <w:rFonts w:ascii="Calibri" w:eastAsiaTheme="majorEastAsia" w:hAnsi="Calibri" w:cs="Calibri"/>
          <w:sz w:val="23"/>
          <w:szCs w:val="23"/>
          <w:lang w:val="en-US"/>
        </w:rPr>
        <w:t>tics</w:t>
      </w:r>
      <w:r w:rsidR="00034BE6">
        <w:rPr>
          <w:rStyle w:val="normaltextrun"/>
          <w:rFonts w:ascii="Calibri" w:eastAsiaTheme="majorEastAsia" w:hAnsi="Calibri" w:cs="Calibri"/>
          <w:sz w:val="23"/>
          <w:szCs w:val="23"/>
          <w:lang w:val="en-US"/>
        </w:rPr>
        <w:t xml:space="preserve"> adjusted, as pneumonitis was suspected on top of infection. Finally, </w:t>
      </w:r>
      <w:r>
        <w:rPr>
          <w:rStyle w:val="normaltextrun"/>
          <w:rFonts w:ascii="Calibri" w:eastAsiaTheme="majorEastAsia" w:hAnsi="Calibri" w:cs="Calibri"/>
          <w:sz w:val="23"/>
          <w:szCs w:val="23"/>
          <w:lang w:val="en-US"/>
        </w:rPr>
        <w:t>the pa</w:t>
      </w:r>
      <w:r w:rsidR="005E667B">
        <w:rPr>
          <w:rStyle w:val="normaltextrun"/>
          <w:rFonts w:ascii="Calibri" w:eastAsiaTheme="majorEastAsia" w:hAnsi="Calibri" w:cs="Calibri"/>
          <w:sz w:val="23"/>
          <w:szCs w:val="23"/>
          <w:lang w:val="en-US"/>
        </w:rPr>
        <w:t xml:space="preserve">rticipant </w:t>
      </w:r>
      <w:r>
        <w:rPr>
          <w:rStyle w:val="normaltextrun"/>
          <w:rFonts w:ascii="Calibri" w:eastAsiaTheme="majorEastAsia" w:hAnsi="Calibri" w:cs="Calibri"/>
          <w:sz w:val="23"/>
          <w:szCs w:val="23"/>
          <w:lang w:val="en-US"/>
        </w:rPr>
        <w:t xml:space="preserve">experienced a Grade 5 respiratory decompensation while the </w:t>
      </w:r>
      <w:r w:rsidR="00034BE6">
        <w:rPr>
          <w:rStyle w:val="normaltextrun"/>
          <w:rFonts w:ascii="Calibri" w:eastAsiaTheme="majorEastAsia" w:hAnsi="Calibri" w:cs="Calibri"/>
          <w:sz w:val="23"/>
          <w:szCs w:val="23"/>
          <w:lang w:val="en-US"/>
        </w:rPr>
        <w:t xml:space="preserve">exact </w:t>
      </w:r>
      <w:r>
        <w:rPr>
          <w:rStyle w:val="normaltextrun"/>
          <w:rFonts w:ascii="Calibri" w:eastAsiaTheme="majorEastAsia" w:hAnsi="Calibri" w:cs="Calibri"/>
          <w:sz w:val="23"/>
          <w:szCs w:val="23"/>
          <w:lang w:val="en-US"/>
        </w:rPr>
        <w:t xml:space="preserve">cause of respiratory decompensation </w:t>
      </w:r>
      <w:r w:rsidR="00034BE6">
        <w:rPr>
          <w:rStyle w:val="normaltextrun"/>
          <w:rFonts w:ascii="Calibri" w:eastAsiaTheme="majorEastAsia" w:hAnsi="Calibri" w:cs="Calibri"/>
          <w:sz w:val="23"/>
          <w:szCs w:val="23"/>
          <w:lang w:val="en-US"/>
        </w:rPr>
        <w:t xml:space="preserve">remained </w:t>
      </w:r>
      <w:r>
        <w:rPr>
          <w:rStyle w:val="normaltextrun"/>
          <w:rFonts w:ascii="Calibri" w:eastAsiaTheme="majorEastAsia" w:hAnsi="Calibri" w:cs="Calibri"/>
          <w:sz w:val="23"/>
          <w:szCs w:val="23"/>
          <w:lang w:val="en-US"/>
        </w:rPr>
        <w:t xml:space="preserve">unclear. A low-dose CT control scan </w:t>
      </w:r>
      <w:r w:rsidR="00034BE6">
        <w:rPr>
          <w:rStyle w:val="normaltextrun"/>
          <w:rFonts w:ascii="Calibri" w:eastAsiaTheme="majorEastAsia" w:hAnsi="Calibri" w:cs="Calibri"/>
          <w:sz w:val="23"/>
          <w:szCs w:val="23"/>
          <w:lang w:val="en-US"/>
        </w:rPr>
        <w:t xml:space="preserve">had </w:t>
      </w:r>
      <w:r>
        <w:rPr>
          <w:rStyle w:val="normaltextrun"/>
          <w:rFonts w:ascii="Calibri" w:eastAsiaTheme="majorEastAsia" w:hAnsi="Calibri" w:cs="Calibri"/>
          <w:sz w:val="23"/>
          <w:szCs w:val="23"/>
          <w:lang w:val="en-US"/>
        </w:rPr>
        <w:t xml:space="preserve">showed worsening of pneumonic infiltration as well as enlarged mediastinal lymph nodes (due to infection/differential diagnosis of tumor progression). The cause of death, per death certificate, was respiratory insufficiency and </w:t>
      </w:r>
      <w:r>
        <w:rPr>
          <w:rStyle w:val="normaltextrun"/>
          <w:rFonts w:ascii="Calibri" w:eastAsiaTheme="majorEastAsia" w:hAnsi="Calibri" w:cs="Calibri"/>
          <w:color w:val="000000"/>
          <w:sz w:val="23"/>
          <w:szCs w:val="23"/>
          <w:lang w:val="en-GB"/>
        </w:rPr>
        <w:t>no autopsy was conducted.</w:t>
      </w:r>
    </w:p>
    <w:p w14:paraId="6E19E755" w14:textId="77777777" w:rsidR="00A50A10" w:rsidRDefault="00A50A10" w:rsidP="00B75793">
      <w:pPr>
        <w:pStyle w:val="paragraph"/>
        <w:spacing w:before="0" w:beforeAutospacing="0" w:after="0" w:afterAutospacing="0"/>
        <w:jc w:val="both"/>
        <w:textAlignment w:val="baseline"/>
        <w:rPr>
          <w:rStyle w:val="normaltextrun"/>
          <w:rFonts w:ascii="Calibri" w:eastAsiaTheme="majorEastAsia" w:hAnsi="Calibri" w:cs="Calibri"/>
          <w:color w:val="000000"/>
          <w:sz w:val="23"/>
          <w:szCs w:val="23"/>
          <w:lang w:val="en-GB"/>
        </w:rPr>
      </w:pPr>
    </w:p>
    <w:p w14:paraId="30D1B9F2" w14:textId="39BB02EE" w:rsidR="00A50A10" w:rsidRDefault="00A50A10">
      <w:pPr>
        <w:rPr>
          <w:rStyle w:val="normaltextrun"/>
          <w:rFonts w:ascii="Calibri" w:eastAsiaTheme="majorEastAsia" w:hAnsi="Calibri" w:cs="Calibri"/>
          <w:color w:val="000000"/>
          <w:kern w:val="0"/>
          <w:sz w:val="23"/>
          <w:szCs w:val="23"/>
          <w:lang w:eastAsia="de-DE"/>
          <w14:ligatures w14:val="none"/>
        </w:rPr>
      </w:pPr>
      <w:r>
        <w:rPr>
          <w:rStyle w:val="normaltextrun"/>
          <w:rFonts w:ascii="Calibri" w:eastAsiaTheme="majorEastAsia" w:hAnsi="Calibri" w:cs="Calibri"/>
          <w:color w:val="000000"/>
          <w:sz w:val="23"/>
          <w:szCs w:val="23"/>
        </w:rPr>
        <w:br w:type="page"/>
      </w:r>
    </w:p>
    <w:p w14:paraId="636065B1" w14:textId="1193622A" w:rsidR="00B75793" w:rsidRPr="00D82ACD" w:rsidRDefault="00B75793" w:rsidP="00B75793">
      <w:pPr>
        <w:pStyle w:val="paragraph"/>
        <w:spacing w:before="0" w:beforeAutospacing="0" w:after="0" w:afterAutospacing="0"/>
        <w:textAlignment w:val="baseline"/>
        <w:rPr>
          <w:rFonts w:asciiTheme="minorHAnsi" w:hAnsiTheme="minorHAnsi" w:cstheme="minorHAnsi"/>
          <w:sz w:val="22"/>
          <w:szCs w:val="22"/>
          <w:lang w:val="en-US"/>
        </w:rPr>
      </w:pPr>
    </w:p>
    <w:p w14:paraId="042A2DD7" w14:textId="506E27B5" w:rsidR="00B75793" w:rsidRPr="00D82ACD" w:rsidRDefault="00B75793" w:rsidP="00B75793">
      <w:pPr>
        <w:pStyle w:val="paragraph"/>
        <w:spacing w:before="0" w:beforeAutospacing="0" w:after="0" w:afterAutospacing="0"/>
        <w:textAlignment w:val="baseline"/>
        <w:rPr>
          <w:rFonts w:ascii="Segoe UI" w:hAnsi="Segoe UI" w:cs="Segoe UI"/>
          <w:lang w:val="en-US"/>
        </w:rPr>
      </w:pPr>
      <w:r w:rsidRPr="00065DE8">
        <w:rPr>
          <w:rStyle w:val="normaltextrun"/>
          <w:rFonts w:ascii="Calibri" w:eastAsiaTheme="majorEastAsia" w:hAnsi="Calibri" w:cs="Calibri"/>
          <w:b/>
          <w:bCs/>
          <w:lang w:val="en-US"/>
        </w:rPr>
        <w:t xml:space="preserve">Efficacy </w:t>
      </w:r>
      <w:r w:rsidR="007E76DE">
        <w:rPr>
          <w:rStyle w:val="normaltextrun"/>
          <w:rFonts w:ascii="Calibri" w:eastAsiaTheme="majorEastAsia" w:hAnsi="Calibri" w:cs="Calibri"/>
          <w:b/>
          <w:bCs/>
          <w:lang w:val="en-US"/>
        </w:rPr>
        <w:t>–</w:t>
      </w:r>
      <w:r w:rsidRPr="00065DE8">
        <w:rPr>
          <w:rStyle w:val="normaltextrun"/>
          <w:rFonts w:ascii="Calibri" w:eastAsiaTheme="majorEastAsia" w:hAnsi="Calibri" w:cs="Calibri"/>
          <w:b/>
          <w:bCs/>
          <w:lang w:val="en-US"/>
        </w:rPr>
        <w:t xml:space="preserve"> </w:t>
      </w:r>
      <w:bookmarkStart w:id="2" w:name="_Hlk209194768"/>
      <w:r w:rsidRPr="00065DE8">
        <w:rPr>
          <w:rStyle w:val="normaltextrun"/>
          <w:rFonts w:ascii="Calibri" w:eastAsiaTheme="majorEastAsia" w:hAnsi="Calibri" w:cs="Calibri"/>
          <w:b/>
          <w:bCs/>
          <w:lang w:val="en-US"/>
        </w:rPr>
        <w:t>Pa</w:t>
      </w:r>
      <w:r w:rsidR="007E76DE">
        <w:rPr>
          <w:rStyle w:val="normaltextrun"/>
          <w:rFonts w:ascii="Calibri" w:eastAsiaTheme="majorEastAsia" w:hAnsi="Calibri" w:cs="Calibri"/>
          <w:b/>
          <w:bCs/>
          <w:lang w:val="en-US"/>
        </w:rPr>
        <w:t xml:space="preserve">rticipant </w:t>
      </w:r>
      <w:r w:rsidRPr="00065DE8">
        <w:rPr>
          <w:rStyle w:val="normaltextrun"/>
          <w:rFonts w:ascii="Calibri" w:eastAsiaTheme="majorEastAsia" w:hAnsi="Calibri" w:cs="Calibri"/>
          <w:b/>
          <w:bCs/>
          <w:lang w:val="en-US"/>
        </w:rPr>
        <w:t>narrative 1-01-021</w:t>
      </w:r>
      <w:bookmarkEnd w:id="2"/>
      <w:r w:rsidRPr="00065DE8">
        <w:rPr>
          <w:rStyle w:val="normaltextrun"/>
          <w:rFonts w:ascii="Calibri" w:eastAsiaTheme="majorEastAsia" w:hAnsi="Calibri" w:cs="Calibri"/>
          <w:b/>
          <w:bCs/>
          <w:lang w:val="en-US"/>
        </w:rPr>
        <w:t xml:space="preserve">: </w:t>
      </w:r>
      <w:r w:rsidR="009E2744">
        <w:rPr>
          <w:rStyle w:val="normaltextrun"/>
          <w:rFonts w:ascii="Calibri" w:eastAsiaTheme="majorEastAsia" w:hAnsi="Calibri" w:cs="Calibri"/>
          <w:b/>
          <w:bCs/>
          <w:lang w:val="en-US"/>
        </w:rPr>
        <w:t>60 years old male, nsq</w:t>
      </w:r>
      <w:r w:rsidRPr="00065DE8">
        <w:rPr>
          <w:rStyle w:val="normaltextrun"/>
          <w:rFonts w:ascii="Calibri" w:eastAsiaTheme="majorEastAsia" w:hAnsi="Calibri" w:cs="Calibri"/>
          <w:b/>
          <w:bCs/>
          <w:lang w:val="en-US"/>
        </w:rPr>
        <w:t xml:space="preserve"> NSCLC (PR + CMR)</w:t>
      </w:r>
      <w:r w:rsidRPr="00D82ACD">
        <w:rPr>
          <w:rStyle w:val="eop"/>
          <w:rFonts w:ascii="Calibri" w:eastAsiaTheme="majorEastAsia" w:hAnsi="Calibri" w:cs="Calibri"/>
          <w:lang w:val="en-US"/>
        </w:rPr>
        <w:t> </w:t>
      </w:r>
    </w:p>
    <w:p w14:paraId="0DD88416" w14:textId="77777777" w:rsidR="00274662" w:rsidRDefault="00274662" w:rsidP="00B75793">
      <w:pPr>
        <w:pStyle w:val="paragraph"/>
        <w:spacing w:before="0" w:beforeAutospacing="0" w:after="0" w:afterAutospacing="0"/>
        <w:jc w:val="both"/>
        <w:textAlignment w:val="baseline"/>
        <w:rPr>
          <w:rStyle w:val="normaltextrun"/>
          <w:rFonts w:ascii="Calibri" w:eastAsiaTheme="majorEastAsia" w:hAnsi="Calibri" w:cs="Calibri"/>
          <w:color w:val="000000"/>
          <w:sz w:val="23"/>
          <w:szCs w:val="23"/>
          <w:lang w:val="en-US"/>
        </w:rPr>
      </w:pPr>
    </w:p>
    <w:p w14:paraId="612D5237" w14:textId="5696A219"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color w:val="000000"/>
          <w:sz w:val="18"/>
          <w:szCs w:val="18"/>
          <w:lang w:val="en-US"/>
        </w:rPr>
      </w:pPr>
      <w:r>
        <w:rPr>
          <w:rStyle w:val="normaltextrun"/>
          <w:rFonts w:ascii="Calibri" w:eastAsiaTheme="majorEastAsia" w:hAnsi="Calibri" w:cs="Calibri"/>
          <w:color w:val="000000"/>
          <w:sz w:val="23"/>
          <w:szCs w:val="23"/>
          <w:lang w:val="en-US"/>
        </w:rPr>
        <w:t>Participant 1-01-021 is a 60</w:t>
      </w:r>
      <w:r w:rsidR="00510FAF">
        <w:rPr>
          <w:rStyle w:val="normaltextrun"/>
          <w:rFonts w:ascii="Calibri" w:eastAsiaTheme="majorEastAsia" w:hAnsi="Calibri" w:cs="Calibri"/>
          <w:color w:val="000000"/>
          <w:sz w:val="23"/>
          <w:szCs w:val="23"/>
          <w:lang w:val="en-US"/>
        </w:rPr>
        <w:t xml:space="preserve"> </w:t>
      </w:r>
      <w:r>
        <w:rPr>
          <w:rStyle w:val="normaltextrun"/>
          <w:rFonts w:ascii="Calibri" w:eastAsiaTheme="majorEastAsia" w:hAnsi="Calibri" w:cs="Calibri"/>
          <w:color w:val="000000"/>
          <w:sz w:val="23"/>
          <w:szCs w:val="23"/>
          <w:lang w:val="en-US"/>
        </w:rPr>
        <w:t>y</w:t>
      </w:r>
      <w:r w:rsidR="00510FAF">
        <w:rPr>
          <w:rStyle w:val="normaltextrun"/>
          <w:rFonts w:ascii="Calibri" w:eastAsiaTheme="majorEastAsia" w:hAnsi="Calibri" w:cs="Calibri"/>
          <w:color w:val="000000"/>
          <w:sz w:val="23"/>
          <w:szCs w:val="23"/>
          <w:lang w:val="en-US"/>
        </w:rPr>
        <w:t>ears</w:t>
      </w:r>
      <w:r>
        <w:rPr>
          <w:rStyle w:val="normaltextrun"/>
          <w:rFonts w:ascii="Calibri" w:eastAsiaTheme="majorEastAsia" w:hAnsi="Calibri" w:cs="Calibri"/>
          <w:color w:val="000000"/>
          <w:sz w:val="23"/>
          <w:szCs w:val="23"/>
          <w:lang w:val="en-US"/>
        </w:rPr>
        <w:t xml:space="preserve"> </w:t>
      </w:r>
      <w:r w:rsidR="00510FAF">
        <w:rPr>
          <w:rStyle w:val="normaltextrun"/>
          <w:rFonts w:ascii="Calibri" w:eastAsiaTheme="majorEastAsia" w:hAnsi="Calibri" w:cs="Calibri"/>
          <w:color w:val="000000"/>
          <w:sz w:val="23"/>
          <w:szCs w:val="23"/>
          <w:lang w:val="en-US"/>
        </w:rPr>
        <w:t xml:space="preserve">old </w:t>
      </w:r>
      <w:r>
        <w:rPr>
          <w:rStyle w:val="normaltextrun"/>
          <w:rFonts w:ascii="Calibri" w:eastAsiaTheme="majorEastAsia" w:hAnsi="Calibri" w:cs="Calibri"/>
          <w:color w:val="000000"/>
          <w:sz w:val="23"/>
          <w:szCs w:val="23"/>
          <w:lang w:val="en-US"/>
        </w:rPr>
        <w:t>male diagnosed with non-squamous non-small cell lung cancer (NSCLC; stage IV [TNM</w:t>
      </w:r>
      <w:r w:rsidR="00274662">
        <w:rPr>
          <w:rStyle w:val="normaltextrun"/>
          <w:rFonts w:ascii="Calibri" w:eastAsiaTheme="majorEastAsia" w:hAnsi="Calibri" w:cs="Calibri"/>
          <w:color w:val="000000"/>
          <w:sz w:val="23"/>
          <w:szCs w:val="23"/>
          <w:lang w:val="en-US"/>
        </w:rPr>
        <w:t xml:space="preserve"> </w:t>
      </w:r>
      <w:r w:rsidRPr="00274662">
        <w:rPr>
          <w:rStyle w:val="normaltextrun"/>
          <w:rFonts w:ascii="Calibri" w:eastAsiaTheme="majorEastAsia" w:hAnsi="Calibri" w:cs="Calibri"/>
          <w:color w:val="000000"/>
          <w:sz w:val="23"/>
          <w:szCs w:val="23"/>
          <w:vertAlign w:val="subscript"/>
          <w:lang w:val="en-US"/>
        </w:rPr>
        <w:t>un</w:t>
      </w:r>
      <w:r w:rsidR="00274662">
        <w:rPr>
          <w:rStyle w:val="normaltextrun"/>
          <w:rFonts w:ascii="Calibri" w:eastAsiaTheme="majorEastAsia" w:hAnsi="Calibri" w:cs="Calibri"/>
          <w:color w:val="000000"/>
          <w:sz w:val="23"/>
          <w:szCs w:val="23"/>
          <w:vertAlign w:val="subscript"/>
          <w:lang w:val="en-US"/>
        </w:rPr>
        <w:t>known</w:t>
      </w:r>
      <w:r>
        <w:rPr>
          <w:rStyle w:val="normaltextrun"/>
          <w:rFonts w:ascii="Calibri" w:eastAsiaTheme="majorEastAsia" w:hAnsi="Calibri" w:cs="Calibri"/>
          <w:color w:val="000000"/>
          <w:sz w:val="23"/>
          <w:szCs w:val="23"/>
          <w:lang w:val="en-US"/>
        </w:rPr>
        <w:t>]) in Dec</w:t>
      </w:r>
      <w:r w:rsidR="00274662">
        <w:rPr>
          <w:rStyle w:val="normaltextrun"/>
          <w:rFonts w:ascii="Calibri" w:eastAsiaTheme="majorEastAsia" w:hAnsi="Calibri" w:cs="Calibri"/>
          <w:color w:val="000000"/>
          <w:sz w:val="23"/>
          <w:szCs w:val="23"/>
          <w:lang w:val="en-US"/>
        </w:rPr>
        <w:t xml:space="preserve">ember </w:t>
      </w:r>
      <w:r>
        <w:rPr>
          <w:rStyle w:val="normaltextrun"/>
          <w:rFonts w:ascii="Calibri" w:eastAsiaTheme="majorEastAsia" w:hAnsi="Calibri" w:cs="Calibri"/>
          <w:color w:val="000000"/>
          <w:sz w:val="23"/>
          <w:szCs w:val="23"/>
          <w:lang w:val="en-US"/>
        </w:rPr>
        <w:t>2018. Information on tumor mutational and PD-L1 status is not available.</w:t>
      </w:r>
    </w:p>
    <w:p w14:paraId="045E92B8"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color w:val="000000"/>
          <w:sz w:val="23"/>
          <w:szCs w:val="23"/>
          <w:lang w:val="en-US"/>
        </w:rPr>
      </w:pPr>
    </w:p>
    <w:p w14:paraId="22B80244" w14:textId="464FF45E"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color w:val="000000"/>
          <w:sz w:val="18"/>
          <w:szCs w:val="18"/>
          <w:lang w:val="en-US"/>
        </w:rPr>
      </w:pPr>
      <w:r>
        <w:rPr>
          <w:rStyle w:val="normaltextrun"/>
          <w:rFonts w:ascii="Calibri" w:eastAsiaTheme="majorEastAsia" w:hAnsi="Calibri" w:cs="Calibri"/>
          <w:color w:val="000000"/>
          <w:sz w:val="23"/>
          <w:szCs w:val="23"/>
          <w:lang w:val="en-US"/>
        </w:rPr>
        <w:t>The participants medical history included hypercholesterolemia (Grade 1), back pain (Grade 1), and Chilaiditi syndrome (Grade 1), all ongoing at the time of informed consent. </w:t>
      </w:r>
      <w:r w:rsidRPr="00D82ACD">
        <w:rPr>
          <w:rStyle w:val="eop"/>
          <w:rFonts w:ascii="Calibri" w:eastAsiaTheme="majorEastAsia" w:hAnsi="Calibri" w:cs="Calibri"/>
          <w:color w:val="000000"/>
          <w:sz w:val="23"/>
          <w:szCs w:val="23"/>
          <w:lang w:val="en-US"/>
        </w:rPr>
        <w:t> </w:t>
      </w:r>
    </w:p>
    <w:p w14:paraId="083BAEF7" w14:textId="67E79551"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color w:val="000000"/>
          <w:sz w:val="18"/>
          <w:szCs w:val="18"/>
          <w:lang w:val="en-US"/>
        </w:rPr>
      </w:pPr>
      <w:r>
        <w:rPr>
          <w:rStyle w:val="normaltextrun"/>
          <w:rFonts w:ascii="Calibri" w:eastAsiaTheme="majorEastAsia" w:hAnsi="Calibri" w:cs="Calibri"/>
          <w:color w:val="000000"/>
          <w:sz w:val="23"/>
          <w:szCs w:val="23"/>
          <w:lang w:val="en-US"/>
        </w:rPr>
        <w:t>Prior NSCLC treatments included cisplatin and pemetrexed (14-Jan-2019 to 26-Mar-2019) followed by pemetrexed maintenance (14-Jun-2019 to 06-Aug-2019), atezolizumab monotherapy (Sep-2019 to Jan-2021) with best response of partial response (PR), followed by progressive disease (PD) detected Jan-2021 on ongoing treatment, docetaxel (Feb-2021 to 2022), and carboplatin plus vinorelbine (18-Apr-2022 to 08-Jul-2022). PD was confirmed at the end of each above therapy. In total, five lines of prior systemic therapy had been administered. In addition, palliative radiotherapy to the left lung was performed in Nov</w:t>
      </w:r>
      <w:r w:rsidR="00510FAF">
        <w:rPr>
          <w:rStyle w:val="normaltextrun"/>
          <w:rFonts w:ascii="Calibri" w:eastAsiaTheme="majorEastAsia" w:hAnsi="Calibri" w:cs="Calibri"/>
          <w:color w:val="000000"/>
          <w:sz w:val="23"/>
          <w:szCs w:val="23"/>
          <w:lang w:val="en-US"/>
        </w:rPr>
        <w:t xml:space="preserve">ember </w:t>
      </w:r>
      <w:r>
        <w:rPr>
          <w:rStyle w:val="normaltextrun"/>
          <w:rFonts w:ascii="Calibri" w:eastAsiaTheme="majorEastAsia" w:hAnsi="Calibri" w:cs="Calibri"/>
          <w:color w:val="000000"/>
          <w:sz w:val="23"/>
          <w:szCs w:val="23"/>
          <w:lang w:val="en-US"/>
        </w:rPr>
        <w:t>2021.</w:t>
      </w:r>
    </w:p>
    <w:p w14:paraId="644AFEBB" w14:textId="77777777" w:rsidR="005E667B" w:rsidRDefault="005E667B" w:rsidP="00274662">
      <w:pPr>
        <w:pStyle w:val="paragraph"/>
        <w:spacing w:before="0" w:beforeAutospacing="0" w:after="0" w:afterAutospacing="0" w:line="259" w:lineRule="auto"/>
        <w:jc w:val="both"/>
        <w:textAlignment w:val="baseline"/>
        <w:rPr>
          <w:rStyle w:val="normaltextrun"/>
          <w:rFonts w:ascii="Calibri" w:eastAsiaTheme="majorEastAsia" w:hAnsi="Calibri" w:cs="Calibri"/>
          <w:color w:val="000000"/>
          <w:sz w:val="23"/>
          <w:szCs w:val="23"/>
          <w:lang w:val="en-US"/>
        </w:rPr>
      </w:pPr>
    </w:p>
    <w:p w14:paraId="74B3FF69" w14:textId="0846E8DC"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color w:val="000000"/>
          <w:sz w:val="18"/>
          <w:szCs w:val="18"/>
          <w:lang w:val="en-US"/>
        </w:rPr>
      </w:pPr>
      <w:r>
        <w:rPr>
          <w:rStyle w:val="normaltextrun"/>
          <w:rFonts w:ascii="Calibri" w:eastAsiaTheme="majorEastAsia" w:hAnsi="Calibri" w:cs="Calibri"/>
          <w:color w:val="000000"/>
          <w:sz w:val="23"/>
          <w:szCs w:val="23"/>
          <w:lang w:val="en-US"/>
        </w:rPr>
        <w:t xml:space="preserve">The participant signed informed consent for study participation on 20-Oct-2022 under protocol GlobalVersionV5.0 and was enrolled in Part B of the </w:t>
      </w:r>
      <w:r w:rsidR="005E667B">
        <w:rPr>
          <w:rStyle w:val="normaltextrun"/>
          <w:rFonts w:ascii="Calibri" w:eastAsiaTheme="majorEastAsia" w:hAnsi="Calibri" w:cs="Calibri"/>
          <w:color w:val="000000"/>
          <w:sz w:val="23"/>
          <w:szCs w:val="23"/>
          <w:lang w:val="en-US"/>
        </w:rPr>
        <w:t>trial</w:t>
      </w:r>
      <w:r>
        <w:rPr>
          <w:rStyle w:val="normaltextrun"/>
          <w:rFonts w:ascii="Calibri" w:eastAsiaTheme="majorEastAsia" w:hAnsi="Calibri" w:cs="Calibri"/>
          <w:color w:val="000000"/>
          <w:sz w:val="23"/>
          <w:szCs w:val="23"/>
          <w:lang w:val="en-US"/>
        </w:rPr>
        <w:t xml:space="preserve"> into the NSCLC cohort. At study entry, the ECOG performance status was 1. The disease stage was IV (metastatic disease). </w:t>
      </w:r>
      <w:r w:rsidRPr="00D82ACD">
        <w:rPr>
          <w:rStyle w:val="eop"/>
          <w:rFonts w:ascii="Calibri" w:eastAsiaTheme="majorEastAsia" w:hAnsi="Calibri" w:cs="Calibri"/>
          <w:color w:val="000000"/>
          <w:sz w:val="23"/>
          <w:szCs w:val="23"/>
          <w:lang w:val="en-US"/>
        </w:rPr>
        <w:t> </w:t>
      </w:r>
    </w:p>
    <w:p w14:paraId="385A5C80" w14:textId="77777777"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color w:val="000000"/>
          <w:sz w:val="18"/>
          <w:szCs w:val="18"/>
          <w:lang w:val="en-US"/>
        </w:rPr>
      </w:pPr>
      <w:r>
        <w:rPr>
          <w:rStyle w:val="normaltextrun"/>
          <w:rFonts w:ascii="Calibri" w:eastAsiaTheme="majorEastAsia" w:hAnsi="Calibri" w:cs="Calibri"/>
          <w:color w:val="000000"/>
          <w:sz w:val="23"/>
          <w:szCs w:val="23"/>
          <w:lang w:val="en-US"/>
        </w:rPr>
        <w:t>In baseline imaging, target lesions in the right and left adrenal gland as well as in the right lung were identified with a total sum in diameters of 74 mm. No non-target lesions were identified. </w:t>
      </w:r>
      <w:r w:rsidRPr="00D82ACD">
        <w:rPr>
          <w:rStyle w:val="eop"/>
          <w:rFonts w:ascii="Calibri" w:eastAsiaTheme="majorEastAsia" w:hAnsi="Calibri" w:cs="Calibri"/>
          <w:color w:val="000000"/>
          <w:sz w:val="23"/>
          <w:szCs w:val="23"/>
          <w:lang w:val="en-US"/>
        </w:rPr>
        <w:t> </w:t>
      </w:r>
    </w:p>
    <w:p w14:paraId="7D9B6FFD" w14:textId="77777777"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color w:val="000000"/>
          <w:sz w:val="18"/>
          <w:szCs w:val="18"/>
          <w:lang w:val="en-US"/>
        </w:rPr>
      </w:pPr>
      <w:r>
        <w:rPr>
          <w:rStyle w:val="normaltextrun"/>
          <w:rFonts w:ascii="Calibri" w:eastAsiaTheme="majorEastAsia" w:hAnsi="Calibri" w:cs="Calibri"/>
          <w:color w:val="000000"/>
          <w:sz w:val="23"/>
          <w:szCs w:val="23"/>
          <w:lang w:val="en-US"/>
        </w:rPr>
        <w:t>The first dose of visugromab (10 mg/kg Q2W) and nivolumab (240 mg Q2W) was administered on 26-Oct-2022. </w:t>
      </w:r>
      <w:r w:rsidRPr="00D82ACD">
        <w:rPr>
          <w:rStyle w:val="eop"/>
          <w:rFonts w:ascii="Calibri" w:eastAsiaTheme="majorEastAsia" w:hAnsi="Calibri" w:cs="Calibri"/>
          <w:color w:val="000000"/>
          <w:sz w:val="23"/>
          <w:szCs w:val="23"/>
          <w:lang w:val="en-US"/>
        </w:rPr>
        <w:t> </w:t>
      </w:r>
    </w:p>
    <w:p w14:paraId="04879DFB"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color w:val="000000"/>
          <w:sz w:val="23"/>
          <w:szCs w:val="23"/>
          <w:lang w:val="en-US"/>
        </w:rPr>
      </w:pPr>
    </w:p>
    <w:p w14:paraId="4F2446C7" w14:textId="6D197418"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color w:val="000000"/>
          <w:sz w:val="18"/>
          <w:szCs w:val="18"/>
          <w:lang w:val="en-US"/>
        </w:rPr>
      </w:pPr>
      <w:r>
        <w:rPr>
          <w:rStyle w:val="normaltextrun"/>
          <w:rFonts w:ascii="Calibri" w:eastAsiaTheme="majorEastAsia" w:hAnsi="Calibri" w:cs="Calibri"/>
          <w:color w:val="000000"/>
          <w:sz w:val="23"/>
          <w:szCs w:val="23"/>
          <w:lang w:val="en-US"/>
        </w:rPr>
        <w:t>In the first response assessment (post cycle 4), tumor shrinkage (-11.5%) had started and evolved to PR (-42.6%) as per RECIST 1.1 after cycle 12 (12-Apr-2022). Further reduction was noted after cycle 24 (-62.2%; 27-Sep-2023). Duration of response is 33.9 months with ongoing PR (as of 21-Aug-2025). To evaluate tumor viability, a PET-CT was performed on 22-May-2024 and demonstrated complete metabolic response (CMR) with no signal from the remaining lesion. Further PET-CT from 03-Jul-2024, 28-Aug-2024 and 22-Oct-2024 confirmed continuation of the CMR. The participant remains on study treatment (as of 21-Aug-2025) with a total duration of treatment of 33.9 months. </w:t>
      </w:r>
      <w:r w:rsidRPr="00D82ACD">
        <w:rPr>
          <w:rStyle w:val="eop"/>
          <w:rFonts w:ascii="Calibri" w:eastAsiaTheme="majorEastAsia" w:hAnsi="Calibri" w:cs="Calibri"/>
          <w:color w:val="000000"/>
          <w:sz w:val="23"/>
          <w:szCs w:val="23"/>
          <w:lang w:val="en-US"/>
        </w:rPr>
        <w:t> </w:t>
      </w:r>
    </w:p>
    <w:p w14:paraId="1F6E7F61"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color w:val="000000"/>
          <w:sz w:val="23"/>
          <w:szCs w:val="23"/>
          <w:lang w:val="en-US"/>
        </w:rPr>
      </w:pPr>
    </w:p>
    <w:p w14:paraId="3DBC2286" w14:textId="3B2F44C8"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color w:val="000000"/>
          <w:sz w:val="18"/>
          <w:szCs w:val="18"/>
          <w:lang w:val="en-US"/>
        </w:rPr>
      </w:pPr>
      <w:r>
        <w:rPr>
          <w:rStyle w:val="normaltextrun"/>
          <w:rFonts w:ascii="Calibri" w:eastAsiaTheme="majorEastAsia" w:hAnsi="Calibri" w:cs="Calibri"/>
          <w:color w:val="000000"/>
          <w:sz w:val="23"/>
          <w:szCs w:val="23"/>
          <w:lang w:val="en-US"/>
        </w:rPr>
        <w:t>Treatment-related adverse event of lactate dehydrogenase increase (Grade 1) was reported. </w:t>
      </w:r>
      <w:r w:rsidRPr="00D82ACD">
        <w:rPr>
          <w:rStyle w:val="eop"/>
          <w:rFonts w:ascii="Calibri" w:eastAsiaTheme="majorEastAsia" w:hAnsi="Calibri" w:cs="Calibri"/>
          <w:color w:val="000000"/>
          <w:sz w:val="23"/>
          <w:szCs w:val="23"/>
          <w:lang w:val="en-US"/>
        </w:rPr>
        <w:t> </w:t>
      </w:r>
    </w:p>
    <w:p w14:paraId="75854D89" w14:textId="4960C916" w:rsidR="00B75793" w:rsidRDefault="00B75793" w:rsidP="00274662">
      <w:pPr>
        <w:pStyle w:val="paragraph"/>
        <w:spacing w:before="0" w:beforeAutospacing="0" w:after="0" w:afterAutospacing="0" w:line="259" w:lineRule="auto"/>
        <w:jc w:val="both"/>
        <w:textAlignment w:val="baseline"/>
        <w:rPr>
          <w:rStyle w:val="normaltextrun"/>
          <w:rFonts w:ascii="Calibri" w:eastAsiaTheme="majorEastAsia" w:hAnsi="Calibri" w:cs="Calibri"/>
          <w:color w:val="000000"/>
          <w:sz w:val="23"/>
          <w:szCs w:val="23"/>
          <w:lang w:val="en-US"/>
        </w:rPr>
      </w:pPr>
      <w:r>
        <w:rPr>
          <w:rStyle w:val="normaltextrun"/>
          <w:rFonts w:ascii="Calibri" w:eastAsiaTheme="majorEastAsia" w:hAnsi="Calibri" w:cs="Calibri"/>
          <w:color w:val="000000"/>
          <w:sz w:val="23"/>
          <w:szCs w:val="23"/>
          <w:lang w:val="en-US"/>
        </w:rPr>
        <w:t>In summary, participant 1-01-021 received visugromab and nivolumab for 33.9 months so far, and achieved a PR (-69.6%; 12-Apr-2022), identified as confirmed complete metabolic response by sequential PET-CTs during study treatment (22-May-2024 and thereafter). Study treatment continues and is well tolerated, with CMR ongoing as of 21-Aug-2025.</w:t>
      </w:r>
    </w:p>
    <w:p w14:paraId="1B673309" w14:textId="77777777" w:rsidR="00A50A10" w:rsidRDefault="00A50A10" w:rsidP="00B75793">
      <w:pPr>
        <w:pStyle w:val="paragraph"/>
        <w:spacing w:before="0" w:beforeAutospacing="0" w:after="0" w:afterAutospacing="0"/>
        <w:jc w:val="both"/>
        <w:textAlignment w:val="baseline"/>
        <w:rPr>
          <w:rStyle w:val="normaltextrun"/>
          <w:rFonts w:ascii="Calibri" w:eastAsiaTheme="majorEastAsia" w:hAnsi="Calibri" w:cs="Calibri"/>
          <w:color w:val="000000"/>
          <w:sz w:val="23"/>
          <w:szCs w:val="23"/>
          <w:lang w:val="en-US"/>
        </w:rPr>
      </w:pPr>
    </w:p>
    <w:p w14:paraId="47092F17" w14:textId="77777777" w:rsidR="00A50A10" w:rsidRDefault="00A50A10" w:rsidP="00B75793">
      <w:pPr>
        <w:pStyle w:val="paragraph"/>
        <w:spacing w:before="0" w:beforeAutospacing="0" w:after="0" w:afterAutospacing="0"/>
        <w:jc w:val="both"/>
        <w:textAlignment w:val="baseline"/>
        <w:rPr>
          <w:rStyle w:val="normaltextrun"/>
          <w:rFonts w:ascii="Calibri" w:eastAsiaTheme="majorEastAsia" w:hAnsi="Calibri" w:cs="Calibri"/>
          <w:color w:val="000000"/>
          <w:sz w:val="23"/>
          <w:szCs w:val="23"/>
          <w:lang w:val="en-US"/>
        </w:rPr>
        <w:sectPr w:rsidR="00A50A10" w:rsidSect="002F553D">
          <w:footerReference w:type="default" r:id="rId13"/>
          <w:footerReference w:type="first" r:id="rId14"/>
          <w:pgSz w:w="11906" w:h="16838"/>
          <w:pgMar w:top="1417" w:right="1417" w:bottom="1134" w:left="1417" w:header="708" w:footer="708" w:gutter="0"/>
          <w:cols w:space="708"/>
          <w:titlePg/>
          <w:docGrid w:linePitch="360"/>
        </w:sectPr>
      </w:pPr>
    </w:p>
    <w:p w14:paraId="46E7D5FD" w14:textId="3384FC2B" w:rsidR="00A50A10" w:rsidRDefault="00A50A10" w:rsidP="00B75793">
      <w:pPr>
        <w:pStyle w:val="paragraph"/>
        <w:spacing w:before="0" w:beforeAutospacing="0" w:after="0" w:afterAutospacing="0"/>
        <w:jc w:val="both"/>
        <w:textAlignment w:val="baseline"/>
        <w:rPr>
          <w:rStyle w:val="normaltextrun"/>
          <w:rFonts w:ascii="Calibri" w:eastAsiaTheme="majorEastAsia" w:hAnsi="Calibri" w:cs="Calibri"/>
          <w:color w:val="000000"/>
          <w:sz w:val="23"/>
          <w:szCs w:val="23"/>
          <w:lang w:val="en-US"/>
        </w:rPr>
      </w:pPr>
      <w:r>
        <w:rPr>
          <w:rStyle w:val="normaltextrun"/>
          <w:rFonts w:ascii="Calibri" w:eastAsiaTheme="majorEastAsia" w:hAnsi="Calibri" w:cs="Calibri"/>
          <w:b/>
          <w:bCs/>
          <w:sz w:val="23"/>
          <w:szCs w:val="23"/>
          <w:lang w:val="en-US"/>
        </w:rPr>
        <w:lastRenderedPageBreak/>
        <w:t>Pa</w:t>
      </w:r>
      <w:r w:rsidR="007E76DE">
        <w:rPr>
          <w:rStyle w:val="normaltextrun"/>
          <w:rFonts w:ascii="Calibri" w:eastAsiaTheme="majorEastAsia" w:hAnsi="Calibri" w:cs="Calibri"/>
          <w:b/>
          <w:bCs/>
          <w:sz w:val="23"/>
          <w:szCs w:val="23"/>
          <w:lang w:val="en-US"/>
        </w:rPr>
        <w:t xml:space="preserve">rticipant </w:t>
      </w:r>
      <w:r>
        <w:rPr>
          <w:rStyle w:val="normaltextrun"/>
          <w:rFonts w:ascii="Calibri" w:eastAsiaTheme="majorEastAsia" w:hAnsi="Calibri" w:cs="Calibri"/>
          <w:b/>
          <w:bCs/>
          <w:sz w:val="23"/>
          <w:szCs w:val="23"/>
          <w:lang w:val="en-US"/>
        </w:rPr>
        <w:t>1-01-021</w:t>
      </w:r>
      <w:r w:rsidR="00C65614">
        <w:rPr>
          <w:rStyle w:val="normaltextrun"/>
          <w:rFonts w:ascii="Calibri" w:eastAsiaTheme="majorEastAsia" w:hAnsi="Calibri" w:cs="Calibri"/>
          <w:b/>
          <w:bCs/>
          <w:sz w:val="23"/>
          <w:szCs w:val="23"/>
          <w:lang w:val="en-US"/>
        </w:rPr>
        <w:t xml:space="preserve"> (NSCLC)</w:t>
      </w:r>
      <w:r>
        <w:rPr>
          <w:rStyle w:val="normaltextrun"/>
          <w:rFonts w:ascii="Calibri" w:eastAsiaTheme="majorEastAsia" w:hAnsi="Calibri" w:cs="Calibri"/>
          <w:b/>
          <w:bCs/>
          <w:sz w:val="23"/>
          <w:szCs w:val="23"/>
          <w:lang w:val="en-US"/>
        </w:rPr>
        <w:t xml:space="preserve">: Computer tomography (CT) and CT-PET Imaging </w:t>
      </w:r>
    </w:p>
    <w:p w14:paraId="560CE6E2" w14:textId="77777777" w:rsidR="00A50A10" w:rsidRPr="00D82ACD" w:rsidRDefault="00A50A10" w:rsidP="00B75793">
      <w:pPr>
        <w:pStyle w:val="paragraph"/>
        <w:spacing w:before="0" w:beforeAutospacing="0" w:after="0" w:afterAutospacing="0"/>
        <w:jc w:val="both"/>
        <w:textAlignment w:val="baseline"/>
        <w:rPr>
          <w:rStyle w:val="eop"/>
          <w:rFonts w:ascii="Calibri" w:eastAsiaTheme="majorEastAsia" w:hAnsi="Calibri" w:cs="Calibri"/>
          <w:color w:val="000000"/>
          <w:sz w:val="23"/>
          <w:szCs w:val="23"/>
          <w:lang w:val="en-US"/>
        </w:rPr>
      </w:pPr>
    </w:p>
    <w:p w14:paraId="15FC7F54" w14:textId="77777777" w:rsidR="00B75793" w:rsidRPr="00D82ACD" w:rsidRDefault="00B75793" w:rsidP="00B75793">
      <w:pPr>
        <w:pStyle w:val="paragraph"/>
        <w:spacing w:before="0" w:beforeAutospacing="0" w:after="0" w:afterAutospacing="0"/>
        <w:textAlignment w:val="baseline"/>
        <w:rPr>
          <w:rFonts w:ascii="Segoe UI" w:hAnsi="Segoe UI" w:cs="Segoe UI"/>
          <w:sz w:val="18"/>
          <w:szCs w:val="18"/>
          <w:lang w:val="en-US"/>
        </w:rPr>
      </w:pPr>
      <w:r>
        <w:rPr>
          <w:rStyle w:val="wacimagecontainer"/>
          <w:rFonts w:ascii="Segoe UI" w:eastAsiaTheme="majorEastAsia" w:hAnsi="Segoe UI" w:cs="Segoe UI"/>
          <w:noProof/>
          <w:sz w:val="18"/>
          <w:szCs w:val="18"/>
        </w:rPr>
        <w:drawing>
          <wp:inline distT="0" distB="0" distL="0" distR="0" wp14:anchorId="44ABEE22" wp14:editId="311A3FB4">
            <wp:extent cx="8403246" cy="2549237"/>
            <wp:effectExtent l="0" t="0" r="0" b="381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85093" cy="2574066"/>
                    </a:xfrm>
                    <a:prstGeom prst="rect">
                      <a:avLst/>
                    </a:prstGeom>
                    <a:noFill/>
                    <a:ln>
                      <a:noFill/>
                    </a:ln>
                  </pic:spPr>
                </pic:pic>
              </a:graphicData>
            </a:graphic>
          </wp:inline>
        </w:drawing>
      </w:r>
      <w:r>
        <w:rPr>
          <w:rStyle w:val="eop"/>
          <w:rFonts w:ascii="Wingdings" w:eastAsiaTheme="majorEastAsia" w:hAnsi="Wingdings" w:cs="Segoe UI"/>
          <w:sz w:val="22"/>
          <w:szCs w:val="22"/>
        </w:rPr>
        <w:t> </w:t>
      </w:r>
    </w:p>
    <w:p w14:paraId="12AD650D" w14:textId="77777777" w:rsidR="00B75793" w:rsidRPr="00D82ACD" w:rsidRDefault="00B75793" w:rsidP="00B75793">
      <w:pPr>
        <w:pStyle w:val="paragraph"/>
        <w:spacing w:before="0" w:beforeAutospacing="0" w:after="0" w:afterAutospacing="0"/>
        <w:textAlignment w:val="baseline"/>
        <w:rPr>
          <w:rFonts w:ascii="Segoe UI" w:hAnsi="Segoe UI" w:cs="Segoe UI"/>
          <w:sz w:val="18"/>
          <w:szCs w:val="18"/>
          <w:lang w:val="en-US"/>
        </w:rPr>
      </w:pPr>
      <w:r>
        <w:rPr>
          <w:rStyle w:val="wacimagecontainer"/>
          <w:rFonts w:ascii="Segoe UI" w:eastAsiaTheme="majorEastAsia" w:hAnsi="Segoe UI" w:cs="Segoe UI"/>
          <w:noProof/>
          <w:sz w:val="18"/>
          <w:szCs w:val="18"/>
        </w:rPr>
        <w:drawing>
          <wp:inline distT="0" distB="0" distL="0" distR="0" wp14:anchorId="06BD2B87" wp14:editId="2F250F22">
            <wp:extent cx="8458200" cy="2231224"/>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39007" cy="2252540"/>
                    </a:xfrm>
                    <a:prstGeom prst="rect">
                      <a:avLst/>
                    </a:prstGeom>
                    <a:noFill/>
                    <a:ln>
                      <a:noFill/>
                    </a:ln>
                  </pic:spPr>
                </pic:pic>
              </a:graphicData>
            </a:graphic>
          </wp:inline>
        </w:drawing>
      </w:r>
      <w:r>
        <w:rPr>
          <w:rStyle w:val="eop"/>
          <w:rFonts w:ascii="Wingdings" w:eastAsiaTheme="majorEastAsia" w:hAnsi="Wingdings" w:cs="Segoe UI"/>
          <w:sz w:val="22"/>
          <w:szCs w:val="22"/>
        </w:rPr>
        <w:t> </w:t>
      </w:r>
    </w:p>
    <w:p w14:paraId="210A6BA8" w14:textId="210F22BE" w:rsidR="00B75793" w:rsidRPr="00D82ACD" w:rsidRDefault="00B75793" w:rsidP="00B75793">
      <w:pPr>
        <w:pStyle w:val="paragraph"/>
        <w:spacing w:before="0" w:beforeAutospacing="0" w:after="0" w:afterAutospacing="0"/>
        <w:textAlignment w:val="baseline"/>
        <w:rPr>
          <w:rStyle w:val="eop"/>
          <w:rFonts w:ascii="Calibri" w:eastAsiaTheme="majorEastAsia" w:hAnsi="Calibri" w:cs="Calibri"/>
          <w:sz w:val="23"/>
          <w:szCs w:val="23"/>
          <w:lang w:val="en-US"/>
        </w:rPr>
      </w:pPr>
    </w:p>
    <w:p w14:paraId="38B6A907" w14:textId="77777777" w:rsidR="00A50A10" w:rsidRPr="00D82ACD" w:rsidRDefault="00A50A10" w:rsidP="00B75793">
      <w:pPr>
        <w:pStyle w:val="paragraph"/>
        <w:spacing w:before="0" w:beforeAutospacing="0" w:after="0" w:afterAutospacing="0"/>
        <w:textAlignment w:val="baseline"/>
        <w:rPr>
          <w:rStyle w:val="eop"/>
          <w:rFonts w:ascii="Calibri" w:eastAsiaTheme="majorEastAsia" w:hAnsi="Calibri" w:cs="Calibri"/>
          <w:sz w:val="23"/>
          <w:szCs w:val="23"/>
          <w:lang w:val="en-US"/>
        </w:rPr>
        <w:sectPr w:rsidR="00A50A10" w:rsidRPr="00D82ACD" w:rsidSect="00A50A10">
          <w:pgSz w:w="16838" w:h="11906" w:orient="landscape"/>
          <w:pgMar w:top="1417" w:right="1417" w:bottom="1417" w:left="1134" w:header="708" w:footer="708" w:gutter="0"/>
          <w:cols w:space="708"/>
          <w:titlePg/>
          <w:docGrid w:linePitch="360"/>
        </w:sectPr>
      </w:pPr>
    </w:p>
    <w:p w14:paraId="4903365D" w14:textId="77777777" w:rsidR="00A50A10" w:rsidRPr="00D82ACD" w:rsidRDefault="00A50A10" w:rsidP="00B75793">
      <w:pPr>
        <w:pStyle w:val="paragraph"/>
        <w:spacing w:before="0" w:beforeAutospacing="0" w:after="0" w:afterAutospacing="0"/>
        <w:textAlignment w:val="baseline"/>
        <w:rPr>
          <w:rFonts w:ascii="Segoe UI" w:hAnsi="Segoe UI" w:cs="Segoe UI"/>
          <w:sz w:val="18"/>
          <w:szCs w:val="18"/>
          <w:lang w:val="en-US"/>
        </w:rPr>
      </w:pPr>
    </w:p>
    <w:p w14:paraId="27D0CDE5" w14:textId="695C3BD6" w:rsidR="00B75793" w:rsidRPr="00D82ACD" w:rsidRDefault="00B75793" w:rsidP="009E2744">
      <w:pPr>
        <w:pStyle w:val="paragraph"/>
        <w:spacing w:before="0" w:beforeAutospacing="0" w:after="0" w:afterAutospacing="0"/>
        <w:ind w:right="-113"/>
        <w:textAlignment w:val="baseline"/>
        <w:rPr>
          <w:rFonts w:ascii="Segoe UI" w:hAnsi="Segoe UI" w:cs="Segoe UI"/>
          <w:lang w:val="en-US"/>
        </w:rPr>
      </w:pPr>
      <w:r w:rsidRPr="00065DE8">
        <w:rPr>
          <w:rStyle w:val="normaltextrun"/>
          <w:rFonts w:ascii="Calibri" w:eastAsiaTheme="majorEastAsia" w:hAnsi="Calibri" w:cs="Calibri"/>
          <w:b/>
          <w:bCs/>
          <w:lang w:val="en-US"/>
        </w:rPr>
        <w:t xml:space="preserve">Efficacy </w:t>
      </w:r>
      <w:r w:rsidR="007E76DE">
        <w:rPr>
          <w:rStyle w:val="normaltextrun"/>
          <w:rFonts w:ascii="Calibri" w:eastAsiaTheme="majorEastAsia" w:hAnsi="Calibri" w:cs="Calibri"/>
          <w:b/>
          <w:bCs/>
          <w:lang w:val="en-US"/>
        </w:rPr>
        <w:t>–</w:t>
      </w:r>
      <w:r w:rsidRPr="00065DE8">
        <w:rPr>
          <w:rStyle w:val="normaltextrun"/>
          <w:rFonts w:ascii="Calibri" w:eastAsiaTheme="majorEastAsia" w:hAnsi="Calibri" w:cs="Calibri"/>
          <w:b/>
          <w:bCs/>
          <w:lang w:val="en-US"/>
        </w:rPr>
        <w:t xml:space="preserve"> Pa</w:t>
      </w:r>
      <w:r w:rsidR="007E76DE">
        <w:rPr>
          <w:rStyle w:val="normaltextrun"/>
          <w:rFonts w:ascii="Calibri" w:eastAsiaTheme="majorEastAsia" w:hAnsi="Calibri" w:cs="Calibri"/>
          <w:b/>
          <w:bCs/>
          <w:lang w:val="en-US"/>
        </w:rPr>
        <w:t xml:space="preserve">rticipant </w:t>
      </w:r>
      <w:r w:rsidRPr="00065DE8">
        <w:rPr>
          <w:rStyle w:val="normaltextrun"/>
          <w:rFonts w:ascii="Calibri" w:eastAsiaTheme="majorEastAsia" w:hAnsi="Calibri" w:cs="Calibri"/>
          <w:b/>
          <w:bCs/>
          <w:lang w:val="en-US"/>
        </w:rPr>
        <w:t xml:space="preserve">narrative 1-06-005: </w:t>
      </w:r>
      <w:r w:rsidR="009E2744">
        <w:rPr>
          <w:rStyle w:val="normaltextrun"/>
          <w:rFonts w:ascii="Calibri" w:eastAsiaTheme="majorEastAsia" w:hAnsi="Calibri" w:cs="Calibri"/>
          <w:b/>
          <w:bCs/>
          <w:lang w:val="en-US"/>
        </w:rPr>
        <w:t xml:space="preserve">70 years old female, </w:t>
      </w:r>
      <w:r w:rsidRPr="00065DE8">
        <w:rPr>
          <w:rStyle w:val="normaltextrun"/>
          <w:rFonts w:ascii="Calibri" w:eastAsiaTheme="majorEastAsia" w:hAnsi="Calibri" w:cs="Calibri"/>
          <w:b/>
          <w:bCs/>
          <w:lang w:val="en-US"/>
        </w:rPr>
        <w:t xml:space="preserve">PD-1/-L1 </w:t>
      </w:r>
      <w:r w:rsidRPr="00065DE8">
        <w:rPr>
          <w:rStyle w:val="normaltextrun"/>
          <w:rFonts w:ascii="Calibri" w:eastAsiaTheme="majorEastAsia" w:hAnsi="Calibri" w:cs="Calibri"/>
          <w:b/>
          <w:bCs/>
          <w:u w:val="single"/>
          <w:lang w:val="en-US"/>
        </w:rPr>
        <w:t>refractory</w:t>
      </w:r>
      <w:r w:rsidR="009E2744">
        <w:rPr>
          <w:rStyle w:val="normaltextrun"/>
          <w:rFonts w:ascii="Calibri" w:eastAsiaTheme="majorEastAsia" w:hAnsi="Calibri" w:cs="Calibri"/>
          <w:b/>
          <w:bCs/>
          <w:u w:val="single"/>
          <w:lang w:val="en-US"/>
        </w:rPr>
        <w:t>,</w:t>
      </w:r>
      <w:r w:rsidRPr="00065DE8">
        <w:rPr>
          <w:rStyle w:val="normaltextrun"/>
          <w:rFonts w:ascii="Calibri" w:eastAsiaTheme="majorEastAsia" w:hAnsi="Calibri" w:cs="Calibri"/>
          <w:b/>
          <w:bCs/>
          <w:lang w:val="en-US"/>
        </w:rPr>
        <w:t xml:space="preserve"> with UC (CR)</w:t>
      </w:r>
      <w:r w:rsidRPr="00D82ACD">
        <w:rPr>
          <w:rStyle w:val="eop"/>
          <w:rFonts w:ascii="Calibri" w:eastAsiaTheme="majorEastAsia" w:hAnsi="Calibri" w:cs="Calibri"/>
          <w:lang w:val="en-US"/>
        </w:rPr>
        <w:t> </w:t>
      </w:r>
    </w:p>
    <w:p w14:paraId="14B85ED6" w14:textId="77777777" w:rsidR="00274662" w:rsidRDefault="00274662" w:rsidP="00B75793">
      <w:pPr>
        <w:pStyle w:val="paragraph"/>
        <w:spacing w:before="0" w:beforeAutospacing="0" w:after="0" w:afterAutospacing="0"/>
        <w:jc w:val="both"/>
        <w:textAlignment w:val="baseline"/>
        <w:rPr>
          <w:rStyle w:val="normaltextrun"/>
          <w:rFonts w:ascii="Calibri" w:eastAsiaTheme="majorEastAsia" w:hAnsi="Calibri" w:cs="Calibri"/>
          <w:sz w:val="23"/>
          <w:szCs w:val="23"/>
          <w:lang w:val="en-GB"/>
        </w:rPr>
      </w:pPr>
    </w:p>
    <w:p w14:paraId="10779712" w14:textId="190C77B5"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GB"/>
        </w:rPr>
        <w:t xml:space="preserve">Participant 1-06-005 is a 70-yo female diagnosed with urothelial carcinoma </w:t>
      </w:r>
      <w:r w:rsidR="009E2744">
        <w:rPr>
          <w:rStyle w:val="normaltextrun"/>
          <w:rFonts w:ascii="Calibri" w:eastAsiaTheme="majorEastAsia" w:hAnsi="Calibri" w:cs="Calibri"/>
          <w:sz w:val="23"/>
          <w:szCs w:val="23"/>
          <w:lang w:val="en-GB"/>
        </w:rPr>
        <w:t xml:space="preserve">(UC) </w:t>
      </w:r>
      <w:r>
        <w:rPr>
          <w:rStyle w:val="normaltextrun"/>
          <w:rFonts w:ascii="Calibri" w:eastAsiaTheme="majorEastAsia" w:hAnsi="Calibri" w:cs="Calibri"/>
          <w:sz w:val="23"/>
          <w:szCs w:val="23"/>
          <w:lang w:val="en-GB"/>
        </w:rPr>
        <w:t>of the distal ureter (UC; stage I, T</w:t>
      </w:r>
      <w:r w:rsidRPr="002E2847">
        <w:rPr>
          <w:rStyle w:val="normaltextrun"/>
          <w:rFonts w:ascii="Calibri" w:eastAsiaTheme="majorEastAsia" w:hAnsi="Calibri" w:cs="Calibri"/>
          <w:sz w:val="23"/>
          <w:szCs w:val="23"/>
          <w:vertAlign w:val="subscript"/>
          <w:lang w:val="en-GB"/>
        </w:rPr>
        <w:t>2</w:t>
      </w:r>
      <w:r>
        <w:rPr>
          <w:rStyle w:val="normaltextrun"/>
          <w:rFonts w:ascii="Calibri" w:eastAsiaTheme="majorEastAsia" w:hAnsi="Calibri" w:cs="Calibri"/>
          <w:sz w:val="23"/>
          <w:szCs w:val="23"/>
          <w:lang w:val="en-GB"/>
        </w:rPr>
        <w:t>N</w:t>
      </w:r>
      <w:r w:rsidRPr="002E2847">
        <w:rPr>
          <w:rStyle w:val="normaltextrun"/>
          <w:rFonts w:ascii="Calibri" w:eastAsiaTheme="majorEastAsia" w:hAnsi="Calibri" w:cs="Calibri"/>
          <w:sz w:val="23"/>
          <w:szCs w:val="23"/>
          <w:vertAlign w:val="subscript"/>
          <w:lang w:val="en-GB"/>
        </w:rPr>
        <w:t>0</w:t>
      </w:r>
      <w:r>
        <w:rPr>
          <w:rStyle w:val="normaltextrun"/>
          <w:rFonts w:ascii="Calibri" w:eastAsiaTheme="majorEastAsia" w:hAnsi="Calibri" w:cs="Calibri"/>
          <w:sz w:val="23"/>
          <w:szCs w:val="23"/>
          <w:lang w:val="en-GB"/>
        </w:rPr>
        <w:t>M</w:t>
      </w:r>
      <w:r w:rsidRPr="002E2847">
        <w:rPr>
          <w:rStyle w:val="normaltextrun"/>
          <w:rFonts w:ascii="Calibri" w:eastAsiaTheme="majorEastAsia" w:hAnsi="Calibri" w:cs="Calibri"/>
          <w:sz w:val="23"/>
          <w:szCs w:val="23"/>
          <w:vertAlign w:val="subscript"/>
          <w:lang w:val="en-GB"/>
        </w:rPr>
        <w:t>X</w:t>
      </w:r>
      <w:r>
        <w:rPr>
          <w:rStyle w:val="normaltextrun"/>
          <w:rFonts w:ascii="Calibri" w:eastAsiaTheme="majorEastAsia" w:hAnsi="Calibri" w:cs="Calibri"/>
          <w:sz w:val="23"/>
          <w:szCs w:val="23"/>
          <w:lang w:val="en-GB"/>
        </w:rPr>
        <w:t>) in Jun</w:t>
      </w:r>
      <w:r w:rsidR="00510FAF">
        <w:rPr>
          <w:rStyle w:val="normaltextrun"/>
          <w:rFonts w:ascii="Calibri" w:eastAsiaTheme="majorEastAsia" w:hAnsi="Calibri" w:cs="Calibri"/>
          <w:sz w:val="23"/>
          <w:szCs w:val="23"/>
          <w:lang w:val="en-GB"/>
        </w:rPr>
        <w:t xml:space="preserve">e </w:t>
      </w:r>
      <w:r>
        <w:rPr>
          <w:rStyle w:val="normaltextrun"/>
          <w:rFonts w:ascii="Calibri" w:eastAsiaTheme="majorEastAsia" w:hAnsi="Calibri" w:cs="Calibri"/>
          <w:sz w:val="23"/>
          <w:szCs w:val="23"/>
          <w:lang w:val="en-GB"/>
        </w:rPr>
        <w:t>2020. Information on tumor-mutational and</w:t>
      </w:r>
      <w:r w:rsidR="00747B9D">
        <w:rPr>
          <w:rStyle w:val="normaltextrun"/>
          <w:rFonts w:ascii="Calibri" w:eastAsiaTheme="majorEastAsia" w:hAnsi="Calibri" w:cs="Calibri"/>
          <w:sz w:val="23"/>
          <w:szCs w:val="23"/>
          <w:lang w:val="en-GB"/>
        </w:rPr>
        <w:t xml:space="preserve"> the PD-L1 status at baseline indicated a TPS of 10% and CPS of 50.</w:t>
      </w:r>
    </w:p>
    <w:p w14:paraId="75ADFD25" w14:textId="77777777" w:rsidR="009E2744" w:rsidRDefault="009E2744"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GB"/>
        </w:rPr>
      </w:pPr>
    </w:p>
    <w:p w14:paraId="56EB4EF3" w14:textId="6278C0D7"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GB"/>
        </w:rPr>
        <w:t xml:space="preserve">Medical history included hypertension (Grade 3, ongoing), </w:t>
      </w:r>
      <w:r w:rsidR="002853E4">
        <w:rPr>
          <w:rStyle w:val="normaltextrun"/>
          <w:rFonts w:ascii="Calibri" w:eastAsiaTheme="majorEastAsia" w:hAnsi="Calibri" w:cs="Calibri"/>
          <w:sz w:val="23"/>
          <w:szCs w:val="23"/>
          <w:lang w:val="en-GB"/>
        </w:rPr>
        <w:t>dyslipidaemia</w:t>
      </w:r>
      <w:r>
        <w:rPr>
          <w:rStyle w:val="normaltextrun"/>
          <w:rFonts w:ascii="Calibri" w:eastAsiaTheme="majorEastAsia" w:hAnsi="Calibri" w:cs="Calibri"/>
          <w:sz w:val="23"/>
          <w:szCs w:val="23"/>
          <w:lang w:val="en-GB"/>
        </w:rPr>
        <w:t xml:space="preserve">, cataracts, </w:t>
      </w:r>
      <w:r w:rsidR="002853E4">
        <w:rPr>
          <w:rStyle w:val="normaltextrun"/>
          <w:rFonts w:ascii="Calibri" w:eastAsiaTheme="majorEastAsia" w:hAnsi="Calibri" w:cs="Calibri"/>
          <w:sz w:val="23"/>
          <w:szCs w:val="23"/>
          <w:lang w:val="en-GB"/>
        </w:rPr>
        <w:t>haemorrhoids</w:t>
      </w:r>
      <w:r>
        <w:rPr>
          <w:rStyle w:val="normaltextrun"/>
          <w:rFonts w:ascii="Calibri" w:eastAsiaTheme="majorEastAsia" w:hAnsi="Calibri" w:cs="Calibri"/>
          <w:sz w:val="23"/>
          <w:szCs w:val="23"/>
          <w:lang w:val="en-GB"/>
        </w:rPr>
        <w:t>, and a history of radical hysterectomy for leiomyoma, and deep vein thrombosis (bilateral upper limbs; Nov</w:t>
      </w:r>
      <w:r w:rsidR="00510FAF">
        <w:rPr>
          <w:rStyle w:val="normaltextrun"/>
          <w:rFonts w:ascii="Calibri" w:eastAsiaTheme="majorEastAsia" w:hAnsi="Calibri" w:cs="Calibri"/>
          <w:sz w:val="23"/>
          <w:szCs w:val="23"/>
          <w:lang w:val="en-GB"/>
        </w:rPr>
        <w:t xml:space="preserve">ember </w:t>
      </w:r>
      <w:r>
        <w:rPr>
          <w:rStyle w:val="normaltextrun"/>
          <w:rFonts w:ascii="Calibri" w:eastAsiaTheme="majorEastAsia" w:hAnsi="Calibri" w:cs="Calibri"/>
          <w:sz w:val="23"/>
          <w:szCs w:val="23"/>
          <w:lang w:val="en-GB"/>
        </w:rPr>
        <w:t>2020). </w:t>
      </w:r>
      <w:r w:rsidRPr="00D82ACD">
        <w:rPr>
          <w:rStyle w:val="eop"/>
          <w:rFonts w:ascii="Calibri" w:eastAsiaTheme="majorEastAsia" w:hAnsi="Calibri" w:cs="Calibri"/>
          <w:sz w:val="23"/>
          <w:szCs w:val="23"/>
          <w:lang w:val="en-US"/>
        </w:rPr>
        <w:t> </w:t>
      </w:r>
    </w:p>
    <w:p w14:paraId="2650D767"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GB"/>
        </w:rPr>
      </w:pPr>
    </w:p>
    <w:p w14:paraId="1C40B013" w14:textId="31F43A66"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GB"/>
        </w:rPr>
        <w:t>Initially, primary resection of the left distal ureter with lymphadenectomy was performed in Jul-2020. Initial systemic adjuvant therapy consisted of cisplatin (later carboplatin due to toxicity) combined with gemcitabine (Sep-2020 to Dec-2020). After progression to metastatic disease, atezolizumab was subsequently initiated in Aug</w:t>
      </w:r>
      <w:r w:rsidR="009E2744">
        <w:rPr>
          <w:rStyle w:val="normaltextrun"/>
          <w:rFonts w:ascii="Calibri" w:eastAsiaTheme="majorEastAsia" w:hAnsi="Calibri" w:cs="Calibri"/>
          <w:sz w:val="23"/>
          <w:szCs w:val="23"/>
          <w:lang w:val="en-GB"/>
        </w:rPr>
        <w:t xml:space="preserve">ust </w:t>
      </w:r>
      <w:r>
        <w:rPr>
          <w:rStyle w:val="normaltextrun"/>
          <w:rFonts w:ascii="Calibri" w:eastAsiaTheme="majorEastAsia" w:hAnsi="Calibri" w:cs="Calibri"/>
          <w:sz w:val="23"/>
          <w:szCs w:val="23"/>
          <w:lang w:val="en-GB"/>
        </w:rPr>
        <w:t>2022 with best response of stable disease (SD) but was discontinued in Dec</w:t>
      </w:r>
      <w:r w:rsidR="009E2744">
        <w:rPr>
          <w:rStyle w:val="normaltextrun"/>
          <w:rFonts w:ascii="Calibri" w:eastAsiaTheme="majorEastAsia" w:hAnsi="Calibri" w:cs="Calibri"/>
          <w:sz w:val="23"/>
          <w:szCs w:val="23"/>
          <w:lang w:val="en-GB"/>
        </w:rPr>
        <w:t xml:space="preserve">ember </w:t>
      </w:r>
      <w:r>
        <w:rPr>
          <w:rStyle w:val="normaltextrun"/>
          <w:rFonts w:ascii="Calibri" w:eastAsiaTheme="majorEastAsia" w:hAnsi="Calibri" w:cs="Calibri"/>
          <w:sz w:val="23"/>
          <w:szCs w:val="23"/>
          <w:lang w:val="en-GB"/>
        </w:rPr>
        <w:t>2022 due to detection of progression (PD). In total, two lines of prior systemic therapy had been administered. </w:t>
      </w:r>
      <w:r w:rsidRPr="00D82ACD">
        <w:rPr>
          <w:rStyle w:val="eop"/>
          <w:rFonts w:ascii="Calibri" w:eastAsiaTheme="majorEastAsia" w:hAnsi="Calibri" w:cs="Calibri"/>
          <w:sz w:val="23"/>
          <w:szCs w:val="23"/>
          <w:lang w:val="en-US"/>
        </w:rPr>
        <w:t> </w:t>
      </w:r>
    </w:p>
    <w:p w14:paraId="5BB3B075"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GB"/>
        </w:rPr>
      </w:pPr>
    </w:p>
    <w:p w14:paraId="78AF7CAD" w14:textId="5C62F73C"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GB"/>
        </w:rPr>
        <w:t>The participant signed informed consent for study participation on 30-Jan-2023 under protocol version GlobalVersion5.0 and was enrolled in Part B of the study into the Urothelial Carcinoma cohort. At study entry, the ECOG performance status was 0. The disease stage was IV (metastatic disease). </w:t>
      </w:r>
      <w:r w:rsidRPr="00D82ACD">
        <w:rPr>
          <w:rStyle w:val="eop"/>
          <w:rFonts w:ascii="Calibri" w:eastAsiaTheme="majorEastAsia" w:hAnsi="Calibri" w:cs="Calibri"/>
          <w:sz w:val="23"/>
          <w:szCs w:val="23"/>
          <w:lang w:val="en-US"/>
        </w:rPr>
        <w:t> </w:t>
      </w:r>
    </w:p>
    <w:p w14:paraId="712AA656"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GB"/>
        </w:rPr>
      </w:pPr>
    </w:p>
    <w:p w14:paraId="7F4EE664" w14:textId="1785556B"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GB"/>
        </w:rPr>
        <w:t>In baseline imaging, a pelvic tumor mass and retroperitoneal iliac lymph nodes were identified as target lesions with a total sum of diameters of 89 mm. Pulmonary micronodules in both upper lobes of the lung were identified as non-target lesions. </w:t>
      </w:r>
      <w:r w:rsidRPr="00D82ACD">
        <w:rPr>
          <w:rStyle w:val="eop"/>
          <w:rFonts w:ascii="Calibri" w:eastAsiaTheme="majorEastAsia" w:hAnsi="Calibri" w:cs="Calibri"/>
          <w:sz w:val="23"/>
          <w:szCs w:val="23"/>
          <w:lang w:val="en-US"/>
        </w:rPr>
        <w:t> </w:t>
      </w:r>
    </w:p>
    <w:p w14:paraId="79DD6FC7"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GB"/>
        </w:rPr>
      </w:pPr>
    </w:p>
    <w:p w14:paraId="10E979C0" w14:textId="0C3C217D"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GB"/>
        </w:rPr>
        <w:t>The first dose of visugromab (10 mg/kg Q2W) and nivolumab (240 mg Q2W) was administered on 20-Feb-2023. In the first response assessment (post cycle 4; 17-Apr-2023), a PR (-67.4%) was detected and confirmed in subsequent assessments. After cycle 38 (13-Sep-2024) a complete response (CR) was detected, confirmed also by negative PET-CT. CR was maintained and confirmed in several subsequent scans (as of 21-Aug-2025). The duration of response and duration of treatment is at present 30.0 months, with study treatment ongoing as of 21-Aug-2025. </w:t>
      </w:r>
      <w:r w:rsidRPr="00D82ACD">
        <w:rPr>
          <w:rStyle w:val="eop"/>
          <w:rFonts w:ascii="Calibri" w:eastAsiaTheme="majorEastAsia" w:hAnsi="Calibri" w:cs="Calibri"/>
          <w:sz w:val="23"/>
          <w:szCs w:val="23"/>
          <w:lang w:val="en-US"/>
        </w:rPr>
        <w:t> </w:t>
      </w:r>
    </w:p>
    <w:p w14:paraId="50E36083"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GB"/>
        </w:rPr>
      </w:pPr>
    </w:p>
    <w:p w14:paraId="67F0721F" w14:textId="06644CCF"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GB"/>
        </w:rPr>
        <w:t>No treatment-related adverse events have been reported yet. </w:t>
      </w:r>
      <w:r w:rsidRPr="00D82ACD">
        <w:rPr>
          <w:rStyle w:val="eop"/>
          <w:rFonts w:ascii="Calibri" w:eastAsiaTheme="majorEastAsia" w:hAnsi="Calibri" w:cs="Calibri"/>
          <w:sz w:val="23"/>
          <w:szCs w:val="23"/>
          <w:lang w:val="en-US"/>
        </w:rPr>
        <w:t> </w:t>
      </w:r>
    </w:p>
    <w:p w14:paraId="4B5E1C6E"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GB"/>
        </w:rPr>
      </w:pPr>
    </w:p>
    <w:p w14:paraId="517CA1F0" w14:textId="74758B03" w:rsidR="00C65614" w:rsidRPr="00D82ACD" w:rsidRDefault="00B75793" w:rsidP="00274662">
      <w:pPr>
        <w:pStyle w:val="paragraph"/>
        <w:spacing w:before="0" w:beforeAutospacing="0" w:after="0" w:afterAutospacing="0" w:line="259" w:lineRule="auto"/>
        <w:jc w:val="both"/>
        <w:textAlignment w:val="baseline"/>
        <w:rPr>
          <w:rStyle w:val="eop"/>
          <w:rFonts w:ascii="Calibri" w:eastAsiaTheme="majorEastAsia" w:hAnsi="Calibri" w:cs="Calibri"/>
          <w:sz w:val="23"/>
          <w:szCs w:val="23"/>
          <w:lang w:val="en-US"/>
        </w:rPr>
      </w:pPr>
      <w:r>
        <w:rPr>
          <w:rStyle w:val="normaltextrun"/>
          <w:rFonts w:ascii="Calibri" w:eastAsiaTheme="majorEastAsia" w:hAnsi="Calibri" w:cs="Calibri"/>
          <w:sz w:val="23"/>
          <w:szCs w:val="23"/>
          <w:lang w:val="en-GB"/>
        </w:rPr>
        <w:t>In summary, participant 1-06-005 receives visugromab and nivolumab for 30.0 months, initially achieving a PR, followed by CR 18.0 months after start of study treatment (cycle 38 onwards). The CR is ongoing for 11.4 months as of 21-Aug-2025 and the participant remains on study treatment. The patient maintains an ECOG performance status of 0, leads a normal daily life, and exhibits no signs of toxicity.</w:t>
      </w:r>
      <w:r w:rsidRPr="00D82ACD">
        <w:rPr>
          <w:rStyle w:val="eop"/>
          <w:rFonts w:ascii="Calibri" w:eastAsiaTheme="majorEastAsia" w:hAnsi="Calibri" w:cs="Calibri"/>
          <w:sz w:val="23"/>
          <w:szCs w:val="23"/>
          <w:lang w:val="en-US"/>
        </w:rPr>
        <w:t> </w:t>
      </w:r>
    </w:p>
    <w:p w14:paraId="5ACBC595" w14:textId="5667D1D9" w:rsidR="00C65614" w:rsidRPr="00D82ACD" w:rsidRDefault="00C65614">
      <w:pPr>
        <w:rPr>
          <w:rStyle w:val="eop"/>
          <w:rFonts w:ascii="Calibri" w:eastAsiaTheme="majorEastAsia" w:hAnsi="Calibri" w:cs="Calibri"/>
          <w:kern w:val="0"/>
          <w:sz w:val="23"/>
          <w:szCs w:val="23"/>
          <w:lang w:val="en-US" w:eastAsia="de-DE"/>
          <w14:ligatures w14:val="none"/>
        </w:rPr>
      </w:pPr>
      <w:r>
        <w:rPr>
          <w:rStyle w:val="eop"/>
          <w:rFonts w:ascii="Calibri" w:eastAsiaTheme="majorEastAsia" w:hAnsi="Calibri" w:cs="Calibri"/>
          <w:sz w:val="23"/>
          <w:szCs w:val="23"/>
        </w:rPr>
        <w:br w:type="page"/>
      </w:r>
    </w:p>
    <w:p w14:paraId="67EA612C" w14:textId="77777777" w:rsidR="00C65614" w:rsidRPr="00D82ACD" w:rsidRDefault="00C65614" w:rsidP="00B75793">
      <w:pPr>
        <w:pStyle w:val="paragraph"/>
        <w:spacing w:before="0" w:beforeAutospacing="0" w:after="0" w:afterAutospacing="0"/>
        <w:jc w:val="both"/>
        <w:textAlignment w:val="baseline"/>
        <w:rPr>
          <w:rStyle w:val="eop"/>
          <w:rFonts w:ascii="Calibri" w:eastAsiaTheme="majorEastAsia" w:hAnsi="Calibri" w:cs="Calibri"/>
          <w:sz w:val="23"/>
          <w:szCs w:val="23"/>
          <w:lang w:val="en-US"/>
        </w:rPr>
      </w:pPr>
    </w:p>
    <w:p w14:paraId="4BEBFD4B" w14:textId="5061909E" w:rsidR="00C65614" w:rsidRDefault="00C65614" w:rsidP="00C65614">
      <w:pPr>
        <w:pStyle w:val="paragraph"/>
        <w:spacing w:before="0" w:beforeAutospacing="0" w:after="0" w:afterAutospacing="0"/>
        <w:jc w:val="both"/>
        <w:textAlignment w:val="baseline"/>
        <w:rPr>
          <w:rStyle w:val="normaltextrun"/>
          <w:rFonts w:ascii="Calibri" w:eastAsiaTheme="majorEastAsia" w:hAnsi="Calibri" w:cs="Calibri"/>
          <w:color w:val="000000"/>
          <w:sz w:val="23"/>
          <w:szCs w:val="23"/>
          <w:lang w:val="en-US"/>
        </w:rPr>
      </w:pPr>
      <w:r>
        <w:rPr>
          <w:rStyle w:val="normaltextrun"/>
          <w:rFonts w:ascii="Calibri" w:eastAsiaTheme="majorEastAsia" w:hAnsi="Calibri" w:cs="Calibri"/>
          <w:b/>
          <w:bCs/>
          <w:sz w:val="23"/>
          <w:szCs w:val="23"/>
          <w:lang w:val="en-US"/>
        </w:rPr>
        <w:t>Pa</w:t>
      </w:r>
      <w:r w:rsidR="007E76DE">
        <w:rPr>
          <w:rStyle w:val="normaltextrun"/>
          <w:rFonts w:ascii="Calibri" w:eastAsiaTheme="majorEastAsia" w:hAnsi="Calibri" w:cs="Calibri"/>
          <w:b/>
          <w:bCs/>
          <w:sz w:val="23"/>
          <w:szCs w:val="23"/>
          <w:lang w:val="en-US"/>
        </w:rPr>
        <w:t xml:space="preserve">rticipant </w:t>
      </w:r>
      <w:r>
        <w:rPr>
          <w:rStyle w:val="normaltextrun"/>
          <w:rFonts w:ascii="Calibri" w:eastAsiaTheme="majorEastAsia" w:hAnsi="Calibri" w:cs="Calibri"/>
          <w:b/>
          <w:bCs/>
          <w:sz w:val="23"/>
          <w:szCs w:val="23"/>
          <w:lang w:val="en-US"/>
        </w:rPr>
        <w:t xml:space="preserve">1-06-005 (Urothelial </w:t>
      </w:r>
      <w:r w:rsidR="009E2744">
        <w:rPr>
          <w:rStyle w:val="normaltextrun"/>
          <w:rFonts w:ascii="Calibri" w:eastAsiaTheme="majorEastAsia" w:hAnsi="Calibri" w:cs="Calibri"/>
          <w:b/>
          <w:bCs/>
          <w:sz w:val="23"/>
          <w:szCs w:val="23"/>
          <w:lang w:val="en-US"/>
        </w:rPr>
        <w:t>C</w:t>
      </w:r>
      <w:r>
        <w:rPr>
          <w:rStyle w:val="normaltextrun"/>
          <w:rFonts w:ascii="Calibri" w:eastAsiaTheme="majorEastAsia" w:hAnsi="Calibri" w:cs="Calibri"/>
          <w:b/>
          <w:bCs/>
          <w:sz w:val="23"/>
          <w:szCs w:val="23"/>
          <w:lang w:val="en-US"/>
        </w:rPr>
        <w:t>arcinoma): Computer tomography (CT)</w:t>
      </w:r>
    </w:p>
    <w:p w14:paraId="35C61981" w14:textId="77777777" w:rsidR="00C65614" w:rsidRPr="00D82ACD" w:rsidRDefault="00C65614" w:rsidP="00B75793">
      <w:pPr>
        <w:pStyle w:val="paragraph"/>
        <w:spacing w:before="0" w:beforeAutospacing="0" w:after="0" w:afterAutospacing="0"/>
        <w:jc w:val="both"/>
        <w:textAlignment w:val="baseline"/>
        <w:rPr>
          <w:rFonts w:ascii="Segoe UI" w:hAnsi="Segoe UI" w:cs="Segoe UI"/>
          <w:sz w:val="18"/>
          <w:szCs w:val="18"/>
          <w:lang w:val="en-US"/>
        </w:rPr>
      </w:pPr>
    </w:p>
    <w:p w14:paraId="388F6CBA" w14:textId="17217357" w:rsidR="00B75793" w:rsidRDefault="00B75793" w:rsidP="00415667">
      <w:pPr>
        <w:pStyle w:val="paragraph"/>
        <w:spacing w:before="0" w:beforeAutospacing="0" w:after="0" w:afterAutospacing="0"/>
        <w:jc w:val="center"/>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inline distT="0" distB="0" distL="0" distR="0" wp14:anchorId="61F5F5E2" wp14:editId="48F93B42">
            <wp:extent cx="4936854" cy="5216237"/>
            <wp:effectExtent l="0" t="0" r="0" b="381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9759" cy="5229872"/>
                    </a:xfrm>
                    <a:prstGeom prst="rect">
                      <a:avLst/>
                    </a:prstGeom>
                    <a:noFill/>
                    <a:ln>
                      <a:noFill/>
                    </a:ln>
                  </pic:spPr>
                </pic:pic>
              </a:graphicData>
            </a:graphic>
          </wp:inline>
        </w:drawing>
      </w:r>
    </w:p>
    <w:p w14:paraId="714AFD46" w14:textId="6449B800" w:rsidR="00B75793" w:rsidRDefault="00B75793" w:rsidP="00B75793">
      <w:pPr>
        <w:pStyle w:val="paragraph"/>
        <w:spacing w:before="0" w:beforeAutospacing="0" w:after="0" w:afterAutospacing="0"/>
        <w:textAlignment w:val="baseline"/>
        <w:rPr>
          <w:rStyle w:val="eop"/>
          <w:rFonts w:ascii="Calibri" w:eastAsiaTheme="majorEastAsia" w:hAnsi="Calibri" w:cs="Calibri"/>
          <w:sz w:val="23"/>
          <w:szCs w:val="23"/>
        </w:rPr>
      </w:pPr>
    </w:p>
    <w:p w14:paraId="6C947A37" w14:textId="77777777" w:rsidR="00A50A10" w:rsidRDefault="00A50A10">
      <w:pPr>
        <w:rPr>
          <w:rStyle w:val="normaltextrun"/>
          <w:rFonts w:ascii="Calibri" w:eastAsiaTheme="majorEastAsia" w:hAnsi="Calibri" w:cs="Calibri"/>
          <w:b/>
          <w:bCs/>
          <w:kern w:val="0"/>
          <w:sz w:val="23"/>
          <w:szCs w:val="23"/>
          <w:lang w:val="en-US" w:eastAsia="de-DE"/>
          <w14:ligatures w14:val="none"/>
        </w:rPr>
      </w:pPr>
      <w:r>
        <w:rPr>
          <w:rStyle w:val="normaltextrun"/>
          <w:rFonts w:ascii="Calibri" w:eastAsiaTheme="majorEastAsia" w:hAnsi="Calibri" w:cs="Calibri"/>
          <w:b/>
          <w:bCs/>
          <w:sz w:val="23"/>
          <w:szCs w:val="23"/>
          <w:lang w:val="en-US"/>
        </w:rPr>
        <w:br w:type="page"/>
      </w:r>
    </w:p>
    <w:p w14:paraId="64E3613C" w14:textId="75F3407A" w:rsidR="00B75793" w:rsidRPr="00D82ACD" w:rsidRDefault="00B75793" w:rsidP="00B75793">
      <w:pPr>
        <w:pStyle w:val="paragraph"/>
        <w:spacing w:before="0" w:beforeAutospacing="0" w:after="0" w:afterAutospacing="0"/>
        <w:textAlignment w:val="baseline"/>
        <w:rPr>
          <w:rFonts w:ascii="Segoe UI" w:hAnsi="Segoe UI" w:cs="Segoe UI"/>
          <w:lang w:val="en-US"/>
        </w:rPr>
      </w:pPr>
      <w:r w:rsidRPr="00065DE8">
        <w:rPr>
          <w:rStyle w:val="normaltextrun"/>
          <w:rFonts w:ascii="Calibri" w:eastAsiaTheme="majorEastAsia" w:hAnsi="Calibri" w:cs="Calibri"/>
          <w:b/>
          <w:bCs/>
          <w:lang w:val="en-US"/>
        </w:rPr>
        <w:lastRenderedPageBreak/>
        <w:t xml:space="preserve">Efficacy </w:t>
      </w:r>
      <w:r w:rsidR="007E76DE">
        <w:rPr>
          <w:rStyle w:val="normaltextrun"/>
          <w:rFonts w:ascii="Calibri" w:eastAsiaTheme="majorEastAsia" w:hAnsi="Calibri" w:cs="Calibri"/>
          <w:b/>
          <w:bCs/>
          <w:lang w:val="en-US"/>
        </w:rPr>
        <w:t>–</w:t>
      </w:r>
      <w:r w:rsidRPr="00065DE8">
        <w:rPr>
          <w:rStyle w:val="normaltextrun"/>
          <w:rFonts w:ascii="Calibri" w:eastAsiaTheme="majorEastAsia" w:hAnsi="Calibri" w:cs="Calibri"/>
          <w:b/>
          <w:bCs/>
          <w:lang w:val="en-US"/>
        </w:rPr>
        <w:t xml:space="preserve"> Pa</w:t>
      </w:r>
      <w:r w:rsidR="007E76DE">
        <w:rPr>
          <w:rStyle w:val="normaltextrun"/>
          <w:rFonts w:ascii="Calibri" w:eastAsiaTheme="majorEastAsia" w:hAnsi="Calibri" w:cs="Calibri"/>
          <w:b/>
          <w:bCs/>
          <w:lang w:val="en-US"/>
        </w:rPr>
        <w:t xml:space="preserve">rticipant </w:t>
      </w:r>
      <w:r w:rsidRPr="00065DE8">
        <w:rPr>
          <w:rStyle w:val="normaltextrun"/>
          <w:rFonts w:ascii="Calibri" w:eastAsiaTheme="majorEastAsia" w:hAnsi="Calibri" w:cs="Calibri"/>
          <w:b/>
          <w:bCs/>
          <w:lang w:val="en-US"/>
        </w:rPr>
        <w:t xml:space="preserve">narrative 2-03-001: </w:t>
      </w:r>
      <w:r w:rsidR="009E2744">
        <w:rPr>
          <w:rStyle w:val="normaltextrun"/>
          <w:rFonts w:ascii="Calibri" w:eastAsiaTheme="majorEastAsia" w:hAnsi="Calibri" w:cs="Calibri"/>
          <w:b/>
          <w:bCs/>
          <w:lang w:val="en-US"/>
        </w:rPr>
        <w:t>68 years old female</w:t>
      </w:r>
      <w:r w:rsidRPr="00065DE8">
        <w:rPr>
          <w:rStyle w:val="normaltextrun"/>
          <w:rFonts w:ascii="Calibri" w:eastAsiaTheme="majorEastAsia" w:hAnsi="Calibri" w:cs="Calibri"/>
          <w:b/>
          <w:bCs/>
          <w:lang w:val="en-US"/>
        </w:rPr>
        <w:t xml:space="preserve"> with HCC</w:t>
      </w:r>
      <w:r w:rsidR="009E2744">
        <w:rPr>
          <w:rStyle w:val="normaltextrun"/>
          <w:rFonts w:ascii="Calibri" w:eastAsiaTheme="majorEastAsia" w:hAnsi="Calibri" w:cs="Calibri"/>
          <w:b/>
          <w:bCs/>
          <w:lang w:val="en-US"/>
        </w:rPr>
        <w:t>,</w:t>
      </w:r>
      <w:r w:rsidRPr="00065DE8">
        <w:rPr>
          <w:rStyle w:val="normaltextrun"/>
          <w:rFonts w:ascii="Calibri" w:eastAsiaTheme="majorEastAsia" w:hAnsi="Calibri" w:cs="Calibri"/>
          <w:b/>
          <w:bCs/>
          <w:lang w:val="en-US"/>
        </w:rPr>
        <w:t xml:space="preserve"> </w:t>
      </w:r>
      <w:r w:rsidR="009E2744">
        <w:rPr>
          <w:rStyle w:val="normaltextrun"/>
          <w:rFonts w:ascii="Calibri" w:eastAsiaTheme="majorEastAsia" w:hAnsi="Calibri" w:cs="Calibri"/>
          <w:b/>
          <w:bCs/>
          <w:lang w:val="en-US"/>
        </w:rPr>
        <w:t xml:space="preserve">PD-1/L1 </w:t>
      </w:r>
      <w:r w:rsidRPr="00065DE8">
        <w:rPr>
          <w:rStyle w:val="normaltextrun"/>
          <w:rFonts w:ascii="Calibri" w:eastAsiaTheme="majorEastAsia" w:hAnsi="Calibri" w:cs="Calibri"/>
          <w:b/>
          <w:bCs/>
          <w:lang w:val="en-US"/>
        </w:rPr>
        <w:t>relaps</w:t>
      </w:r>
      <w:r w:rsidR="009E2744">
        <w:rPr>
          <w:rStyle w:val="normaltextrun"/>
          <w:rFonts w:ascii="Calibri" w:eastAsiaTheme="majorEastAsia" w:hAnsi="Calibri" w:cs="Calibri"/>
          <w:b/>
          <w:bCs/>
          <w:lang w:val="en-US"/>
        </w:rPr>
        <w:t>ed</w:t>
      </w:r>
      <w:r w:rsidRPr="00065DE8">
        <w:rPr>
          <w:rStyle w:val="normaltextrun"/>
          <w:rFonts w:ascii="Calibri" w:eastAsiaTheme="majorEastAsia" w:hAnsi="Calibri" w:cs="Calibri"/>
          <w:b/>
          <w:bCs/>
          <w:lang w:val="en-US"/>
        </w:rPr>
        <w:t xml:space="preserve"> (CR)</w:t>
      </w:r>
    </w:p>
    <w:p w14:paraId="36416139" w14:textId="77777777" w:rsidR="00C65614" w:rsidRDefault="00C65614" w:rsidP="00B75793">
      <w:pPr>
        <w:pStyle w:val="paragraph"/>
        <w:spacing w:before="0" w:beforeAutospacing="0" w:after="0" w:afterAutospacing="0"/>
        <w:jc w:val="both"/>
        <w:textAlignment w:val="baseline"/>
        <w:rPr>
          <w:rStyle w:val="normaltextrun"/>
          <w:rFonts w:ascii="Calibri" w:eastAsiaTheme="majorEastAsia" w:hAnsi="Calibri" w:cs="Calibri"/>
          <w:sz w:val="23"/>
          <w:szCs w:val="23"/>
          <w:lang w:val="en-US"/>
        </w:rPr>
      </w:pPr>
    </w:p>
    <w:p w14:paraId="02162FEA" w14:textId="702564CC"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US"/>
        </w:rPr>
        <w:t>Participant 2-03-001 is a 68-y</w:t>
      </w:r>
      <w:r w:rsidR="00274662">
        <w:rPr>
          <w:rStyle w:val="normaltextrun"/>
          <w:rFonts w:ascii="Calibri" w:eastAsiaTheme="majorEastAsia" w:hAnsi="Calibri" w:cs="Calibri"/>
          <w:sz w:val="23"/>
          <w:szCs w:val="23"/>
          <w:lang w:val="en-US"/>
        </w:rPr>
        <w:t>ears old</w:t>
      </w:r>
      <w:r>
        <w:rPr>
          <w:rStyle w:val="normaltextrun"/>
          <w:rFonts w:ascii="Calibri" w:eastAsiaTheme="majorEastAsia" w:hAnsi="Calibri" w:cs="Calibri"/>
          <w:sz w:val="23"/>
          <w:szCs w:val="23"/>
          <w:lang w:val="en-US"/>
        </w:rPr>
        <w:t xml:space="preserve"> female diagnosed with hepatocellular carcinoma (HCC; stage I, T2N0M0) in Jan</w:t>
      </w:r>
      <w:r w:rsidR="00510FAF">
        <w:rPr>
          <w:rStyle w:val="normaltextrun"/>
          <w:rFonts w:ascii="Calibri" w:eastAsiaTheme="majorEastAsia" w:hAnsi="Calibri" w:cs="Calibri"/>
          <w:sz w:val="23"/>
          <w:szCs w:val="23"/>
          <w:lang w:val="en-US"/>
        </w:rPr>
        <w:t xml:space="preserve">uary </w:t>
      </w:r>
      <w:r>
        <w:rPr>
          <w:rStyle w:val="normaltextrun"/>
          <w:rFonts w:ascii="Calibri" w:eastAsiaTheme="majorEastAsia" w:hAnsi="Calibri" w:cs="Calibri"/>
          <w:sz w:val="23"/>
          <w:szCs w:val="23"/>
          <w:lang w:val="en-US"/>
        </w:rPr>
        <w:t xml:space="preserve">2019. Information on tumor-mutational </w:t>
      </w:r>
      <w:r w:rsidR="00747B9D">
        <w:rPr>
          <w:rStyle w:val="normaltextrun"/>
          <w:rFonts w:ascii="Calibri" w:eastAsiaTheme="majorEastAsia" w:hAnsi="Calibri" w:cs="Calibri"/>
          <w:sz w:val="23"/>
          <w:szCs w:val="23"/>
          <w:lang w:val="en-US"/>
        </w:rPr>
        <w:t xml:space="preserve">are not available and </w:t>
      </w:r>
      <w:r w:rsidR="000E7A84">
        <w:rPr>
          <w:rStyle w:val="normaltextrun"/>
          <w:rFonts w:ascii="Calibri" w:eastAsiaTheme="majorEastAsia" w:hAnsi="Calibri" w:cs="Calibri"/>
          <w:sz w:val="23"/>
          <w:szCs w:val="23"/>
          <w:lang w:val="en-US"/>
        </w:rPr>
        <w:t xml:space="preserve">PD-L1 status </w:t>
      </w:r>
      <w:r w:rsidR="00747B9D">
        <w:rPr>
          <w:rStyle w:val="normaltextrun"/>
          <w:rFonts w:ascii="Calibri" w:eastAsiaTheme="majorEastAsia" w:hAnsi="Calibri" w:cs="Calibri"/>
          <w:sz w:val="23"/>
          <w:szCs w:val="23"/>
          <w:lang w:val="en-US"/>
        </w:rPr>
        <w:t>at baseline indicated a TPS of 3% and a CPS of 12.</w:t>
      </w:r>
      <w:r w:rsidRPr="00D82ACD">
        <w:rPr>
          <w:rStyle w:val="eop"/>
          <w:rFonts w:ascii="Calibri" w:eastAsiaTheme="majorEastAsia" w:hAnsi="Calibri" w:cs="Calibri"/>
          <w:sz w:val="23"/>
          <w:szCs w:val="23"/>
          <w:lang w:val="en-US"/>
        </w:rPr>
        <w:t> </w:t>
      </w:r>
    </w:p>
    <w:p w14:paraId="2838D3D0" w14:textId="02FA24D5"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US"/>
        </w:rPr>
        <w:t>Medical history included obesity (Grade 2; since 1982), hypothyroidism (Grade 1; since 1999), arterial hypertension (Grade 2; since 2016), liver fibrosis (Grade 2, since 2018), Covid-19 infection from 01-Mar-2022 to 12-Mar-2022, pulmonary embolism from May</w:t>
      </w:r>
      <w:r w:rsidR="00510FAF">
        <w:rPr>
          <w:rStyle w:val="normaltextrun"/>
          <w:rFonts w:ascii="Calibri" w:eastAsiaTheme="majorEastAsia" w:hAnsi="Calibri" w:cs="Calibri"/>
          <w:sz w:val="23"/>
          <w:szCs w:val="23"/>
          <w:lang w:val="en-US"/>
        </w:rPr>
        <w:t xml:space="preserve"> </w:t>
      </w:r>
      <w:r>
        <w:rPr>
          <w:rStyle w:val="normaltextrun"/>
          <w:rFonts w:ascii="Calibri" w:eastAsiaTheme="majorEastAsia" w:hAnsi="Calibri" w:cs="Calibri"/>
          <w:sz w:val="23"/>
          <w:szCs w:val="23"/>
          <w:lang w:val="en-US"/>
        </w:rPr>
        <w:t>2023 to 20-Jul-2023 and periodontitis (Grade 2; since Feb-2024).</w:t>
      </w:r>
      <w:r w:rsidRPr="00D82ACD">
        <w:rPr>
          <w:rStyle w:val="eop"/>
          <w:rFonts w:ascii="Calibri" w:eastAsiaTheme="majorEastAsia" w:hAnsi="Calibri" w:cs="Calibri"/>
          <w:sz w:val="23"/>
          <w:szCs w:val="23"/>
          <w:lang w:val="en-US"/>
        </w:rPr>
        <w:t> </w:t>
      </w:r>
    </w:p>
    <w:p w14:paraId="57827EC4"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US"/>
        </w:rPr>
      </w:pPr>
    </w:p>
    <w:p w14:paraId="2722A80F" w14:textId="2B62B15F"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US"/>
        </w:rPr>
        <w:t>Initial tumor resection was performed 03-Jan-2019, and a subsequent resection on Dec</w:t>
      </w:r>
      <w:r w:rsidR="00510FAF">
        <w:rPr>
          <w:rStyle w:val="normaltextrun"/>
          <w:rFonts w:ascii="Calibri" w:eastAsiaTheme="majorEastAsia" w:hAnsi="Calibri" w:cs="Calibri"/>
          <w:sz w:val="23"/>
          <w:szCs w:val="23"/>
          <w:lang w:val="en-US"/>
        </w:rPr>
        <w:t xml:space="preserve">ember </w:t>
      </w:r>
      <w:r>
        <w:rPr>
          <w:rStyle w:val="normaltextrun"/>
          <w:rFonts w:ascii="Calibri" w:eastAsiaTheme="majorEastAsia" w:hAnsi="Calibri" w:cs="Calibri"/>
          <w:sz w:val="23"/>
          <w:szCs w:val="23"/>
          <w:lang w:val="en-US"/>
        </w:rPr>
        <w:t>2020. Prior systemic HCC treatment was initiated in context of a clinical trial (IMMULAB ph</w:t>
      </w:r>
      <w:r w:rsidR="00274662">
        <w:rPr>
          <w:rStyle w:val="normaltextrun"/>
          <w:rFonts w:ascii="Calibri" w:eastAsiaTheme="majorEastAsia" w:hAnsi="Calibri" w:cs="Calibri"/>
          <w:sz w:val="23"/>
          <w:szCs w:val="23"/>
          <w:lang w:val="en-US"/>
        </w:rPr>
        <w:t>ase</w:t>
      </w:r>
      <w:r>
        <w:rPr>
          <w:rStyle w:val="normaltextrun"/>
          <w:rFonts w:ascii="Calibri" w:eastAsiaTheme="majorEastAsia" w:hAnsi="Calibri" w:cs="Calibri"/>
          <w:sz w:val="23"/>
          <w:szCs w:val="23"/>
          <w:lang w:val="en-US"/>
        </w:rPr>
        <w:t xml:space="preserve"> 2) with pembrolizumab in non-metastatic state on 19-Jul-2021 combined with microwave ablation (from 31-Aug-2021 to 28-Sep-2021), all with best response of complete response (CR) before disease progression occurred 19-Jul-2022 on ongoing pembrolizumab, resulting in termination of this treatment. Another local tumor resection was performed (Aug</w:t>
      </w:r>
      <w:r w:rsidR="00510FAF">
        <w:rPr>
          <w:rStyle w:val="normaltextrun"/>
          <w:rFonts w:ascii="Calibri" w:eastAsiaTheme="majorEastAsia" w:hAnsi="Calibri" w:cs="Calibri"/>
          <w:sz w:val="23"/>
          <w:szCs w:val="23"/>
          <w:lang w:val="en-US"/>
        </w:rPr>
        <w:t xml:space="preserve">ust </w:t>
      </w:r>
      <w:r>
        <w:rPr>
          <w:rStyle w:val="normaltextrun"/>
          <w:rFonts w:ascii="Calibri" w:eastAsiaTheme="majorEastAsia" w:hAnsi="Calibri" w:cs="Calibri"/>
          <w:sz w:val="23"/>
          <w:szCs w:val="23"/>
          <w:lang w:val="en-US"/>
        </w:rPr>
        <w:t>2022). Thereafter, tumor progression occurred involving the peritoneum (T4 stage), leading to administration of atezolizumab and bevacizumab from 15-Nov-2022 to 07-Feb-2023 with best response of progressive disease (PD), including now newly detected metastases in the lung. Subsequently, cabozantinib was administered from 02-Mar-2023 to 12-Oct-2023 with best response of stable disease (SD), and after progression on cabozantinib, sorafenib from 12-Oct-2023 to 12-Mar-2024 with best response of SD before disease progression was detected again 02-Jan-2024. One-time TACE was performed on 15-Feb-2024. In total, four lines of prior systemic therapy had been administered. </w:t>
      </w:r>
      <w:r w:rsidRPr="00D82ACD">
        <w:rPr>
          <w:rStyle w:val="eop"/>
          <w:rFonts w:ascii="Calibri" w:eastAsiaTheme="majorEastAsia" w:hAnsi="Calibri" w:cs="Calibri"/>
          <w:sz w:val="23"/>
          <w:szCs w:val="23"/>
          <w:lang w:val="en-US"/>
        </w:rPr>
        <w:t> </w:t>
      </w:r>
    </w:p>
    <w:p w14:paraId="4C19BD62"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US"/>
        </w:rPr>
      </w:pPr>
    </w:p>
    <w:p w14:paraId="54AD6F62" w14:textId="128EFC41"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US"/>
        </w:rPr>
        <w:t>The participant signed informed consent for participation</w:t>
      </w:r>
      <w:r w:rsidR="000E7A84">
        <w:rPr>
          <w:rStyle w:val="normaltextrun"/>
          <w:rFonts w:ascii="Calibri" w:eastAsiaTheme="majorEastAsia" w:hAnsi="Calibri" w:cs="Calibri"/>
          <w:sz w:val="23"/>
          <w:szCs w:val="23"/>
          <w:lang w:val="en-US"/>
        </w:rPr>
        <w:t xml:space="preserve"> in the trial</w:t>
      </w:r>
      <w:r>
        <w:rPr>
          <w:rStyle w:val="normaltextrun"/>
          <w:rFonts w:ascii="Calibri" w:eastAsiaTheme="majorEastAsia" w:hAnsi="Calibri" w:cs="Calibri"/>
          <w:sz w:val="23"/>
          <w:szCs w:val="23"/>
          <w:lang w:val="en-US"/>
        </w:rPr>
        <w:t xml:space="preserve"> on 18-Mar-2024 under protocol version Version6.0_DE and was enrolled in Part B of the </w:t>
      </w:r>
      <w:r w:rsidR="000E7A84">
        <w:rPr>
          <w:rStyle w:val="normaltextrun"/>
          <w:rFonts w:ascii="Calibri" w:eastAsiaTheme="majorEastAsia" w:hAnsi="Calibri" w:cs="Calibri"/>
          <w:sz w:val="23"/>
          <w:szCs w:val="23"/>
          <w:lang w:val="en-US"/>
        </w:rPr>
        <w:t>trial</w:t>
      </w:r>
      <w:r>
        <w:rPr>
          <w:rStyle w:val="normaltextrun"/>
          <w:rFonts w:ascii="Calibri" w:eastAsiaTheme="majorEastAsia" w:hAnsi="Calibri" w:cs="Calibri"/>
          <w:sz w:val="23"/>
          <w:szCs w:val="23"/>
          <w:lang w:val="en-US"/>
        </w:rPr>
        <w:t xml:space="preserve"> into the Hepatocellular Cancer cohort. At entry, the ECOG performance status was 0. The disease stage was IV with multiple lung metastases and multiple liver lesions).</w:t>
      </w:r>
      <w:r w:rsidRPr="00D82ACD">
        <w:rPr>
          <w:rStyle w:val="eop"/>
          <w:rFonts w:ascii="Calibri" w:eastAsiaTheme="majorEastAsia" w:hAnsi="Calibri" w:cs="Calibri"/>
          <w:sz w:val="23"/>
          <w:szCs w:val="23"/>
          <w:lang w:val="en-US"/>
        </w:rPr>
        <w:t> </w:t>
      </w:r>
      <w:r>
        <w:rPr>
          <w:rStyle w:val="normaltextrun"/>
          <w:rFonts w:ascii="Calibri" w:eastAsiaTheme="majorEastAsia" w:hAnsi="Calibri" w:cs="Calibri"/>
          <w:sz w:val="23"/>
          <w:szCs w:val="23"/>
          <w:lang w:val="en-US"/>
        </w:rPr>
        <w:t>In baseline imaging, lung lesions in the left and right lobe and a lesion in liver segment II/III were identified as the target lesions with a total sum of diameters of 56 mm at baseline. Disseminated liver lesions and lung metastases in both lungs were identified as non-target lesions. </w:t>
      </w:r>
      <w:r w:rsidRPr="00D82ACD">
        <w:rPr>
          <w:rStyle w:val="eop"/>
          <w:rFonts w:ascii="Calibri" w:eastAsiaTheme="majorEastAsia" w:hAnsi="Calibri" w:cs="Calibri"/>
          <w:sz w:val="23"/>
          <w:szCs w:val="23"/>
          <w:lang w:val="en-US"/>
        </w:rPr>
        <w:t> </w:t>
      </w:r>
    </w:p>
    <w:p w14:paraId="2D8BA928"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US"/>
        </w:rPr>
      </w:pPr>
    </w:p>
    <w:p w14:paraId="1C96E270" w14:textId="2F51C9CF" w:rsidR="00B75793" w:rsidRPr="00D82ACD" w:rsidRDefault="00B75793" w:rsidP="00274662">
      <w:pPr>
        <w:pStyle w:val="paragraph"/>
        <w:spacing w:before="0" w:beforeAutospacing="0" w:after="0" w:afterAutospacing="0" w:line="259" w:lineRule="auto"/>
        <w:jc w:val="both"/>
        <w:textAlignment w:val="baseline"/>
        <w:rPr>
          <w:rFonts w:ascii="Segoe UI" w:hAnsi="Segoe UI" w:cs="Segoe UI"/>
          <w:sz w:val="18"/>
          <w:szCs w:val="18"/>
          <w:lang w:val="en-US"/>
        </w:rPr>
      </w:pPr>
      <w:r>
        <w:rPr>
          <w:rStyle w:val="normaltextrun"/>
          <w:rFonts w:ascii="Calibri" w:eastAsiaTheme="majorEastAsia" w:hAnsi="Calibri" w:cs="Calibri"/>
          <w:sz w:val="23"/>
          <w:szCs w:val="23"/>
          <w:lang w:val="en-US"/>
        </w:rPr>
        <w:t>The first dose of visugromab (10 mg/kg Q2W) and nivolumab (240 mg Q2W) was administered on 04-Apr-2024. Partial response (-50.0%) per RECIST 1.1. was detected at the first response assessment (post cycle 4; 28-May-2024) and confirmed in the subsequent re-staging with reduction of -73.2% (25-Jul-2024). In the subsequent response assessment (19-Sep-2024), CR was reported for the first time and confirmed subsequently, including PET-CT with no metabolic activity detected in prior tumor areas. The duration of response is 16.5 months. The participant received study treatment for a total of 16.5 months so far and continues on treatment with ongoing CR (as of 21-Aug-2025).</w:t>
      </w:r>
    </w:p>
    <w:p w14:paraId="4F9A3A8E" w14:textId="77777777" w:rsidR="00274662" w:rsidRDefault="00274662" w:rsidP="00274662">
      <w:pPr>
        <w:pStyle w:val="paragraph"/>
        <w:spacing w:before="0" w:beforeAutospacing="0" w:after="0" w:afterAutospacing="0" w:line="259" w:lineRule="auto"/>
        <w:jc w:val="both"/>
        <w:textAlignment w:val="baseline"/>
        <w:rPr>
          <w:rStyle w:val="normaltextrun"/>
          <w:rFonts w:ascii="Calibri" w:eastAsiaTheme="majorEastAsia" w:hAnsi="Calibri" w:cs="Calibri"/>
          <w:sz w:val="23"/>
          <w:szCs w:val="23"/>
          <w:lang w:val="en-US"/>
        </w:rPr>
      </w:pPr>
    </w:p>
    <w:p w14:paraId="6379A260" w14:textId="6FB7D041" w:rsidR="00B75793" w:rsidRPr="00D82ACD" w:rsidRDefault="00B75793" w:rsidP="00274662">
      <w:pPr>
        <w:pStyle w:val="paragraph"/>
        <w:spacing w:before="0" w:beforeAutospacing="0" w:after="0" w:afterAutospacing="0" w:line="259" w:lineRule="auto"/>
        <w:jc w:val="both"/>
        <w:textAlignment w:val="baseline"/>
        <w:rPr>
          <w:rStyle w:val="eop"/>
          <w:rFonts w:ascii="Calibri" w:eastAsiaTheme="majorEastAsia" w:hAnsi="Calibri" w:cs="Calibri"/>
          <w:sz w:val="23"/>
          <w:szCs w:val="23"/>
          <w:lang w:val="en-US"/>
        </w:rPr>
      </w:pPr>
      <w:r>
        <w:rPr>
          <w:rStyle w:val="normaltextrun"/>
          <w:rFonts w:ascii="Calibri" w:eastAsiaTheme="majorEastAsia" w:hAnsi="Calibri" w:cs="Calibri"/>
          <w:sz w:val="23"/>
          <w:szCs w:val="23"/>
          <w:lang w:val="en-US"/>
        </w:rPr>
        <w:t>Treatment-related adverse events of exanthema (Grade 1 and Grade 2) were reported.</w:t>
      </w:r>
    </w:p>
    <w:p w14:paraId="6D6AC7BD" w14:textId="77777777" w:rsidR="00274662" w:rsidRPr="00D82ACD" w:rsidRDefault="00274662" w:rsidP="00274662">
      <w:pPr>
        <w:pStyle w:val="paragraph"/>
        <w:spacing w:before="0" w:beforeAutospacing="0" w:after="0" w:afterAutospacing="0" w:line="259" w:lineRule="auto"/>
        <w:jc w:val="both"/>
        <w:textAlignment w:val="baseline"/>
        <w:rPr>
          <w:rFonts w:ascii="Segoe UI" w:hAnsi="Segoe UI" w:cs="Segoe UI"/>
          <w:sz w:val="18"/>
          <w:szCs w:val="18"/>
          <w:lang w:val="en-US"/>
        </w:rPr>
      </w:pPr>
    </w:p>
    <w:p w14:paraId="4C5725D9" w14:textId="77777777" w:rsidR="00B75793" w:rsidRPr="00D82ACD" w:rsidRDefault="00B75793" w:rsidP="00274662">
      <w:pPr>
        <w:pStyle w:val="paragraph"/>
        <w:spacing w:before="0" w:beforeAutospacing="0" w:after="0" w:afterAutospacing="0" w:line="259" w:lineRule="auto"/>
        <w:jc w:val="both"/>
        <w:textAlignment w:val="baseline"/>
        <w:rPr>
          <w:rStyle w:val="eop"/>
          <w:rFonts w:ascii="Calibri" w:eastAsiaTheme="majorEastAsia" w:hAnsi="Calibri" w:cs="Calibri"/>
          <w:sz w:val="23"/>
          <w:szCs w:val="23"/>
          <w:lang w:val="en-US"/>
        </w:rPr>
      </w:pPr>
      <w:r>
        <w:rPr>
          <w:rStyle w:val="normaltextrun"/>
          <w:rFonts w:ascii="Calibri" w:eastAsiaTheme="majorEastAsia" w:hAnsi="Calibri" w:cs="Calibri"/>
          <w:sz w:val="23"/>
          <w:szCs w:val="23"/>
          <w:lang w:val="en-US"/>
        </w:rPr>
        <w:lastRenderedPageBreak/>
        <w:t>In summary, participant 2-03-001 received visugromab and nivolumab so far for 16.5 months, having achieved a complete response 5.5 months after initiation of study treatment, and remains on treatment with ongoing, confirmed CR as of 21-Aug-2025.</w:t>
      </w:r>
      <w:r w:rsidRPr="00D82ACD">
        <w:rPr>
          <w:rStyle w:val="eop"/>
          <w:rFonts w:ascii="Calibri" w:eastAsiaTheme="majorEastAsia" w:hAnsi="Calibri" w:cs="Calibri"/>
          <w:sz w:val="23"/>
          <w:szCs w:val="23"/>
          <w:lang w:val="en-US"/>
        </w:rPr>
        <w:t> </w:t>
      </w:r>
    </w:p>
    <w:p w14:paraId="5867FD56" w14:textId="77777777" w:rsidR="00A50A10" w:rsidRPr="00D82ACD" w:rsidRDefault="00A50A10" w:rsidP="00B75793">
      <w:pPr>
        <w:pStyle w:val="paragraph"/>
        <w:spacing w:before="0" w:beforeAutospacing="0" w:after="0" w:afterAutospacing="0"/>
        <w:jc w:val="both"/>
        <w:textAlignment w:val="baseline"/>
        <w:rPr>
          <w:rStyle w:val="eop"/>
          <w:rFonts w:ascii="Calibri" w:eastAsiaTheme="majorEastAsia" w:hAnsi="Calibri" w:cs="Calibri"/>
          <w:sz w:val="23"/>
          <w:szCs w:val="23"/>
          <w:lang w:val="en-US"/>
        </w:rPr>
      </w:pPr>
    </w:p>
    <w:p w14:paraId="4FEA482F" w14:textId="77777777" w:rsidR="00C65614" w:rsidRPr="00D82ACD" w:rsidRDefault="00C65614" w:rsidP="00B75793">
      <w:pPr>
        <w:pStyle w:val="paragraph"/>
        <w:spacing w:before="0" w:beforeAutospacing="0" w:after="0" w:afterAutospacing="0"/>
        <w:jc w:val="both"/>
        <w:textAlignment w:val="baseline"/>
        <w:rPr>
          <w:rFonts w:ascii="Segoe UI" w:hAnsi="Segoe UI" w:cs="Segoe UI"/>
          <w:sz w:val="18"/>
          <w:szCs w:val="18"/>
          <w:lang w:val="en-US"/>
        </w:rPr>
        <w:sectPr w:rsidR="00C65614" w:rsidRPr="00D82ACD" w:rsidSect="002F553D">
          <w:pgSz w:w="11906" w:h="16838"/>
          <w:pgMar w:top="1417" w:right="1417" w:bottom="1134" w:left="1417" w:header="708" w:footer="708" w:gutter="0"/>
          <w:cols w:space="708"/>
          <w:titlePg/>
          <w:docGrid w:linePitch="360"/>
        </w:sectPr>
      </w:pPr>
    </w:p>
    <w:p w14:paraId="77F132F4" w14:textId="126FFFF0" w:rsidR="009E2744" w:rsidRDefault="009E2744" w:rsidP="009E2744">
      <w:pPr>
        <w:pStyle w:val="paragraph"/>
        <w:spacing w:before="0" w:beforeAutospacing="0" w:after="0" w:afterAutospacing="0"/>
        <w:jc w:val="both"/>
        <w:textAlignment w:val="baseline"/>
        <w:rPr>
          <w:rStyle w:val="normaltextrun"/>
          <w:rFonts w:ascii="Calibri" w:eastAsiaTheme="majorEastAsia" w:hAnsi="Calibri" w:cs="Calibri"/>
          <w:color w:val="000000"/>
          <w:sz w:val="23"/>
          <w:szCs w:val="23"/>
          <w:lang w:val="en-US"/>
        </w:rPr>
      </w:pPr>
      <w:r>
        <w:rPr>
          <w:rStyle w:val="normaltextrun"/>
          <w:rFonts w:ascii="Calibri" w:eastAsiaTheme="majorEastAsia" w:hAnsi="Calibri" w:cs="Calibri"/>
          <w:b/>
          <w:bCs/>
          <w:sz w:val="23"/>
          <w:szCs w:val="23"/>
          <w:lang w:val="en-US"/>
        </w:rPr>
        <w:lastRenderedPageBreak/>
        <w:t>Pa</w:t>
      </w:r>
      <w:r w:rsidR="005E667B">
        <w:rPr>
          <w:rStyle w:val="normaltextrun"/>
          <w:rFonts w:ascii="Calibri" w:eastAsiaTheme="majorEastAsia" w:hAnsi="Calibri" w:cs="Calibri"/>
          <w:b/>
          <w:bCs/>
          <w:sz w:val="23"/>
          <w:szCs w:val="23"/>
          <w:lang w:val="en-US"/>
        </w:rPr>
        <w:t xml:space="preserve">rticipant </w:t>
      </w:r>
      <w:r>
        <w:rPr>
          <w:rStyle w:val="normaltextrun"/>
          <w:rFonts w:ascii="Calibri" w:eastAsiaTheme="majorEastAsia" w:hAnsi="Calibri" w:cs="Calibri"/>
          <w:b/>
          <w:bCs/>
          <w:sz w:val="23"/>
          <w:szCs w:val="23"/>
          <w:lang w:val="en-US"/>
        </w:rPr>
        <w:t xml:space="preserve">2-03-001 (Hepatocellular Carcinoma): Computer tomography (CT) and CT-PET Imaging </w:t>
      </w:r>
    </w:p>
    <w:p w14:paraId="0004EA69" w14:textId="77777777" w:rsidR="009E2744" w:rsidRPr="00D82ACD" w:rsidRDefault="009E2744" w:rsidP="00B75793">
      <w:pPr>
        <w:pStyle w:val="paragraph"/>
        <w:spacing w:before="0" w:beforeAutospacing="0" w:after="0" w:afterAutospacing="0"/>
        <w:jc w:val="both"/>
        <w:textAlignment w:val="baseline"/>
        <w:rPr>
          <w:rFonts w:ascii="Segoe UI" w:hAnsi="Segoe UI" w:cs="Segoe UI"/>
          <w:sz w:val="18"/>
          <w:szCs w:val="18"/>
          <w:lang w:val="en-US"/>
        </w:rPr>
      </w:pPr>
    </w:p>
    <w:p w14:paraId="4653E207" w14:textId="77777777" w:rsidR="00B75793" w:rsidRPr="00596159" w:rsidRDefault="00B75793" w:rsidP="00274662">
      <w:pPr>
        <w:pStyle w:val="paragraph"/>
        <w:spacing w:before="0" w:beforeAutospacing="0" w:after="0" w:afterAutospacing="0"/>
        <w:textAlignment w:val="baseline"/>
        <w:rPr>
          <w:rFonts w:ascii="Segoe UI" w:hAnsi="Segoe UI" w:cs="Segoe UI"/>
          <w:sz w:val="18"/>
          <w:szCs w:val="18"/>
          <w:lang w:val="en-US"/>
        </w:rPr>
      </w:pPr>
      <w:r>
        <w:rPr>
          <w:rStyle w:val="wacimagecontainer"/>
          <w:rFonts w:ascii="Segoe UI" w:eastAsiaTheme="majorEastAsia" w:hAnsi="Segoe UI" w:cs="Segoe UI"/>
          <w:noProof/>
          <w:sz w:val="18"/>
          <w:szCs w:val="18"/>
        </w:rPr>
        <w:drawing>
          <wp:inline distT="0" distB="0" distL="0" distR="0" wp14:anchorId="37AD6C11" wp14:editId="22A4F6E1">
            <wp:extent cx="8714509" cy="5158435"/>
            <wp:effectExtent l="0" t="0" r="0" b="4445"/>
            <wp:docPr id="8" name="Picture 5" descr="A collage of images of a lu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collage of images of a lung&#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35296" cy="5170740"/>
                    </a:xfrm>
                    <a:prstGeom prst="rect">
                      <a:avLst/>
                    </a:prstGeom>
                    <a:noFill/>
                    <a:ln>
                      <a:noFill/>
                    </a:ln>
                  </pic:spPr>
                </pic:pic>
              </a:graphicData>
            </a:graphic>
          </wp:inline>
        </w:drawing>
      </w:r>
      <w:r w:rsidRPr="00596159">
        <w:rPr>
          <w:rStyle w:val="eop"/>
          <w:rFonts w:ascii="Calibri" w:eastAsiaTheme="majorEastAsia" w:hAnsi="Calibri" w:cs="Calibri"/>
          <w:sz w:val="23"/>
          <w:szCs w:val="23"/>
          <w:lang w:val="en-US"/>
        </w:rPr>
        <w:t> </w:t>
      </w:r>
    </w:p>
    <w:bookmarkEnd w:id="0"/>
    <w:p w14:paraId="74E6C0C3" w14:textId="441C0003" w:rsidR="001B4DA9" w:rsidRDefault="001B4DA9">
      <w:pPr>
        <w:rPr>
          <w:rFonts w:cstheme="minorHAnsi"/>
          <w:kern w:val="0"/>
          <w:lang w:val="en-US"/>
          <w14:ligatures w14:val="none"/>
        </w:rPr>
      </w:pPr>
      <w:r>
        <w:rPr>
          <w:rFonts w:cstheme="minorHAnsi"/>
          <w:kern w:val="0"/>
          <w:lang w:val="en-US"/>
          <w14:ligatures w14:val="none"/>
        </w:rPr>
        <w:br w:type="page"/>
      </w:r>
    </w:p>
    <w:p w14:paraId="01395F11" w14:textId="40C00C16" w:rsidR="00B75793" w:rsidRDefault="001B4DA9" w:rsidP="00A5268B">
      <w:pPr>
        <w:spacing w:after="0"/>
        <w:rPr>
          <w:rFonts w:cstheme="minorHAnsi"/>
          <w:kern w:val="0"/>
          <w:lang w:val="en-US"/>
          <w14:ligatures w14:val="none"/>
        </w:rPr>
      </w:pPr>
      <w:r>
        <w:rPr>
          <w:rStyle w:val="normaltextrun"/>
          <w:rFonts w:ascii="Calibri" w:eastAsiaTheme="majorEastAsia" w:hAnsi="Calibri" w:cs="Calibri"/>
          <w:b/>
          <w:bCs/>
          <w:lang w:val="en-US"/>
        </w:rPr>
        <w:lastRenderedPageBreak/>
        <w:t>Study protocol</w:t>
      </w:r>
    </w:p>
    <w:p w14:paraId="63BFC348" w14:textId="77777777" w:rsidR="001B4DA9" w:rsidRDefault="001B4DA9" w:rsidP="00A5268B">
      <w:pPr>
        <w:spacing w:after="0"/>
        <w:rPr>
          <w:rFonts w:cstheme="minorHAnsi"/>
          <w:kern w:val="0"/>
          <w:lang w:val="en-US"/>
          <w14:ligatures w14:val="none"/>
        </w:rPr>
      </w:pPr>
    </w:p>
    <w:p w14:paraId="4BB16431" w14:textId="598EA1E7" w:rsidR="001B4DA9" w:rsidRDefault="001B4DA9" w:rsidP="00A5268B">
      <w:pPr>
        <w:spacing w:after="0"/>
        <w:rPr>
          <w:rFonts w:cstheme="minorHAnsi"/>
          <w:kern w:val="0"/>
          <w:lang w:val="en-US"/>
          <w14:ligatures w14:val="none"/>
        </w:rPr>
      </w:pPr>
      <w:r>
        <w:rPr>
          <w:rFonts w:cstheme="minorHAnsi"/>
          <w:kern w:val="0"/>
          <w:lang w:val="en-US"/>
          <w14:ligatures w14:val="none"/>
        </w:rPr>
        <w:t xml:space="preserve">The study protocol has been published previously (i.e. as ‘Supplementary information’ of the initial publication in 2025 in </w:t>
      </w:r>
      <w:r w:rsidRPr="001B4DA9">
        <w:rPr>
          <w:rFonts w:cstheme="minorHAnsi"/>
          <w:i/>
          <w:iCs/>
          <w:kern w:val="0"/>
          <w:lang w:val="en-US"/>
          <w14:ligatures w14:val="none"/>
        </w:rPr>
        <w:t>Nature</w:t>
      </w:r>
      <w:r>
        <w:rPr>
          <w:rFonts w:cstheme="minorHAnsi"/>
          <w:kern w:val="0"/>
          <w:lang w:val="en-US"/>
          <w14:ligatures w14:val="none"/>
        </w:rPr>
        <w:t xml:space="preserve"> (Melero I </w:t>
      </w:r>
      <w:r w:rsidRPr="001B4DA9">
        <w:rPr>
          <w:rFonts w:cstheme="minorHAnsi"/>
          <w:i/>
          <w:iCs/>
          <w:kern w:val="0"/>
          <w:lang w:val="en-US"/>
          <w14:ligatures w14:val="none"/>
        </w:rPr>
        <w:t>et al</w:t>
      </w:r>
      <w:r>
        <w:rPr>
          <w:rFonts w:cstheme="minorHAnsi"/>
          <w:kern w:val="0"/>
          <w:lang w:val="en-US"/>
          <w14:ligatures w14:val="none"/>
        </w:rPr>
        <w:t xml:space="preserve">, </w:t>
      </w:r>
      <w:r w:rsidRPr="001B4DA9">
        <w:rPr>
          <w:rFonts w:cstheme="minorHAnsi"/>
          <w:kern w:val="0"/>
          <w14:ligatures w14:val="none"/>
        </w:rPr>
        <w:t>doi: 10.1038/s41586-024-08305-z</w:t>
      </w:r>
      <w:r>
        <w:rPr>
          <w:rFonts w:cstheme="minorHAnsi"/>
          <w:kern w:val="0"/>
          <w14:ligatures w14:val="none"/>
        </w:rPr>
        <w:t xml:space="preserve">, </w:t>
      </w:r>
      <w:r>
        <w:rPr>
          <w:rFonts w:cstheme="minorHAnsi"/>
          <w:kern w:val="0"/>
          <w:lang w:val="en-US"/>
          <w14:ligatures w14:val="none"/>
        </w:rPr>
        <w:t>PMID: 39663448) reporting phase 1 and interim phase 2a data) and can be accessed via following URL:</w:t>
      </w:r>
    </w:p>
    <w:p w14:paraId="0A73A2EB" w14:textId="77777777" w:rsidR="001B4DA9" w:rsidRDefault="001B4DA9" w:rsidP="00A5268B">
      <w:pPr>
        <w:spacing w:after="0"/>
        <w:rPr>
          <w:rFonts w:cstheme="minorHAnsi"/>
          <w:kern w:val="0"/>
          <w:lang w:val="en-US"/>
          <w14:ligatures w14:val="none"/>
        </w:rPr>
      </w:pPr>
    </w:p>
    <w:p w14:paraId="0B4DB825" w14:textId="0C466CAF" w:rsidR="001B4DA9" w:rsidRDefault="001B4DA9" w:rsidP="00A5268B">
      <w:pPr>
        <w:spacing w:after="0"/>
        <w:rPr>
          <w:rFonts w:cstheme="minorHAnsi"/>
          <w:kern w:val="0"/>
          <w:lang w:val="en-US"/>
          <w14:ligatures w14:val="none"/>
        </w:rPr>
      </w:pPr>
      <w:hyperlink r:id="rId19" w:history="1">
        <w:r w:rsidRPr="00BD70DD">
          <w:rPr>
            <w:rStyle w:val="Hyperlink"/>
            <w:rFonts w:cstheme="minorHAnsi"/>
            <w:kern w:val="0"/>
            <w:lang w:val="en-US"/>
            <w14:ligatures w14:val="none"/>
          </w:rPr>
          <w:t>https://static-content.springer.com/esm/art%3A10.1038%2Fs41586-024-0830</w:t>
        </w:r>
        <w:r w:rsidRPr="00BD70DD">
          <w:rPr>
            <w:rStyle w:val="Hyperlink"/>
            <w:rFonts w:cstheme="minorHAnsi"/>
            <w:kern w:val="0"/>
            <w:lang w:val="en-US"/>
            <w14:ligatures w14:val="none"/>
          </w:rPr>
          <w:t>5-z/MediaObjects/41586_2024_8305_MOESM3_ESM.pdf</w:t>
        </w:r>
      </w:hyperlink>
      <w:r>
        <w:rPr>
          <w:rFonts w:cstheme="minorHAnsi"/>
          <w:kern w:val="0"/>
          <w:lang w:val="en-US"/>
          <w14:ligatures w14:val="none"/>
        </w:rPr>
        <w:t xml:space="preserve"> </w:t>
      </w:r>
    </w:p>
    <w:p w14:paraId="734F8590" w14:textId="77777777" w:rsidR="001B4DA9" w:rsidRDefault="001B4DA9" w:rsidP="00A5268B">
      <w:pPr>
        <w:spacing w:after="0"/>
        <w:rPr>
          <w:rFonts w:cstheme="minorHAnsi"/>
          <w:kern w:val="0"/>
          <w:lang w:val="en-US"/>
          <w14:ligatures w14:val="none"/>
        </w:rPr>
      </w:pPr>
    </w:p>
    <w:sectPr w:rsidR="001B4DA9" w:rsidSect="00C65614">
      <w:pgSz w:w="16838" w:h="11906" w:orient="landscape"/>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D1678" w14:textId="77777777" w:rsidR="00C4468B" w:rsidRDefault="00C4468B" w:rsidP="002F553D">
      <w:pPr>
        <w:spacing w:after="0" w:line="240" w:lineRule="auto"/>
      </w:pPr>
      <w:r>
        <w:separator/>
      </w:r>
    </w:p>
  </w:endnote>
  <w:endnote w:type="continuationSeparator" w:id="0">
    <w:p w14:paraId="066DA7E0" w14:textId="77777777" w:rsidR="00C4468B" w:rsidRDefault="00C4468B" w:rsidP="002F5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C2B9" w14:textId="4E0C810B" w:rsidR="002F553D" w:rsidRDefault="002F553D" w:rsidP="002F553D">
    <w:pPr>
      <w:pStyle w:val="Footer"/>
      <w:jc w:val="center"/>
    </w:pPr>
    <w:r>
      <w:t xml:space="preserve">Page </w:t>
    </w:r>
    <w:sdt>
      <w:sdtPr>
        <w:id w:val="-85325935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C508" w14:textId="070800A1" w:rsidR="00A50A10" w:rsidRDefault="00A50A10">
    <w:pPr>
      <w:pStyle w:val="Footer"/>
      <w:jc w:val="center"/>
    </w:pPr>
    <w:r>
      <w:t xml:space="preserve">Page </w:t>
    </w:r>
    <w:sdt>
      <w:sdtPr>
        <w:id w:val="164892984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8CDB7B1" w14:textId="77777777" w:rsidR="00A50A10" w:rsidRDefault="00A50A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CA326" w14:textId="77777777" w:rsidR="00C4468B" w:rsidRDefault="00C4468B" w:rsidP="002F553D">
      <w:pPr>
        <w:spacing w:after="0" w:line="240" w:lineRule="auto"/>
      </w:pPr>
      <w:r>
        <w:separator/>
      </w:r>
    </w:p>
  </w:footnote>
  <w:footnote w:type="continuationSeparator" w:id="0">
    <w:p w14:paraId="6837102A" w14:textId="77777777" w:rsidR="00C4468B" w:rsidRDefault="00C4468B" w:rsidP="002F5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A789E"/>
    <w:multiLevelType w:val="hybridMultilevel"/>
    <w:tmpl w:val="9578AF2C"/>
    <w:lvl w:ilvl="0" w:tplc="438EFA5E">
      <w:start w:val="3"/>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6A452FA"/>
    <w:multiLevelType w:val="hybridMultilevel"/>
    <w:tmpl w:val="2A161626"/>
    <w:lvl w:ilvl="0" w:tplc="00B802EE">
      <w:start w:val="1"/>
      <w:numFmt w:val="decimal"/>
      <w:lvlText w:val="%1)"/>
      <w:lvlJc w:val="left"/>
      <w:pPr>
        <w:ind w:left="1020" w:hanging="360"/>
      </w:pPr>
    </w:lvl>
    <w:lvl w:ilvl="1" w:tplc="CFAEFF28">
      <w:start w:val="1"/>
      <w:numFmt w:val="decimal"/>
      <w:lvlText w:val="%2)"/>
      <w:lvlJc w:val="left"/>
      <w:pPr>
        <w:ind w:left="1020" w:hanging="360"/>
      </w:pPr>
    </w:lvl>
    <w:lvl w:ilvl="2" w:tplc="45985EE8">
      <w:start w:val="1"/>
      <w:numFmt w:val="decimal"/>
      <w:lvlText w:val="%3)"/>
      <w:lvlJc w:val="left"/>
      <w:pPr>
        <w:ind w:left="1020" w:hanging="360"/>
      </w:pPr>
    </w:lvl>
    <w:lvl w:ilvl="3" w:tplc="66AA2880">
      <w:start w:val="1"/>
      <w:numFmt w:val="decimal"/>
      <w:lvlText w:val="%4)"/>
      <w:lvlJc w:val="left"/>
      <w:pPr>
        <w:ind w:left="1020" w:hanging="360"/>
      </w:pPr>
    </w:lvl>
    <w:lvl w:ilvl="4" w:tplc="28D4904E">
      <w:start w:val="1"/>
      <w:numFmt w:val="decimal"/>
      <w:lvlText w:val="%5)"/>
      <w:lvlJc w:val="left"/>
      <w:pPr>
        <w:ind w:left="1020" w:hanging="360"/>
      </w:pPr>
    </w:lvl>
    <w:lvl w:ilvl="5" w:tplc="82A2FD6C">
      <w:start w:val="1"/>
      <w:numFmt w:val="decimal"/>
      <w:lvlText w:val="%6)"/>
      <w:lvlJc w:val="left"/>
      <w:pPr>
        <w:ind w:left="1020" w:hanging="360"/>
      </w:pPr>
    </w:lvl>
    <w:lvl w:ilvl="6" w:tplc="C2F4C7E2">
      <w:start w:val="1"/>
      <w:numFmt w:val="decimal"/>
      <w:lvlText w:val="%7)"/>
      <w:lvlJc w:val="left"/>
      <w:pPr>
        <w:ind w:left="1020" w:hanging="360"/>
      </w:pPr>
    </w:lvl>
    <w:lvl w:ilvl="7" w:tplc="D3785D70">
      <w:start w:val="1"/>
      <w:numFmt w:val="decimal"/>
      <w:lvlText w:val="%8)"/>
      <w:lvlJc w:val="left"/>
      <w:pPr>
        <w:ind w:left="1020" w:hanging="360"/>
      </w:pPr>
    </w:lvl>
    <w:lvl w:ilvl="8" w:tplc="13B2DE62">
      <w:start w:val="1"/>
      <w:numFmt w:val="decimal"/>
      <w:lvlText w:val="%9)"/>
      <w:lvlJc w:val="left"/>
      <w:pPr>
        <w:ind w:left="1020" w:hanging="360"/>
      </w:pPr>
    </w:lvl>
  </w:abstractNum>
  <w:num w:numId="1" w16cid:durableId="441801998">
    <w:abstractNumId w:val="0"/>
  </w:num>
  <w:num w:numId="2" w16cid:durableId="1529117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78"/>
    <w:rsid w:val="0000005E"/>
    <w:rsid w:val="00004DB4"/>
    <w:rsid w:val="00011132"/>
    <w:rsid w:val="00012383"/>
    <w:rsid w:val="000148A6"/>
    <w:rsid w:val="00034BE6"/>
    <w:rsid w:val="00040478"/>
    <w:rsid w:val="00052D1E"/>
    <w:rsid w:val="000570FC"/>
    <w:rsid w:val="00065DE8"/>
    <w:rsid w:val="00066C8B"/>
    <w:rsid w:val="000937B9"/>
    <w:rsid w:val="000960A1"/>
    <w:rsid w:val="000B782A"/>
    <w:rsid w:val="000C5B53"/>
    <w:rsid w:val="000C6F90"/>
    <w:rsid w:val="000E7A84"/>
    <w:rsid w:val="000F7942"/>
    <w:rsid w:val="00104464"/>
    <w:rsid w:val="001068AE"/>
    <w:rsid w:val="00110F31"/>
    <w:rsid w:val="001113BB"/>
    <w:rsid w:val="001146EE"/>
    <w:rsid w:val="00171E90"/>
    <w:rsid w:val="00177C07"/>
    <w:rsid w:val="00190D3B"/>
    <w:rsid w:val="001B268E"/>
    <w:rsid w:val="001B4DA9"/>
    <w:rsid w:val="001C39F7"/>
    <w:rsid w:val="001C664A"/>
    <w:rsid w:val="001C7A5D"/>
    <w:rsid w:val="001D2A4D"/>
    <w:rsid w:val="001D3625"/>
    <w:rsid w:val="001F0379"/>
    <w:rsid w:val="0022404F"/>
    <w:rsid w:val="00224766"/>
    <w:rsid w:val="00234062"/>
    <w:rsid w:val="002459E0"/>
    <w:rsid w:val="002470E3"/>
    <w:rsid w:val="00265FEF"/>
    <w:rsid w:val="00274662"/>
    <w:rsid w:val="002853E4"/>
    <w:rsid w:val="002A0B56"/>
    <w:rsid w:val="002B1B56"/>
    <w:rsid w:val="002E2847"/>
    <w:rsid w:val="002F24A8"/>
    <w:rsid w:val="002F553D"/>
    <w:rsid w:val="003039A8"/>
    <w:rsid w:val="00345D22"/>
    <w:rsid w:val="00370A23"/>
    <w:rsid w:val="0038684E"/>
    <w:rsid w:val="00386B4F"/>
    <w:rsid w:val="003A4100"/>
    <w:rsid w:val="003C06D2"/>
    <w:rsid w:val="003C3EDE"/>
    <w:rsid w:val="003E0181"/>
    <w:rsid w:val="003E2FAE"/>
    <w:rsid w:val="00403A6F"/>
    <w:rsid w:val="00415667"/>
    <w:rsid w:val="004437F3"/>
    <w:rsid w:val="004560C6"/>
    <w:rsid w:val="00456FF7"/>
    <w:rsid w:val="004669F0"/>
    <w:rsid w:val="00466EF5"/>
    <w:rsid w:val="00472F3C"/>
    <w:rsid w:val="00497644"/>
    <w:rsid w:val="004D0F9E"/>
    <w:rsid w:val="00510FAF"/>
    <w:rsid w:val="0051728A"/>
    <w:rsid w:val="00527B1F"/>
    <w:rsid w:val="005409CC"/>
    <w:rsid w:val="00550DC4"/>
    <w:rsid w:val="005873DB"/>
    <w:rsid w:val="00596159"/>
    <w:rsid w:val="005D2FEB"/>
    <w:rsid w:val="005D6745"/>
    <w:rsid w:val="005E667B"/>
    <w:rsid w:val="005F5D4E"/>
    <w:rsid w:val="0061520E"/>
    <w:rsid w:val="0061587B"/>
    <w:rsid w:val="0062301B"/>
    <w:rsid w:val="00634AA0"/>
    <w:rsid w:val="00635439"/>
    <w:rsid w:val="00653D40"/>
    <w:rsid w:val="006652B1"/>
    <w:rsid w:val="006C29E8"/>
    <w:rsid w:val="006C2E49"/>
    <w:rsid w:val="006E0632"/>
    <w:rsid w:val="006E2F55"/>
    <w:rsid w:val="006E4833"/>
    <w:rsid w:val="006F49A7"/>
    <w:rsid w:val="00706646"/>
    <w:rsid w:val="007368B0"/>
    <w:rsid w:val="00747B9D"/>
    <w:rsid w:val="007571E0"/>
    <w:rsid w:val="00762AA7"/>
    <w:rsid w:val="007653C5"/>
    <w:rsid w:val="00783FF7"/>
    <w:rsid w:val="007B6939"/>
    <w:rsid w:val="007C4AFD"/>
    <w:rsid w:val="007C51AB"/>
    <w:rsid w:val="007D5648"/>
    <w:rsid w:val="007D7ECB"/>
    <w:rsid w:val="007E1F88"/>
    <w:rsid w:val="007E5AE7"/>
    <w:rsid w:val="007E5E0E"/>
    <w:rsid w:val="007E76DE"/>
    <w:rsid w:val="007F174D"/>
    <w:rsid w:val="007F4B50"/>
    <w:rsid w:val="00812419"/>
    <w:rsid w:val="008378DE"/>
    <w:rsid w:val="0086034C"/>
    <w:rsid w:val="00882931"/>
    <w:rsid w:val="008917F8"/>
    <w:rsid w:val="00891D96"/>
    <w:rsid w:val="00894E87"/>
    <w:rsid w:val="008962FB"/>
    <w:rsid w:val="008B3156"/>
    <w:rsid w:val="008C3239"/>
    <w:rsid w:val="008F1A08"/>
    <w:rsid w:val="009034E0"/>
    <w:rsid w:val="0091434F"/>
    <w:rsid w:val="009305B1"/>
    <w:rsid w:val="00943357"/>
    <w:rsid w:val="009511AB"/>
    <w:rsid w:val="00952E08"/>
    <w:rsid w:val="00954D4A"/>
    <w:rsid w:val="00967EC5"/>
    <w:rsid w:val="00974E87"/>
    <w:rsid w:val="00985373"/>
    <w:rsid w:val="00991976"/>
    <w:rsid w:val="00993BD7"/>
    <w:rsid w:val="009A1178"/>
    <w:rsid w:val="009B2897"/>
    <w:rsid w:val="009B358F"/>
    <w:rsid w:val="009E2744"/>
    <w:rsid w:val="009E2CCA"/>
    <w:rsid w:val="00A23C96"/>
    <w:rsid w:val="00A256A0"/>
    <w:rsid w:val="00A50A10"/>
    <w:rsid w:val="00A5268B"/>
    <w:rsid w:val="00A806DF"/>
    <w:rsid w:val="00AA7722"/>
    <w:rsid w:val="00AB0672"/>
    <w:rsid w:val="00B16BB4"/>
    <w:rsid w:val="00B45D9D"/>
    <w:rsid w:val="00B65FB7"/>
    <w:rsid w:val="00B67189"/>
    <w:rsid w:val="00B70670"/>
    <w:rsid w:val="00B75793"/>
    <w:rsid w:val="00B85EBB"/>
    <w:rsid w:val="00B8719B"/>
    <w:rsid w:val="00B94164"/>
    <w:rsid w:val="00BD3B61"/>
    <w:rsid w:val="00BD49BF"/>
    <w:rsid w:val="00BD6358"/>
    <w:rsid w:val="00BE32A5"/>
    <w:rsid w:val="00BF1B4A"/>
    <w:rsid w:val="00BF5225"/>
    <w:rsid w:val="00BF6A38"/>
    <w:rsid w:val="00BF7514"/>
    <w:rsid w:val="00C15E2E"/>
    <w:rsid w:val="00C24BB9"/>
    <w:rsid w:val="00C346C3"/>
    <w:rsid w:val="00C355BD"/>
    <w:rsid w:val="00C44074"/>
    <w:rsid w:val="00C4468B"/>
    <w:rsid w:val="00C477F4"/>
    <w:rsid w:val="00C64209"/>
    <w:rsid w:val="00C65614"/>
    <w:rsid w:val="00C71A18"/>
    <w:rsid w:val="00C92B86"/>
    <w:rsid w:val="00CA0104"/>
    <w:rsid w:val="00CA1EC4"/>
    <w:rsid w:val="00CB1E28"/>
    <w:rsid w:val="00CD3B81"/>
    <w:rsid w:val="00CE280D"/>
    <w:rsid w:val="00CE6490"/>
    <w:rsid w:val="00CF1640"/>
    <w:rsid w:val="00CF23E2"/>
    <w:rsid w:val="00D00021"/>
    <w:rsid w:val="00D07914"/>
    <w:rsid w:val="00D11197"/>
    <w:rsid w:val="00D31827"/>
    <w:rsid w:val="00D35B93"/>
    <w:rsid w:val="00D56044"/>
    <w:rsid w:val="00D60BE9"/>
    <w:rsid w:val="00D61B24"/>
    <w:rsid w:val="00D82ACD"/>
    <w:rsid w:val="00DA0C8E"/>
    <w:rsid w:val="00DA4141"/>
    <w:rsid w:val="00DC6F60"/>
    <w:rsid w:val="00DF0531"/>
    <w:rsid w:val="00DF713E"/>
    <w:rsid w:val="00E1269D"/>
    <w:rsid w:val="00E21845"/>
    <w:rsid w:val="00E27E33"/>
    <w:rsid w:val="00E30E85"/>
    <w:rsid w:val="00E35EEB"/>
    <w:rsid w:val="00E36B87"/>
    <w:rsid w:val="00E5365D"/>
    <w:rsid w:val="00E620EC"/>
    <w:rsid w:val="00E75247"/>
    <w:rsid w:val="00E86387"/>
    <w:rsid w:val="00EA5B2A"/>
    <w:rsid w:val="00EA7603"/>
    <w:rsid w:val="00EB3ACE"/>
    <w:rsid w:val="00EF0D51"/>
    <w:rsid w:val="00F12C4F"/>
    <w:rsid w:val="00F27C22"/>
    <w:rsid w:val="00F4235C"/>
    <w:rsid w:val="00F44161"/>
    <w:rsid w:val="00F45086"/>
    <w:rsid w:val="00F616EB"/>
    <w:rsid w:val="00F63C65"/>
    <w:rsid w:val="00F670FA"/>
    <w:rsid w:val="00F7237D"/>
    <w:rsid w:val="00F7453E"/>
    <w:rsid w:val="00F76634"/>
    <w:rsid w:val="00F802EE"/>
    <w:rsid w:val="00F81C4C"/>
    <w:rsid w:val="00FA5757"/>
    <w:rsid w:val="00FB11D6"/>
    <w:rsid w:val="00FB65D4"/>
    <w:rsid w:val="00FD0EFC"/>
    <w:rsid w:val="00FD7E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61712"/>
  <w15:chartTrackingRefBased/>
  <w15:docId w15:val="{F9E0698E-2D39-4E8B-9A9B-503E4843C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209"/>
    <w:rPr>
      <w:lang w:val="en-GB"/>
    </w:rPr>
  </w:style>
  <w:style w:type="paragraph" w:styleId="Heading1">
    <w:name w:val="heading 1"/>
    <w:basedOn w:val="Normal"/>
    <w:next w:val="Normal"/>
    <w:link w:val="Heading1Char"/>
    <w:uiPriority w:val="9"/>
    <w:qFormat/>
    <w:rsid w:val="009A1178"/>
    <w:pPr>
      <w:keepNext/>
      <w:keepLines/>
      <w:spacing w:before="360" w:after="80"/>
      <w:outlineLvl w:val="0"/>
    </w:pPr>
    <w:rPr>
      <w:rFonts w:asciiTheme="majorHAnsi" w:eastAsiaTheme="majorEastAsia" w:hAnsiTheme="majorHAnsi" w:cstheme="majorBidi"/>
      <w:color w:val="2F5496" w:themeColor="accent1" w:themeShade="BF"/>
      <w:sz w:val="40"/>
      <w:szCs w:val="40"/>
      <w:lang w:val="de-DE"/>
    </w:rPr>
  </w:style>
  <w:style w:type="paragraph" w:styleId="Heading2">
    <w:name w:val="heading 2"/>
    <w:basedOn w:val="Normal"/>
    <w:next w:val="Normal"/>
    <w:link w:val="Heading2Char"/>
    <w:uiPriority w:val="9"/>
    <w:semiHidden/>
    <w:unhideWhenUsed/>
    <w:qFormat/>
    <w:rsid w:val="009A1178"/>
    <w:pPr>
      <w:keepNext/>
      <w:keepLines/>
      <w:spacing w:before="160" w:after="80"/>
      <w:outlineLvl w:val="1"/>
    </w:pPr>
    <w:rPr>
      <w:rFonts w:asciiTheme="majorHAnsi" w:eastAsiaTheme="majorEastAsia" w:hAnsiTheme="majorHAnsi" w:cstheme="majorBidi"/>
      <w:color w:val="2F5496" w:themeColor="accent1" w:themeShade="BF"/>
      <w:sz w:val="32"/>
      <w:szCs w:val="32"/>
      <w:lang w:val="de-DE"/>
    </w:rPr>
  </w:style>
  <w:style w:type="paragraph" w:styleId="Heading3">
    <w:name w:val="heading 3"/>
    <w:basedOn w:val="Normal"/>
    <w:next w:val="Normal"/>
    <w:link w:val="Heading3Char"/>
    <w:uiPriority w:val="9"/>
    <w:semiHidden/>
    <w:unhideWhenUsed/>
    <w:qFormat/>
    <w:rsid w:val="009A1178"/>
    <w:pPr>
      <w:keepNext/>
      <w:keepLines/>
      <w:spacing w:before="160" w:after="80"/>
      <w:outlineLvl w:val="2"/>
    </w:pPr>
    <w:rPr>
      <w:rFonts w:eastAsiaTheme="majorEastAsia" w:cstheme="majorBidi"/>
      <w:color w:val="2F5496" w:themeColor="accent1" w:themeShade="BF"/>
      <w:sz w:val="28"/>
      <w:szCs w:val="28"/>
      <w:lang w:val="de-DE"/>
    </w:rPr>
  </w:style>
  <w:style w:type="paragraph" w:styleId="Heading4">
    <w:name w:val="heading 4"/>
    <w:basedOn w:val="Normal"/>
    <w:next w:val="Normal"/>
    <w:link w:val="Heading4Char"/>
    <w:uiPriority w:val="9"/>
    <w:semiHidden/>
    <w:unhideWhenUsed/>
    <w:qFormat/>
    <w:rsid w:val="009A1178"/>
    <w:pPr>
      <w:keepNext/>
      <w:keepLines/>
      <w:spacing w:before="80" w:after="40"/>
      <w:outlineLvl w:val="3"/>
    </w:pPr>
    <w:rPr>
      <w:rFonts w:eastAsiaTheme="majorEastAsia" w:cstheme="majorBidi"/>
      <w:i/>
      <w:iCs/>
      <w:color w:val="2F5496" w:themeColor="accent1" w:themeShade="BF"/>
      <w:lang w:val="de-DE"/>
    </w:rPr>
  </w:style>
  <w:style w:type="paragraph" w:styleId="Heading5">
    <w:name w:val="heading 5"/>
    <w:basedOn w:val="Normal"/>
    <w:next w:val="Normal"/>
    <w:link w:val="Heading5Char"/>
    <w:uiPriority w:val="9"/>
    <w:semiHidden/>
    <w:unhideWhenUsed/>
    <w:qFormat/>
    <w:rsid w:val="009A1178"/>
    <w:pPr>
      <w:keepNext/>
      <w:keepLines/>
      <w:spacing w:before="80" w:after="40"/>
      <w:outlineLvl w:val="4"/>
    </w:pPr>
    <w:rPr>
      <w:rFonts w:eastAsiaTheme="majorEastAsia" w:cstheme="majorBidi"/>
      <w:color w:val="2F5496" w:themeColor="accent1" w:themeShade="BF"/>
      <w:lang w:val="de-DE"/>
    </w:rPr>
  </w:style>
  <w:style w:type="paragraph" w:styleId="Heading6">
    <w:name w:val="heading 6"/>
    <w:basedOn w:val="Normal"/>
    <w:next w:val="Normal"/>
    <w:link w:val="Heading6Char"/>
    <w:uiPriority w:val="9"/>
    <w:semiHidden/>
    <w:unhideWhenUsed/>
    <w:qFormat/>
    <w:rsid w:val="009A1178"/>
    <w:pPr>
      <w:keepNext/>
      <w:keepLines/>
      <w:spacing w:before="40" w:after="0"/>
      <w:outlineLvl w:val="5"/>
    </w:pPr>
    <w:rPr>
      <w:rFonts w:eastAsiaTheme="majorEastAsia" w:cstheme="majorBidi"/>
      <w:i/>
      <w:iCs/>
      <w:color w:val="595959" w:themeColor="text1" w:themeTint="A6"/>
      <w:lang w:val="de-DE"/>
    </w:rPr>
  </w:style>
  <w:style w:type="paragraph" w:styleId="Heading7">
    <w:name w:val="heading 7"/>
    <w:basedOn w:val="Normal"/>
    <w:next w:val="Normal"/>
    <w:link w:val="Heading7Char"/>
    <w:uiPriority w:val="9"/>
    <w:semiHidden/>
    <w:unhideWhenUsed/>
    <w:qFormat/>
    <w:rsid w:val="009A1178"/>
    <w:pPr>
      <w:keepNext/>
      <w:keepLines/>
      <w:spacing w:before="40" w:after="0"/>
      <w:outlineLvl w:val="6"/>
    </w:pPr>
    <w:rPr>
      <w:rFonts w:eastAsiaTheme="majorEastAsia" w:cstheme="majorBidi"/>
      <w:color w:val="595959" w:themeColor="text1" w:themeTint="A6"/>
      <w:lang w:val="de-DE"/>
    </w:rPr>
  </w:style>
  <w:style w:type="paragraph" w:styleId="Heading8">
    <w:name w:val="heading 8"/>
    <w:basedOn w:val="Normal"/>
    <w:next w:val="Normal"/>
    <w:link w:val="Heading8Char"/>
    <w:uiPriority w:val="9"/>
    <w:semiHidden/>
    <w:unhideWhenUsed/>
    <w:qFormat/>
    <w:rsid w:val="009A1178"/>
    <w:pPr>
      <w:keepNext/>
      <w:keepLines/>
      <w:spacing w:after="0"/>
      <w:outlineLvl w:val="7"/>
    </w:pPr>
    <w:rPr>
      <w:rFonts w:eastAsiaTheme="majorEastAsia" w:cstheme="majorBidi"/>
      <w:i/>
      <w:iCs/>
      <w:color w:val="272727" w:themeColor="text1" w:themeTint="D8"/>
      <w:lang w:val="de-DE"/>
    </w:rPr>
  </w:style>
  <w:style w:type="paragraph" w:styleId="Heading9">
    <w:name w:val="heading 9"/>
    <w:basedOn w:val="Normal"/>
    <w:next w:val="Normal"/>
    <w:link w:val="Heading9Char"/>
    <w:uiPriority w:val="9"/>
    <w:semiHidden/>
    <w:unhideWhenUsed/>
    <w:qFormat/>
    <w:rsid w:val="009A1178"/>
    <w:pPr>
      <w:keepNext/>
      <w:keepLines/>
      <w:spacing w:after="0"/>
      <w:outlineLvl w:val="8"/>
    </w:pPr>
    <w:rPr>
      <w:rFonts w:eastAsiaTheme="majorEastAsia" w:cstheme="majorBidi"/>
      <w:color w:val="272727" w:themeColor="text1" w:themeTint="D8"/>
      <w:lang w:val="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1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11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11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11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11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11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1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1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178"/>
    <w:rPr>
      <w:rFonts w:eastAsiaTheme="majorEastAsia" w:cstheme="majorBidi"/>
      <w:color w:val="272727" w:themeColor="text1" w:themeTint="D8"/>
    </w:rPr>
  </w:style>
  <w:style w:type="paragraph" w:styleId="Title">
    <w:name w:val="Title"/>
    <w:basedOn w:val="Normal"/>
    <w:next w:val="Normal"/>
    <w:link w:val="TitleChar"/>
    <w:uiPriority w:val="10"/>
    <w:qFormat/>
    <w:rsid w:val="009A1178"/>
    <w:pPr>
      <w:spacing w:after="80" w:line="240" w:lineRule="auto"/>
      <w:contextualSpacing/>
    </w:pPr>
    <w:rPr>
      <w:rFonts w:asciiTheme="majorHAnsi" w:eastAsiaTheme="majorEastAsia" w:hAnsiTheme="majorHAnsi" w:cstheme="majorBidi"/>
      <w:spacing w:val="-10"/>
      <w:kern w:val="28"/>
      <w:sz w:val="56"/>
      <w:szCs w:val="56"/>
      <w:lang w:val="de-DE"/>
    </w:rPr>
  </w:style>
  <w:style w:type="character" w:customStyle="1" w:styleId="TitleChar">
    <w:name w:val="Title Char"/>
    <w:basedOn w:val="DefaultParagraphFont"/>
    <w:link w:val="Title"/>
    <w:uiPriority w:val="10"/>
    <w:rsid w:val="009A11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178"/>
    <w:pPr>
      <w:numPr>
        <w:ilvl w:val="1"/>
      </w:numPr>
    </w:pPr>
    <w:rPr>
      <w:rFonts w:eastAsiaTheme="majorEastAsia" w:cstheme="majorBidi"/>
      <w:color w:val="595959" w:themeColor="text1" w:themeTint="A6"/>
      <w:spacing w:val="15"/>
      <w:sz w:val="28"/>
      <w:szCs w:val="28"/>
      <w:lang w:val="de-DE"/>
    </w:rPr>
  </w:style>
  <w:style w:type="character" w:customStyle="1" w:styleId="SubtitleChar">
    <w:name w:val="Subtitle Char"/>
    <w:basedOn w:val="DefaultParagraphFont"/>
    <w:link w:val="Subtitle"/>
    <w:uiPriority w:val="11"/>
    <w:rsid w:val="009A11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178"/>
    <w:pPr>
      <w:spacing w:before="160"/>
      <w:jc w:val="center"/>
    </w:pPr>
    <w:rPr>
      <w:i/>
      <w:iCs/>
      <w:color w:val="404040" w:themeColor="text1" w:themeTint="BF"/>
      <w:lang w:val="de-DE"/>
    </w:rPr>
  </w:style>
  <w:style w:type="character" w:customStyle="1" w:styleId="QuoteChar">
    <w:name w:val="Quote Char"/>
    <w:basedOn w:val="DefaultParagraphFont"/>
    <w:link w:val="Quote"/>
    <w:uiPriority w:val="29"/>
    <w:rsid w:val="009A1178"/>
    <w:rPr>
      <w:i/>
      <w:iCs/>
      <w:color w:val="404040" w:themeColor="text1" w:themeTint="BF"/>
    </w:rPr>
  </w:style>
  <w:style w:type="paragraph" w:styleId="ListParagraph">
    <w:name w:val="List Paragraph"/>
    <w:basedOn w:val="Normal"/>
    <w:uiPriority w:val="34"/>
    <w:qFormat/>
    <w:rsid w:val="009A1178"/>
    <w:pPr>
      <w:ind w:left="720"/>
      <w:contextualSpacing/>
    </w:pPr>
    <w:rPr>
      <w:lang w:val="de-DE"/>
    </w:rPr>
  </w:style>
  <w:style w:type="character" w:styleId="IntenseEmphasis">
    <w:name w:val="Intense Emphasis"/>
    <w:basedOn w:val="DefaultParagraphFont"/>
    <w:uiPriority w:val="21"/>
    <w:qFormat/>
    <w:rsid w:val="009A1178"/>
    <w:rPr>
      <w:i/>
      <w:iCs/>
      <w:color w:val="2F5496" w:themeColor="accent1" w:themeShade="BF"/>
    </w:rPr>
  </w:style>
  <w:style w:type="paragraph" w:styleId="IntenseQuote">
    <w:name w:val="Intense Quote"/>
    <w:basedOn w:val="Normal"/>
    <w:next w:val="Normal"/>
    <w:link w:val="IntenseQuoteChar"/>
    <w:uiPriority w:val="30"/>
    <w:qFormat/>
    <w:rsid w:val="009A11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de-DE"/>
    </w:rPr>
  </w:style>
  <w:style w:type="character" w:customStyle="1" w:styleId="IntenseQuoteChar">
    <w:name w:val="Intense Quote Char"/>
    <w:basedOn w:val="DefaultParagraphFont"/>
    <w:link w:val="IntenseQuote"/>
    <w:uiPriority w:val="30"/>
    <w:rsid w:val="009A1178"/>
    <w:rPr>
      <w:i/>
      <w:iCs/>
      <w:color w:val="2F5496" w:themeColor="accent1" w:themeShade="BF"/>
    </w:rPr>
  </w:style>
  <w:style w:type="character" w:styleId="IntenseReference">
    <w:name w:val="Intense Reference"/>
    <w:basedOn w:val="DefaultParagraphFont"/>
    <w:uiPriority w:val="32"/>
    <w:qFormat/>
    <w:rsid w:val="009A1178"/>
    <w:rPr>
      <w:b/>
      <w:bCs/>
      <w:smallCaps/>
      <w:color w:val="2F5496" w:themeColor="accent1" w:themeShade="BF"/>
      <w:spacing w:val="5"/>
    </w:rPr>
  </w:style>
  <w:style w:type="table" w:styleId="TableGrid">
    <w:name w:val="Table Grid"/>
    <w:basedOn w:val="TableNormal"/>
    <w:uiPriority w:val="39"/>
    <w:rsid w:val="009A117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1EC4"/>
    <w:rPr>
      <w:sz w:val="16"/>
      <w:szCs w:val="16"/>
    </w:rPr>
  </w:style>
  <w:style w:type="paragraph" w:styleId="CommentText">
    <w:name w:val="annotation text"/>
    <w:basedOn w:val="Normal"/>
    <w:link w:val="CommentTextChar"/>
    <w:uiPriority w:val="99"/>
    <w:unhideWhenUsed/>
    <w:rsid w:val="00CA1EC4"/>
    <w:pPr>
      <w:spacing w:line="240" w:lineRule="auto"/>
    </w:pPr>
    <w:rPr>
      <w:kern w:val="0"/>
      <w:sz w:val="20"/>
      <w:szCs w:val="20"/>
      <w:lang w:val="en-US"/>
    </w:rPr>
  </w:style>
  <w:style w:type="character" w:customStyle="1" w:styleId="CommentTextChar">
    <w:name w:val="Comment Text Char"/>
    <w:basedOn w:val="DefaultParagraphFont"/>
    <w:link w:val="CommentText"/>
    <w:uiPriority w:val="99"/>
    <w:rsid w:val="00CA1EC4"/>
    <w:rPr>
      <w:kern w:val="0"/>
      <w:sz w:val="20"/>
      <w:szCs w:val="20"/>
      <w:lang w:val="en-US"/>
    </w:rPr>
  </w:style>
  <w:style w:type="character" w:styleId="Mention">
    <w:name w:val="Mention"/>
    <w:basedOn w:val="DefaultParagraphFont"/>
    <w:uiPriority w:val="99"/>
    <w:unhideWhenUsed/>
    <w:rsid w:val="00CA1EC4"/>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527B1F"/>
    <w:rPr>
      <w:b/>
      <w:bCs/>
      <w:kern w:val="2"/>
      <w:lang w:val="en-GB"/>
    </w:rPr>
  </w:style>
  <w:style w:type="character" w:customStyle="1" w:styleId="CommentSubjectChar">
    <w:name w:val="Comment Subject Char"/>
    <w:basedOn w:val="CommentTextChar"/>
    <w:link w:val="CommentSubject"/>
    <w:uiPriority w:val="99"/>
    <w:semiHidden/>
    <w:rsid w:val="00527B1F"/>
    <w:rPr>
      <w:b/>
      <w:bCs/>
      <w:kern w:val="0"/>
      <w:sz w:val="20"/>
      <w:szCs w:val="20"/>
      <w:lang w:val="en-GB"/>
    </w:rPr>
  </w:style>
  <w:style w:type="paragraph" w:styleId="NormalWeb">
    <w:name w:val="Normal (Web)"/>
    <w:basedOn w:val="Normal"/>
    <w:uiPriority w:val="99"/>
    <w:semiHidden/>
    <w:unhideWhenUsed/>
    <w:rsid w:val="00012383"/>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paragraph" w:styleId="Header">
    <w:name w:val="header"/>
    <w:basedOn w:val="Normal"/>
    <w:link w:val="HeaderChar"/>
    <w:uiPriority w:val="99"/>
    <w:unhideWhenUsed/>
    <w:rsid w:val="002F553D"/>
    <w:pPr>
      <w:tabs>
        <w:tab w:val="center" w:pos="4536"/>
        <w:tab w:val="right" w:pos="9072"/>
      </w:tabs>
      <w:spacing w:after="0" w:line="240" w:lineRule="auto"/>
    </w:pPr>
  </w:style>
  <w:style w:type="character" w:customStyle="1" w:styleId="HeaderChar">
    <w:name w:val="Header Char"/>
    <w:basedOn w:val="DefaultParagraphFont"/>
    <w:link w:val="Header"/>
    <w:uiPriority w:val="99"/>
    <w:rsid w:val="002F553D"/>
    <w:rPr>
      <w:lang w:val="en-GB"/>
    </w:rPr>
  </w:style>
  <w:style w:type="paragraph" w:styleId="Footer">
    <w:name w:val="footer"/>
    <w:basedOn w:val="Normal"/>
    <w:link w:val="FooterChar"/>
    <w:uiPriority w:val="99"/>
    <w:unhideWhenUsed/>
    <w:rsid w:val="002F553D"/>
    <w:pPr>
      <w:tabs>
        <w:tab w:val="center" w:pos="4536"/>
        <w:tab w:val="right" w:pos="9072"/>
      </w:tabs>
      <w:spacing w:after="0" w:line="240" w:lineRule="auto"/>
    </w:pPr>
  </w:style>
  <w:style w:type="character" w:customStyle="1" w:styleId="FooterChar">
    <w:name w:val="Footer Char"/>
    <w:basedOn w:val="DefaultParagraphFont"/>
    <w:link w:val="Footer"/>
    <w:uiPriority w:val="99"/>
    <w:rsid w:val="002F553D"/>
    <w:rPr>
      <w:lang w:val="en-GB"/>
    </w:rPr>
  </w:style>
  <w:style w:type="character" w:styleId="Hyperlink">
    <w:name w:val="Hyperlink"/>
    <w:basedOn w:val="DefaultParagraphFont"/>
    <w:uiPriority w:val="99"/>
    <w:unhideWhenUsed/>
    <w:rsid w:val="00171E90"/>
    <w:rPr>
      <w:color w:val="0563C1" w:themeColor="hyperlink"/>
      <w:u w:val="single"/>
    </w:rPr>
  </w:style>
  <w:style w:type="character" w:customStyle="1" w:styleId="normaltextrun">
    <w:name w:val="normaltextrun"/>
    <w:basedOn w:val="DefaultParagraphFont"/>
    <w:rsid w:val="003C3EDE"/>
  </w:style>
  <w:style w:type="character" w:customStyle="1" w:styleId="eop">
    <w:name w:val="eop"/>
    <w:basedOn w:val="DefaultParagraphFont"/>
    <w:rsid w:val="003C3EDE"/>
  </w:style>
  <w:style w:type="paragraph" w:customStyle="1" w:styleId="paragraph">
    <w:name w:val="paragraph"/>
    <w:basedOn w:val="Normal"/>
    <w:rsid w:val="00B75793"/>
    <w:pPr>
      <w:spacing w:before="100" w:beforeAutospacing="1" w:after="100" w:afterAutospacing="1" w:line="240" w:lineRule="auto"/>
    </w:pPr>
    <w:rPr>
      <w:rFonts w:ascii="Times New Roman" w:eastAsia="Times New Roman" w:hAnsi="Times New Roman" w:cs="Times New Roman"/>
      <w:kern w:val="0"/>
      <w:sz w:val="24"/>
      <w:szCs w:val="24"/>
      <w:lang w:val="de-DE" w:eastAsia="de-DE"/>
      <w14:ligatures w14:val="none"/>
    </w:rPr>
  </w:style>
  <w:style w:type="character" w:customStyle="1" w:styleId="wacimagecontainer">
    <w:name w:val="wacimagecontainer"/>
    <w:basedOn w:val="DefaultParagraphFont"/>
    <w:rsid w:val="00B75793"/>
  </w:style>
  <w:style w:type="paragraph" w:styleId="Revision">
    <w:name w:val="Revision"/>
    <w:hidden/>
    <w:uiPriority w:val="99"/>
    <w:semiHidden/>
    <w:rsid w:val="007D7ECB"/>
    <w:pPr>
      <w:spacing w:after="0" w:line="240" w:lineRule="auto"/>
    </w:pPr>
    <w:rPr>
      <w:lang w:val="en-GB"/>
    </w:rPr>
  </w:style>
  <w:style w:type="character" w:styleId="UnresolvedMention">
    <w:name w:val="Unresolved Mention"/>
    <w:basedOn w:val="DefaultParagraphFont"/>
    <w:uiPriority w:val="99"/>
    <w:semiHidden/>
    <w:unhideWhenUsed/>
    <w:rsid w:val="001B4DA9"/>
    <w:rPr>
      <w:color w:val="605E5C"/>
      <w:shd w:val="clear" w:color="auto" w:fill="E1DFDD"/>
    </w:rPr>
  </w:style>
  <w:style w:type="character" w:styleId="FollowedHyperlink">
    <w:name w:val="FollowedHyperlink"/>
    <w:basedOn w:val="DefaultParagraphFont"/>
    <w:uiPriority w:val="99"/>
    <w:semiHidden/>
    <w:unhideWhenUsed/>
    <w:rsid w:val="001B4D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clinicaltrials.gov/study/NCT04725474" TargetMode="External"/><Relationship Id="rId19" Type="http://schemas.openxmlformats.org/officeDocument/2006/relationships/hyperlink" Target="https://static-content.springer.com/esm/art%3A10.1038%2Fs41586-024-08305-z/MediaObjects/41586_2024_8305_MOESM3_ESM.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9E514C0454A2449429F8A6C11AC7A0" ma:contentTypeVersion="19" ma:contentTypeDescription="Ein neues Dokument erstellen." ma:contentTypeScope="" ma:versionID="a8a8f0543582b69797021c66db820108">
  <xsd:schema xmlns:xsd="http://www.w3.org/2001/XMLSchema" xmlns:xs="http://www.w3.org/2001/XMLSchema" xmlns:p="http://schemas.microsoft.com/office/2006/metadata/properties" xmlns:ns2="bccd7309-3703-4c1a-834b-a9875fa33a8d" xmlns:ns3="e98b0b5f-efac-415e-b8fb-0702a7f23d7b" targetNamespace="http://schemas.microsoft.com/office/2006/metadata/properties" ma:root="true" ma:fieldsID="fe5eb281cb13c3bb4de23b5324c27b8b" ns2:_="" ns3:_="">
    <xsd:import namespace="bccd7309-3703-4c1a-834b-a9875fa33a8d"/>
    <xsd:import namespace="e98b0b5f-efac-415e-b8fb-0702a7f23d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d7309-3703-4c1a-834b-a9875fa33a8d"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7c463fce-6be6-4251-b6bb-1634996a85c1}" ma:internalName="TaxCatchAll" ma:showField="CatchAllData" ma:web="bccd7309-3703-4c1a-834b-a9875fa33a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8b0b5f-efac-415e-b8fb-0702a7f23d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40bd2da-05ba-40b6-a7c1-48124f0610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cd7309-3703-4c1a-834b-a9875fa33a8d" xsi:nil="true"/>
    <lcf76f155ced4ddcb4097134ff3c332f xmlns="e98b0b5f-efac-415e-b8fb-0702a7f23d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E9F5CA-32DC-4D73-927A-BCB871C15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d7309-3703-4c1a-834b-a9875fa33a8d"/>
    <ds:schemaRef ds:uri="e98b0b5f-efac-415e-b8fb-0702a7f23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1D7543-224B-469F-A35F-F286754D935E}">
  <ds:schemaRefs>
    <ds:schemaRef ds:uri="http://schemas.microsoft.com/sharepoint/v3/contenttype/forms"/>
  </ds:schemaRefs>
</ds:datastoreItem>
</file>

<file path=customXml/itemProps3.xml><?xml version="1.0" encoding="utf-8"?>
<ds:datastoreItem xmlns:ds="http://schemas.openxmlformats.org/officeDocument/2006/customXml" ds:itemID="{4E474D70-A196-4168-A7E4-786DCB2CACF2}">
  <ds:schemaRefs>
    <ds:schemaRef ds:uri="http://schemas.microsoft.com/office/2006/metadata/properties"/>
    <ds:schemaRef ds:uri="http://schemas.microsoft.com/office/infopath/2007/PartnerControls"/>
    <ds:schemaRef ds:uri="bccd7309-3703-4c1a-834b-a9875fa33a8d"/>
    <ds:schemaRef ds:uri="e98b0b5f-efac-415e-b8fb-0702a7f23d7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2451</Words>
  <Characters>15448</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Markus Hartmann</dc:creator>
  <cp:keywords/>
  <dc:description/>
  <cp:lastModifiedBy>Dr. Markus Hartmann</cp:lastModifiedBy>
  <cp:revision>8</cp:revision>
  <dcterms:created xsi:type="dcterms:W3CDTF">2026-05-19T12:18:00Z</dcterms:created>
  <dcterms:modified xsi:type="dcterms:W3CDTF">2026-05-21T09:26:00Z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0x010100939E514C0454A2449429F8A6C11AC7A0</vt:lpwstr>
  </property>
  <property fmtid="{D5CDD505-2E9C-101B-9397-08002B2CF9AE}" pid="3" name="MediaServiceImageTags">
    <vt:lpwstr/>
  </property>
</Properties>
</file>