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2F9DF" w14:textId="251A3F18" w:rsidR="00E746E5" w:rsidRPr="00A472D3" w:rsidRDefault="00E746E5" w:rsidP="007A3659">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472D3">
        <w:rPr>
          <w:rFonts w:ascii="Times New Roman" w:eastAsia="宋体" w:hAnsi="Times New Roman" w:cs="Times New Roman"/>
          <w:b/>
          <w:bCs/>
          <w:color w:val="212121"/>
          <w:kern w:val="0"/>
          <w:sz w:val="24"/>
          <w:szCs w:val="24"/>
        </w:rPr>
        <w:t>Additional file 1. Detailed clinical courses of the three patients.</w:t>
      </w:r>
    </w:p>
    <w:p w14:paraId="5B3465C1" w14:textId="77777777" w:rsidR="00250832" w:rsidRPr="00AE061E" w:rsidRDefault="007A3659" w:rsidP="007A3659">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hint="eastAsia"/>
          <w:b/>
          <w:bCs/>
          <w:color w:val="212121"/>
          <w:kern w:val="0"/>
          <w:sz w:val="24"/>
          <w:szCs w:val="24"/>
        </w:rPr>
        <w:t xml:space="preserve">Case 1: </w:t>
      </w:r>
    </w:p>
    <w:p w14:paraId="2C4F3C88" w14:textId="037C3BBC" w:rsidR="007A3659" w:rsidRPr="007B4153" w:rsidRDefault="007A3659" w:rsidP="007A3659">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A3659">
        <w:rPr>
          <w:rFonts w:ascii="Times New Roman" w:eastAsia="宋体" w:hAnsi="Times New Roman" w:cs="Times New Roman"/>
          <w:color w:val="212121"/>
          <w:kern w:val="0"/>
          <w:sz w:val="24"/>
          <w:szCs w:val="24"/>
        </w:rPr>
        <w:t>Prior to enrollment, the patient received first-line chemotherapy with paclitaxel, oxaliplatin, and oral S‑1 (oral fluoropyrimidine chemotherapy) for 6 cycles, achieving stable disease (SD) on abdominal and pelvic computed tomography (CT). A multidisciplinary team (MDT) recommended diagnostic laparoscopy, which was performed on June 1, 2021 and revealed multiple pelvic peritoneal implants; biopsy of these nodules confirmed metastatic signet‑ring cell carcinoma. Hyperthermic intraperitoneal chemotherapy (HIPEC) with docetaxel was administered intraoperatively, followed by 4 cycles of intraperitoneal paclitaxel combined with oral S‑1.</w:t>
      </w:r>
      <w:r w:rsidR="00120C14">
        <w:rPr>
          <w:rFonts w:ascii="Times New Roman" w:eastAsia="宋体" w:hAnsi="Times New Roman" w:cs="Times New Roman" w:hint="eastAsia"/>
          <w:color w:val="212121"/>
          <w:kern w:val="0"/>
          <w:sz w:val="24"/>
          <w:szCs w:val="24"/>
        </w:rPr>
        <w:t xml:space="preserve"> </w:t>
      </w:r>
      <w:r w:rsidR="007B4153" w:rsidRPr="007B4153">
        <w:rPr>
          <w:rFonts w:ascii="Times New Roman" w:eastAsia="宋体" w:hAnsi="Times New Roman" w:cs="Times New Roman" w:hint="eastAsia"/>
          <w:color w:val="212121"/>
          <w:kern w:val="0"/>
          <w:sz w:val="24"/>
          <w:szCs w:val="24"/>
        </w:rPr>
        <w:t xml:space="preserve">After confirmation of high </w:t>
      </w:r>
      <w:r w:rsidR="009713A4" w:rsidRPr="009713A4">
        <w:rPr>
          <w:rFonts w:ascii="Times New Roman" w:eastAsia="宋体" w:hAnsi="Times New Roman" w:cs="Times New Roman"/>
          <w:color w:val="212121"/>
          <w:kern w:val="0"/>
          <w:sz w:val="24"/>
          <w:szCs w:val="24"/>
        </w:rPr>
        <w:t>Claudin 18.2 (CLDN18.2)</w:t>
      </w:r>
      <w:r w:rsidR="007B4153" w:rsidRPr="007B4153">
        <w:rPr>
          <w:rFonts w:ascii="Times New Roman" w:eastAsia="宋体" w:hAnsi="Times New Roman" w:cs="Times New Roman" w:hint="eastAsia"/>
          <w:color w:val="212121"/>
          <w:kern w:val="0"/>
          <w:sz w:val="24"/>
          <w:szCs w:val="24"/>
        </w:rPr>
        <w:t xml:space="preserve"> expression (IHC 3+, 90%), she was enrolled in the first-line sequential treatment cohort of the phase I </w:t>
      </w:r>
      <w:proofErr w:type="spellStart"/>
      <w:r w:rsidR="007B4153" w:rsidRPr="007B4153">
        <w:rPr>
          <w:rFonts w:ascii="Times New Roman" w:eastAsia="宋体" w:hAnsi="Times New Roman" w:cs="Times New Roman" w:hint="eastAsia"/>
          <w:color w:val="212121"/>
          <w:kern w:val="0"/>
          <w:sz w:val="24"/>
          <w:szCs w:val="24"/>
        </w:rPr>
        <w:t>satri</w:t>
      </w:r>
      <w:proofErr w:type="spellEnd"/>
      <w:r w:rsidR="007B4153" w:rsidRPr="007B4153">
        <w:rPr>
          <w:rFonts w:ascii="Times New Roman" w:eastAsia="宋体" w:hAnsi="Times New Roman" w:cs="Times New Roman" w:hint="eastAsia"/>
          <w:color w:val="212121"/>
          <w:kern w:val="0"/>
          <w:sz w:val="24"/>
          <w:szCs w:val="24"/>
        </w:rPr>
        <w:t>-cel/CT041 trial.</w:t>
      </w:r>
    </w:p>
    <w:p w14:paraId="5D005E2C" w14:textId="37A5A8F2" w:rsidR="006F28B1" w:rsidRPr="005A211C" w:rsidRDefault="007A3659" w:rsidP="005A211C">
      <w:pPr>
        <w:pStyle w:val="p"/>
        <w:shd w:val="clear" w:color="auto" w:fill="FFFFFF" w:themeFill="background1"/>
        <w:spacing w:before="0" w:beforeAutospacing="0" w:after="0" w:afterAutospacing="0" w:line="480" w:lineRule="auto"/>
        <w:rPr>
          <w:rFonts w:ascii="Times New Roman" w:hAnsi="Times New Roman" w:cs="Times New Roman"/>
          <w:color w:val="212121"/>
        </w:rPr>
      </w:pPr>
      <w:r w:rsidRPr="007A3659">
        <w:rPr>
          <w:rFonts w:ascii="Times New Roman" w:hAnsi="Times New Roman" w:cs="Times New Roman"/>
          <w:color w:val="212121"/>
        </w:rPr>
        <w:t>Leukapheresis for CAR</w:t>
      </w:r>
      <w:r w:rsidR="00987B47">
        <w:rPr>
          <w:rFonts w:ascii="Times New Roman" w:hAnsi="Times New Roman" w:cs="Times New Roman" w:hint="eastAsia"/>
          <w:color w:val="212121"/>
        </w:rPr>
        <w:t xml:space="preserve"> </w:t>
      </w:r>
      <w:r w:rsidRPr="007A3659">
        <w:rPr>
          <w:rFonts w:ascii="Times New Roman" w:hAnsi="Times New Roman" w:cs="Times New Roman"/>
          <w:color w:val="212121"/>
        </w:rPr>
        <w:t>T</w:t>
      </w:r>
      <w:r w:rsidR="00987B47">
        <w:rPr>
          <w:rFonts w:ascii="Times New Roman" w:hAnsi="Times New Roman" w:cs="Times New Roman" w:hint="eastAsia"/>
          <w:color w:val="212121"/>
        </w:rPr>
        <w:t>-</w:t>
      </w:r>
      <w:r w:rsidRPr="007A3659">
        <w:rPr>
          <w:rFonts w:ascii="Times New Roman" w:hAnsi="Times New Roman" w:cs="Times New Roman"/>
          <w:color w:val="212121"/>
        </w:rPr>
        <w:t xml:space="preserve">cell manufacture was conducted on November 16, 2021, preceded by one cycle of bridging therapy with S‑1. Preconditioning lymphodepletion was performed using fludarabine, cyclophosphamide, and nab‑paclitaxel before </w:t>
      </w:r>
      <w:proofErr w:type="spellStart"/>
      <w:r w:rsidRPr="007A3659">
        <w:rPr>
          <w:rFonts w:ascii="Times New Roman" w:hAnsi="Times New Roman" w:cs="Times New Roman"/>
          <w:color w:val="212121"/>
        </w:rPr>
        <w:t>satri</w:t>
      </w:r>
      <w:proofErr w:type="spellEnd"/>
      <w:r w:rsidRPr="007A3659">
        <w:rPr>
          <w:rFonts w:ascii="Times New Roman" w:hAnsi="Times New Roman" w:cs="Times New Roman"/>
          <w:color w:val="212121"/>
        </w:rPr>
        <w:t>‑cel infusion</w:t>
      </w:r>
      <w:r w:rsidRPr="007A3659">
        <w:rPr>
          <w:rFonts w:ascii="Times New Roman" w:hAnsi="Times New Roman" w:cs="Times New Roman" w:hint="eastAsia"/>
          <w:color w:val="212121"/>
        </w:rPr>
        <w:t>.</w:t>
      </w:r>
      <w:r w:rsidR="007939FA">
        <w:rPr>
          <w:rFonts w:ascii="Times New Roman" w:hAnsi="Times New Roman" w:cs="Times New Roman" w:hint="eastAsia"/>
          <w:color w:val="212121"/>
        </w:rPr>
        <w:t xml:space="preserve"> She</w:t>
      </w:r>
      <w:r w:rsidR="007939FA" w:rsidRPr="007939FA">
        <w:rPr>
          <w:rFonts w:ascii="Times New Roman" w:hAnsi="Times New Roman" w:cs="Times New Roman"/>
          <w:color w:val="212121"/>
        </w:rPr>
        <w:t xml:space="preserve"> received an infusion of </w:t>
      </w:r>
      <w:proofErr w:type="spellStart"/>
      <w:r w:rsidR="007939FA" w:rsidRPr="007939FA">
        <w:rPr>
          <w:rFonts w:ascii="Times New Roman" w:hAnsi="Times New Roman" w:cs="Times New Roman"/>
          <w:color w:val="212121"/>
        </w:rPr>
        <w:t>satri</w:t>
      </w:r>
      <w:proofErr w:type="spellEnd"/>
      <w:r w:rsidR="007939FA" w:rsidRPr="007939FA">
        <w:rPr>
          <w:rFonts w:ascii="Times New Roman" w:hAnsi="Times New Roman" w:cs="Times New Roman"/>
          <w:color w:val="212121"/>
        </w:rPr>
        <w:t>-cel (250 × 10⁶ cells) on December 20, 2021 (day 0).</w:t>
      </w:r>
      <w:r w:rsidR="00CD7589" w:rsidRPr="00CD7589">
        <w:t xml:space="preserve"> </w:t>
      </w:r>
      <w:r w:rsidR="00CD7589" w:rsidRPr="00CD7589">
        <w:rPr>
          <w:rFonts w:ascii="Times New Roman" w:hAnsi="Times New Roman" w:cs="Times New Roman"/>
          <w:color w:val="212121"/>
        </w:rPr>
        <w:t xml:space="preserve">After the first </w:t>
      </w:r>
      <w:proofErr w:type="spellStart"/>
      <w:r w:rsidR="00CD7589" w:rsidRPr="00CD7589">
        <w:rPr>
          <w:rFonts w:ascii="Times New Roman" w:hAnsi="Times New Roman" w:cs="Times New Roman"/>
          <w:color w:val="212121"/>
        </w:rPr>
        <w:t>satri</w:t>
      </w:r>
      <w:proofErr w:type="spellEnd"/>
      <w:r w:rsidR="00CD7589" w:rsidRPr="00CD7589">
        <w:rPr>
          <w:rFonts w:ascii="Times New Roman" w:hAnsi="Times New Roman" w:cs="Times New Roman"/>
          <w:color w:val="212121"/>
        </w:rPr>
        <w:t xml:space="preserve">-cel infusion, </w:t>
      </w:r>
      <w:r w:rsidR="00CD7589">
        <w:rPr>
          <w:rFonts w:ascii="Times New Roman" w:hAnsi="Times New Roman" w:cs="Times New Roman" w:hint="eastAsia"/>
          <w:color w:val="212121"/>
        </w:rPr>
        <w:t>she</w:t>
      </w:r>
      <w:r w:rsidR="00CD7589" w:rsidRPr="00CD7589">
        <w:rPr>
          <w:rFonts w:ascii="Times New Roman" w:hAnsi="Times New Roman" w:cs="Times New Roman"/>
          <w:color w:val="212121"/>
        </w:rPr>
        <w:t xml:space="preserve"> developed grade 2 cytokine release syndrome (CRS), which resolved with supportive care.</w:t>
      </w:r>
      <w:r w:rsidR="00CD7589">
        <w:rPr>
          <w:rFonts w:ascii="Times New Roman" w:hAnsi="Times New Roman" w:cs="Times New Roman" w:hint="eastAsia"/>
          <w:color w:val="212121"/>
        </w:rPr>
        <w:t xml:space="preserve"> </w:t>
      </w:r>
      <w:r w:rsidRPr="007A3659">
        <w:rPr>
          <w:rFonts w:ascii="Times New Roman" w:hAnsi="Times New Roman" w:cs="Times New Roman"/>
          <w:color w:val="212121"/>
        </w:rPr>
        <w:t xml:space="preserve">On August 4, 2022 (7 months after </w:t>
      </w:r>
      <w:proofErr w:type="spellStart"/>
      <w:r w:rsidRPr="007A3659">
        <w:rPr>
          <w:rFonts w:ascii="Times New Roman" w:hAnsi="Times New Roman" w:cs="Times New Roman"/>
          <w:color w:val="212121"/>
        </w:rPr>
        <w:t>satri</w:t>
      </w:r>
      <w:proofErr w:type="spellEnd"/>
      <w:r w:rsidRPr="007A3659">
        <w:rPr>
          <w:rFonts w:ascii="Times New Roman" w:hAnsi="Times New Roman" w:cs="Times New Roman"/>
          <w:color w:val="212121"/>
        </w:rPr>
        <w:t xml:space="preserve">‑cel infusion), CT confirmed maintained partial response (PR), with post‑treatment staging determined as ycT3N0M0 by MDT discussion. </w:t>
      </w:r>
      <w:r w:rsidR="00B64089" w:rsidRPr="00B64089">
        <w:rPr>
          <w:rFonts w:ascii="Times New Roman" w:hAnsi="Times New Roman" w:cs="Times New Roman" w:hint="eastAsia"/>
          <w:color w:val="212121"/>
        </w:rPr>
        <w:t xml:space="preserve">On September 1, 2022 (8 months after </w:t>
      </w:r>
      <w:proofErr w:type="spellStart"/>
      <w:r w:rsidR="00B64089" w:rsidRPr="007A3659">
        <w:rPr>
          <w:rFonts w:ascii="Times New Roman" w:hAnsi="Times New Roman" w:cs="Times New Roman"/>
          <w:color w:val="212121"/>
        </w:rPr>
        <w:t>satri</w:t>
      </w:r>
      <w:proofErr w:type="spellEnd"/>
      <w:r w:rsidR="00B64089" w:rsidRPr="007A3659">
        <w:rPr>
          <w:rFonts w:ascii="Times New Roman" w:hAnsi="Times New Roman" w:cs="Times New Roman"/>
          <w:color w:val="212121"/>
        </w:rPr>
        <w:t>‑cel infusion</w:t>
      </w:r>
      <w:r w:rsidR="00B64089" w:rsidRPr="00B64089">
        <w:rPr>
          <w:rFonts w:ascii="Times New Roman" w:hAnsi="Times New Roman" w:cs="Times New Roman" w:hint="eastAsia"/>
          <w:color w:val="212121"/>
        </w:rPr>
        <w:t xml:space="preserve">), laparoscopic exploration revealed no visible peritoneal, omental, or mesenteric metastases. Total gastrectomy with D2 lymphadenectomy was performed. Pathological examination </w:t>
      </w:r>
      <w:r w:rsidR="00B64089" w:rsidRPr="00B64089">
        <w:rPr>
          <w:rFonts w:ascii="Times New Roman" w:hAnsi="Times New Roman" w:cs="Times New Roman" w:hint="eastAsia"/>
          <w:color w:val="212121"/>
        </w:rPr>
        <w:lastRenderedPageBreak/>
        <w:t xml:space="preserve">revealed ypT2N0 disease. </w:t>
      </w:r>
      <w:r w:rsidRPr="007A3659">
        <w:rPr>
          <w:rFonts w:ascii="Times New Roman" w:hAnsi="Times New Roman" w:cs="Times New Roman"/>
          <w:color w:val="212121"/>
        </w:rPr>
        <w:t xml:space="preserve">Follow‑up CT on January 9, 2023 showed bilateral </w:t>
      </w:r>
      <w:r w:rsidR="00694677" w:rsidRPr="007A3659">
        <w:rPr>
          <w:rFonts w:ascii="Times New Roman" w:hAnsi="Times New Roman" w:cs="Times New Roman"/>
          <w:color w:val="212121"/>
        </w:rPr>
        <w:t xml:space="preserve">ovarian </w:t>
      </w:r>
      <w:r w:rsidRPr="007A3659">
        <w:rPr>
          <w:rFonts w:ascii="Times New Roman" w:hAnsi="Times New Roman" w:cs="Times New Roman"/>
          <w:color w:val="212121"/>
        </w:rPr>
        <w:t xml:space="preserve">enlargement; laparoscopic exploration on February 2, 2023 (13 months after </w:t>
      </w:r>
      <w:proofErr w:type="spellStart"/>
      <w:r w:rsidRPr="007A3659">
        <w:rPr>
          <w:rFonts w:ascii="Times New Roman" w:hAnsi="Times New Roman" w:cs="Times New Roman"/>
          <w:color w:val="212121"/>
        </w:rPr>
        <w:t>satri</w:t>
      </w:r>
      <w:proofErr w:type="spellEnd"/>
      <w:r w:rsidRPr="007A3659">
        <w:rPr>
          <w:rFonts w:ascii="Times New Roman" w:hAnsi="Times New Roman" w:cs="Times New Roman"/>
          <w:color w:val="212121"/>
        </w:rPr>
        <w:t xml:space="preserve">‑cel infusion) verified bilateral ovarian metastatic </w:t>
      </w:r>
      <w:proofErr w:type="spellStart"/>
      <w:r w:rsidRPr="007A3659">
        <w:rPr>
          <w:rFonts w:ascii="Times New Roman" w:hAnsi="Times New Roman" w:cs="Times New Roman"/>
          <w:color w:val="212121"/>
        </w:rPr>
        <w:t>Krukenberg</w:t>
      </w:r>
      <w:proofErr w:type="spellEnd"/>
      <w:r w:rsidRPr="007A3659">
        <w:rPr>
          <w:rFonts w:ascii="Times New Roman" w:hAnsi="Times New Roman" w:cs="Times New Roman"/>
          <w:color w:val="212121"/>
        </w:rPr>
        <w:t xml:space="preserve"> tumors, with no other peritoneal lesions detected. </w:t>
      </w:r>
      <w:r w:rsidR="009F036E">
        <w:rPr>
          <w:rFonts w:ascii="Times New Roman" w:hAnsi="Times New Roman" w:cs="Times New Roman" w:hint="eastAsia"/>
          <w:color w:val="212121"/>
        </w:rPr>
        <w:t>B</w:t>
      </w:r>
      <w:r w:rsidR="009F036E" w:rsidRPr="009F036E">
        <w:rPr>
          <w:rFonts w:ascii="Times New Roman" w:hAnsi="Times New Roman" w:cs="Times New Roman"/>
          <w:color w:val="212121"/>
        </w:rPr>
        <w:t xml:space="preserve">ilateral </w:t>
      </w:r>
      <w:proofErr w:type="spellStart"/>
      <w:r w:rsidR="009F036E" w:rsidRPr="009F036E">
        <w:rPr>
          <w:rFonts w:ascii="Times New Roman" w:hAnsi="Times New Roman" w:cs="Times New Roman"/>
          <w:color w:val="212121"/>
        </w:rPr>
        <w:t>salpingo</w:t>
      </w:r>
      <w:proofErr w:type="spellEnd"/>
      <w:r w:rsidR="009F036E" w:rsidRPr="009F036E">
        <w:rPr>
          <w:rFonts w:ascii="Times New Roman" w:hAnsi="Times New Roman" w:cs="Times New Roman"/>
          <w:color w:val="212121"/>
        </w:rPr>
        <w:t>-oophorectomy</w:t>
      </w:r>
      <w:r w:rsidR="009F036E">
        <w:rPr>
          <w:rFonts w:ascii="Times New Roman" w:hAnsi="Times New Roman" w:cs="Times New Roman" w:hint="eastAsia"/>
          <w:color w:val="212121"/>
        </w:rPr>
        <w:t xml:space="preserve"> </w:t>
      </w:r>
      <w:r w:rsidRPr="007A3659">
        <w:rPr>
          <w:rFonts w:ascii="Times New Roman" w:hAnsi="Times New Roman" w:cs="Times New Roman"/>
          <w:color w:val="212121"/>
        </w:rPr>
        <w:t xml:space="preserve">was performed, and a second infusion of </w:t>
      </w:r>
      <w:proofErr w:type="spellStart"/>
      <w:r w:rsidRPr="007A3659">
        <w:rPr>
          <w:rFonts w:ascii="Times New Roman" w:hAnsi="Times New Roman" w:cs="Times New Roman"/>
          <w:color w:val="212121"/>
        </w:rPr>
        <w:t>satri</w:t>
      </w:r>
      <w:proofErr w:type="spellEnd"/>
      <w:r w:rsidRPr="007A3659">
        <w:rPr>
          <w:rFonts w:ascii="Times New Roman" w:hAnsi="Times New Roman" w:cs="Times New Roman"/>
          <w:color w:val="212121"/>
        </w:rPr>
        <w:t>‑cel was administered</w:t>
      </w:r>
      <w:r w:rsidRPr="007A3659">
        <w:rPr>
          <w:rFonts w:ascii="Times New Roman" w:hAnsi="Times New Roman" w:cs="Times New Roman" w:hint="eastAsia"/>
          <w:color w:val="212121"/>
        </w:rPr>
        <w:t xml:space="preserve"> on May 29, 2023.</w:t>
      </w:r>
      <w:r w:rsidR="005A211C">
        <w:rPr>
          <w:rFonts w:ascii="Times New Roman" w:hAnsi="Times New Roman" w:cs="Times New Roman" w:hint="eastAsia"/>
          <w:color w:val="212121"/>
        </w:rPr>
        <w:t xml:space="preserve"> </w:t>
      </w:r>
      <w:r w:rsidR="006F28B1" w:rsidRPr="006F28B1">
        <w:rPr>
          <w:rFonts w:ascii="Times New Roman" w:hAnsi="Times New Roman" w:cs="Times New Roman"/>
          <w:color w:val="212121"/>
        </w:rPr>
        <w:t xml:space="preserve">Through January 6, 2026, no further disease progression was observed, with PM remaining controlled for 48 months after </w:t>
      </w:r>
      <w:proofErr w:type="spellStart"/>
      <w:r w:rsidR="006F28B1" w:rsidRPr="006F28B1">
        <w:rPr>
          <w:rFonts w:ascii="Times New Roman" w:hAnsi="Times New Roman" w:cs="Times New Roman"/>
          <w:color w:val="212121"/>
        </w:rPr>
        <w:t>satri</w:t>
      </w:r>
      <w:proofErr w:type="spellEnd"/>
      <w:r w:rsidR="006F28B1" w:rsidRPr="006F28B1">
        <w:rPr>
          <w:rFonts w:ascii="Times New Roman" w:hAnsi="Times New Roman" w:cs="Times New Roman"/>
          <w:color w:val="212121"/>
        </w:rPr>
        <w:t>-cel infusion.</w:t>
      </w:r>
    </w:p>
    <w:p w14:paraId="0C16A884" w14:textId="77777777" w:rsidR="002D2F40" w:rsidRDefault="002D2F40" w:rsidP="007A3659">
      <w:pPr>
        <w:widowControl/>
        <w:shd w:val="clear" w:color="auto" w:fill="FFFFFF"/>
        <w:spacing w:after="0" w:line="480" w:lineRule="auto"/>
        <w:jc w:val="left"/>
        <w:rPr>
          <w:rFonts w:ascii="Times New Roman" w:eastAsia="宋体" w:hAnsi="Times New Roman" w:cs="Times New Roman"/>
          <w:color w:val="212121"/>
          <w:kern w:val="0"/>
          <w:sz w:val="24"/>
          <w:szCs w:val="24"/>
        </w:rPr>
      </w:pPr>
    </w:p>
    <w:p w14:paraId="4602472A" w14:textId="681F6E81" w:rsidR="00D2450D" w:rsidRPr="00AE061E" w:rsidRDefault="002D2F40" w:rsidP="00FA2DA1">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hint="eastAsia"/>
          <w:b/>
          <w:bCs/>
          <w:color w:val="212121"/>
          <w:kern w:val="0"/>
          <w:sz w:val="24"/>
          <w:szCs w:val="24"/>
        </w:rPr>
        <w:t xml:space="preserve">Case 2: </w:t>
      </w:r>
    </w:p>
    <w:p w14:paraId="642EC0BF" w14:textId="77777777" w:rsidR="00FA2DA1" w:rsidRPr="00FA2DA1" w:rsidRDefault="00FA2DA1" w:rsidP="00FA2DA1">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FA2DA1">
        <w:rPr>
          <w:rFonts w:ascii="Times New Roman" w:eastAsia="宋体" w:hAnsi="Times New Roman" w:cs="Times New Roman" w:hint="eastAsia"/>
          <w:color w:val="212121"/>
          <w:kern w:val="0"/>
          <w:sz w:val="24"/>
          <w:szCs w:val="24"/>
        </w:rPr>
        <w:t xml:space="preserve">Initial gastroscopy revealed ulcerative lesions in the gastric antrum and angular incisure, with biopsy confirming adenocarcinoma; comprehensive staging showed no distant metastasis. Intraoperatively, a gastric antral mass with serosal invasion was identified. Postoperative pathology indicated ulcerative moderately differentiated adenocarcinoma involving the submucosa, with vascular tumor thrombi, perineural invasion, and lymph node metastases. IHC results were HER2 (1+), </w:t>
      </w:r>
      <w:proofErr w:type="spellStart"/>
      <w:r w:rsidRPr="00FA2DA1">
        <w:rPr>
          <w:rFonts w:ascii="Times New Roman" w:eastAsia="宋体" w:hAnsi="Times New Roman" w:cs="Times New Roman" w:hint="eastAsia"/>
          <w:color w:val="212121"/>
          <w:kern w:val="0"/>
          <w:sz w:val="24"/>
          <w:szCs w:val="24"/>
        </w:rPr>
        <w:t>pMMR</w:t>
      </w:r>
      <w:proofErr w:type="spellEnd"/>
      <w:r w:rsidRPr="00FA2DA1">
        <w:rPr>
          <w:rFonts w:ascii="Times New Roman" w:eastAsia="宋体" w:hAnsi="Times New Roman" w:cs="Times New Roman" w:hint="eastAsia"/>
          <w:color w:val="212121"/>
          <w:kern w:val="0"/>
          <w:sz w:val="24"/>
          <w:szCs w:val="24"/>
        </w:rPr>
        <w:t>, and PD-L1 (22C3) CPS &lt; 1.</w:t>
      </w:r>
    </w:p>
    <w:p w14:paraId="70A55698" w14:textId="338837AE" w:rsidR="00FA2DA1" w:rsidRPr="00FA2DA1" w:rsidRDefault="00FA2DA1" w:rsidP="00FA2DA1">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FA2DA1">
        <w:rPr>
          <w:rFonts w:ascii="Times New Roman" w:eastAsia="宋体" w:hAnsi="Times New Roman" w:cs="Times New Roman" w:hint="eastAsia"/>
          <w:color w:val="212121"/>
          <w:kern w:val="0"/>
          <w:sz w:val="24"/>
          <w:szCs w:val="24"/>
        </w:rPr>
        <w:t xml:space="preserve">She completed 6 cycles of adjuvant XELOX chemotherapy. On June 17, 2021, abdominal CT showed appendiceal abnormalities, and emergency exploratory laparotomy revealed extensive metastatic nodules in the pelvis and abdominal wall, with a gangrenous, purulent appendix adherent to surrounding tissues. Postoperative pathology confirmed adenocarcinoma involving the appendix and abdominal wall nodules (consistent with gastric cancer metastases), with gastric adenocarcinoma infiltration in fibroadipose tissue and </w:t>
      </w:r>
      <w:proofErr w:type="spellStart"/>
      <w:r w:rsidRPr="00FA2DA1">
        <w:rPr>
          <w:rFonts w:ascii="Times New Roman" w:eastAsia="宋体" w:hAnsi="Times New Roman" w:cs="Times New Roman" w:hint="eastAsia"/>
          <w:color w:val="212121"/>
          <w:kern w:val="0"/>
          <w:sz w:val="24"/>
          <w:szCs w:val="24"/>
        </w:rPr>
        <w:t>subserosal</w:t>
      </w:r>
      <w:proofErr w:type="spellEnd"/>
      <w:r w:rsidRPr="00FA2DA1">
        <w:rPr>
          <w:rFonts w:ascii="Times New Roman" w:eastAsia="宋体" w:hAnsi="Times New Roman" w:cs="Times New Roman" w:hint="eastAsia"/>
          <w:color w:val="212121"/>
          <w:kern w:val="0"/>
          <w:sz w:val="24"/>
          <w:szCs w:val="24"/>
        </w:rPr>
        <w:t xml:space="preserve"> adipose tissue; IHC showed HER2 (0), </w:t>
      </w:r>
      <w:proofErr w:type="spellStart"/>
      <w:r w:rsidRPr="00FA2DA1">
        <w:rPr>
          <w:rFonts w:ascii="Times New Roman" w:eastAsia="宋体" w:hAnsi="Times New Roman" w:cs="Times New Roman" w:hint="eastAsia"/>
          <w:color w:val="212121"/>
          <w:kern w:val="0"/>
          <w:sz w:val="24"/>
          <w:szCs w:val="24"/>
        </w:rPr>
        <w:t>pMMR</w:t>
      </w:r>
      <w:proofErr w:type="spellEnd"/>
      <w:r w:rsidRPr="00FA2DA1">
        <w:rPr>
          <w:rFonts w:ascii="Times New Roman" w:eastAsia="宋体" w:hAnsi="Times New Roman" w:cs="Times New Roman" w:hint="eastAsia"/>
          <w:color w:val="212121"/>
          <w:kern w:val="0"/>
          <w:sz w:val="24"/>
          <w:szCs w:val="24"/>
        </w:rPr>
        <w:t xml:space="preserve">, and PD-L1 (22C3) CPS &lt; 1. She </w:t>
      </w:r>
      <w:r w:rsidRPr="00FA2DA1">
        <w:rPr>
          <w:rFonts w:ascii="Times New Roman" w:eastAsia="宋体" w:hAnsi="Times New Roman" w:cs="Times New Roman" w:hint="eastAsia"/>
          <w:color w:val="212121"/>
          <w:kern w:val="0"/>
          <w:sz w:val="24"/>
          <w:szCs w:val="24"/>
        </w:rPr>
        <w:lastRenderedPageBreak/>
        <w:t>then received 5 cycles of first-line SOX chemotherapy without progression.</w:t>
      </w:r>
      <w:r w:rsidR="007B4153">
        <w:rPr>
          <w:rFonts w:ascii="Times New Roman" w:eastAsia="宋体" w:hAnsi="Times New Roman" w:cs="Times New Roman" w:hint="eastAsia"/>
          <w:color w:val="212121"/>
          <w:kern w:val="0"/>
          <w:sz w:val="24"/>
          <w:szCs w:val="24"/>
        </w:rPr>
        <w:t xml:space="preserve"> </w:t>
      </w:r>
      <w:r w:rsidR="007B4153" w:rsidRPr="007B4153">
        <w:rPr>
          <w:rFonts w:ascii="Times New Roman" w:eastAsia="宋体" w:hAnsi="Times New Roman" w:cs="Times New Roman" w:hint="eastAsia"/>
          <w:color w:val="212121"/>
          <w:kern w:val="0"/>
          <w:sz w:val="24"/>
          <w:szCs w:val="24"/>
        </w:rPr>
        <w:t xml:space="preserve">CLDN18.2 testing demonstrated IHC 2+ expression in 90% of tumor cells, and the patient was enrolled in the </w:t>
      </w:r>
      <w:r w:rsidR="00C0001A" w:rsidRPr="00C0001A">
        <w:rPr>
          <w:rFonts w:ascii="Times New Roman" w:eastAsia="宋体" w:hAnsi="Times New Roman" w:cs="Times New Roman"/>
          <w:color w:val="212121"/>
          <w:kern w:val="0"/>
          <w:sz w:val="24"/>
          <w:szCs w:val="24"/>
        </w:rPr>
        <w:t>first-line</w:t>
      </w:r>
      <w:r w:rsidR="007B4153" w:rsidRPr="007B4153">
        <w:rPr>
          <w:rFonts w:ascii="Times New Roman" w:eastAsia="宋体" w:hAnsi="Times New Roman" w:cs="Times New Roman" w:hint="eastAsia"/>
          <w:color w:val="212121"/>
          <w:kern w:val="0"/>
          <w:sz w:val="24"/>
          <w:szCs w:val="24"/>
        </w:rPr>
        <w:t xml:space="preserve"> sequential CAR</w:t>
      </w:r>
      <w:r w:rsidR="00987B47">
        <w:rPr>
          <w:rFonts w:ascii="Times New Roman" w:eastAsia="宋体" w:hAnsi="Times New Roman" w:cs="Times New Roman" w:hint="eastAsia"/>
          <w:color w:val="212121"/>
          <w:kern w:val="0"/>
          <w:sz w:val="24"/>
          <w:szCs w:val="24"/>
        </w:rPr>
        <w:t xml:space="preserve"> </w:t>
      </w:r>
      <w:r w:rsidR="007B4153" w:rsidRPr="007B4153">
        <w:rPr>
          <w:rFonts w:ascii="Times New Roman" w:eastAsia="宋体" w:hAnsi="Times New Roman" w:cs="Times New Roman" w:hint="eastAsia"/>
          <w:color w:val="212121"/>
          <w:kern w:val="0"/>
          <w:sz w:val="24"/>
          <w:szCs w:val="24"/>
        </w:rPr>
        <w:t>T treatment cohort.</w:t>
      </w:r>
    </w:p>
    <w:p w14:paraId="16C9C17D" w14:textId="28FA5BB7" w:rsidR="00201B39" w:rsidRDefault="00FA2DA1" w:rsidP="00FA2DA1">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FA2DA1">
        <w:rPr>
          <w:rFonts w:ascii="Times New Roman" w:eastAsia="宋体" w:hAnsi="Times New Roman" w:cs="Times New Roman"/>
          <w:color w:val="212121"/>
          <w:kern w:val="0"/>
          <w:sz w:val="24"/>
          <w:szCs w:val="24"/>
        </w:rPr>
        <w:t xml:space="preserve">Preconditioning lymphodepletion consisted of fludarabine, cyclophosphamide, and nab-paclitaxel prior to </w:t>
      </w:r>
      <w:proofErr w:type="spellStart"/>
      <w:r w:rsidRPr="00FA2DA1">
        <w:rPr>
          <w:rFonts w:ascii="Times New Roman" w:eastAsia="宋体" w:hAnsi="Times New Roman" w:cs="Times New Roman"/>
          <w:color w:val="212121"/>
          <w:kern w:val="0"/>
          <w:sz w:val="24"/>
          <w:szCs w:val="24"/>
        </w:rPr>
        <w:t>satri</w:t>
      </w:r>
      <w:proofErr w:type="spellEnd"/>
      <w:r w:rsidRPr="00FA2DA1">
        <w:rPr>
          <w:rFonts w:ascii="Times New Roman" w:eastAsia="宋体" w:hAnsi="Times New Roman" w:cs="Times New Roman"/>
          <w:color w:val="212121"/>
          <w:kern w:val="0"/>
          <w:sz w:val="24"/>
          <w:szCs w:val="24"/>
        </w:rPr>
        <w:t xml:space="preserve">-cel infusion (250 × 10⁶ cells). </w:t>
      </w:r>
      <w:r w:rsidR="00B64089" w:rsidRPr="00B64089">
        <w:rPr>
          <w:rFonts w:ascii="Times New Roman" w:eastAsia="宋体" w:hAnsi="Times New Roman" w:cs="Times New Roman"/>
          <w:color w:val="212121"/>
          <w:kern w:val="0"/>
          <w:sz w:val="24"/>
          <w:szCs w:val="24"/>
        </w:rPr>
        <w:t xml:space="preserve">Follow-up CT in June 2022 revealed suspected right </w:t>
      </w:r>
      <w:r w:rsidR="00694677" w:rsidRPr="007A3659">
        <w:rPr>
          <w:rFonts w:ascii="Times New Roman" w:eastAsia="宋体" w:hAnsi="Times New Roman" w:cs="Times New Roman"/>
          <w:color w:val="212121"/>
          <w:kern w:val="0"/>
          <w:sz w:val="24"/>
          <w:szCs w:val="24"/>
        </w:rPr>
        <w:t xml:space="preserve">ovarian </w:t>
      </w:r>
      <w:r w:rsidR="00B64089" w:rsidRPr="00B64089">
        <w:rPr>
          <w:rFonts w:ascii="Times New Roman" w:eastAsia="宋体" w:hAnsi="Times New Roman" w:cs="Times New Roman"/>
          <w:color w:val="212121"/>
          <w:kern w:val="0"/>
          <w:sz w:val="24"/>
          <w:szCs w:val="24"/>
        </w:rPr>
        <w:t xml:space="preserve">metastasis. A second </w:t>
      </w:r>
      <w:proofErr w:type="spellStart"/>
      <w:r w:rsidR="00B64089" w:rsidRPr="00B64089">
        <w:rPr>
          <w:rFonts w:ascii="Times New Roman" w:eastAsia="宋体" w:hAnsi="Times New Roman" w:cs="Times New Roman"/>
          <w:color w:val="212121"/>
          <w:kern w:val="0"/>
          <w:sz w:val="24"/>
          <w:szCs w:val="24"/>
        </w:rPr>
        <w:t>satri</w:t>
      </w:r>
      <w:proofErr w:type="spellEnd"/>
      <w:r w:rsidR="00B64089" w:rsidRPr="00B64089">
        <w:rPr>
          <w:rFonts w:ascii="Times New Roman" w:eastAsia="宋体" w:hAnsi="Times New Roman" w:cs="Times New Roman"/>
          <w:color w:val="212121"/>
          <w:kern w:val="0"/>
          <w:sz w:val="24"/>
          <w:szCs w:val="24"/>
        </w:rPr>
        <w:t>-cel infusion was subsequently administered. Laparoscopic exploration on August 8, 2022</w:t>
      </w:r>
      <w:r w:rsidR="00B64089">
        <w:rPr>
          <w:rFonts w:ascii="Times New Roman" w:eastAsia="宋体" w:hAnsi="Times New Roman" w:cs="Times New Roman" w:hint="eastAsia"/>
          <w:color w:val="212121"/>
          <w:kern w:val="0"/>
          <w:sz w:val="24"/>
          <w:szCs w:val="24"/>
        </w:rPr>
        <w:t xml:space="preserve"> </w:t>
      </w:r>
      <w:r w:rsidR="00B64089" w:rsidRPr="00FA2DA1">
        <w:rPr>
          <w:rFonts w:ascii="Times New Roman" w:eastAsia="宋体" w:hAnsi="Times New Roman" w:cs="Times New Roman"/>
          <w:color w:val="212121"/>
          <w:kern w:val="0"/>
          <w:sz w:val="24"/>
          <w:szCs w:val="24"/>
        </w:rPr>
        <w:t>(7 months after the first infusion)</w:t>
      </w:r>
      <w:r w:rsidR="00B64089" w:rsidRPr="00B64089">
        <w:rPr>
          <w:rFonts w:ascii="Times New Roman" w:eastAsia="宋体" w:hAnsi="Times New Roman" w:cs="Times New Roman"/>
          <w:color w:val="212121"/>
          <w:kern w:val="0"/>
          <w:sz w:val="24"/>
          <w:szCs w:val="24"/>
        </w:rPr>
        <w:t xml:space="preserve"> showed suspicious lesions on the right ovarian surface, and bilateral </w:t>
      </w:r>
      <w:proofErr w:type="spellStart"/>
      <w:r w:rsidR="00B64089" w:rsidRPr="00B64089">
        <w:rPr>
          <w:rFonts w:ascii="Times New Roman" w:eastAsia="宋体" w:hAnsi="Times New Roman" w:cs="Times New Roman"/>
          <w:color w:val="212121"/>
          <w:kern w:val="0"/>
          <w:sz w:val="24"/>
          <w:szCs w:val="24"/>
        </w:rPr>
        <w:t>salpingo</w:t>
      </w:r>
      <w:proofErr w:type="spellEnd"/>
      <w:r w:rsidR="00B64089" w:rsidRPr="00B64089">
        <w:rPr>
          <w:rFonts w:ascii="Times New Roman" w:eastAsia="宋体" w:hAnsi="Times New Roman" w:cs="Times New Roman"/>
          <w:color w:val="212121"/>
          <w:kern w:val="0"/>
          <w:sz w:val="24"/>
          <w:szCs w:val="24"/>
        </w:rPr>
        <w:t xml:space="preserve">-oophorectomy was performed; pathology confirmed ovarian metastatic adenocarcinoma. A third </w:t>
      </w:r>
      <w:proofErr w:type="spellStart"/>
      <w:r w:rsidR="00B64089" w:rsidRPr="00B64089">
        <w:rPr>
          <w:rFonts w:ascii="Times New Roman" w:eastAsia="宋体" w:hAnsi="Times New Roman" w:cs="Times New Roman"/>
          <w:color w:val="212121"/>
          <w:kern w:val="0"/>
          <w:sz w:val="24"/>
          <w:szCs w:val="24"/>
        </w:rPr>
        <w:t>satri</w:t>
      </w:r>
      <w:proofErr w:type="spellEnd"/>
      <w:r w:rsidR="00B64089" w:rsidRPr="00B64089">
        <w:rPr>
          <w:rFonts w:ascii="Times New Roman" w:eastAsia="宋体" w:hAnsi="Times New Roman" w:cs="Times New Roman"/>
          <w:color w:val="212121"/>
          <w:kern w:val="0"/>
          <w:sz w:val="24"/>
          <w:szCs w:val="24"/>
        </w:rPr>
        <w:t xml:space="preserve">-cel infusion was administered in September 2023. </w:t>
      </w:r>
      <w:r w:rsidR="00DD6233" w:rsidRPr="00DD6233">
        <w:rPr>
          <w:rFonts w:ascii="Times New Roman" w:eastAsia="宋体" w:hAnsi="Times New Roman" w:cs="Times New Roman"/>
          <w:color w:val="212121"/>
          <w:kern w:val="0"/>
          <w:sz w:val="24"/>
          <w:szCs w:val="24"/>
        </w:rPr>
        <w:t xml:space="preserve">Grade 1 CRS occurred after each of the three </w:t>
      </w:r>
      <w:proofErr w:type="spellStart"/>
      <w:r w:rsidR="00DD6233" w:rsidRPr="00DD6233">
        <w:rPr>
          <w:rFonts w:ascii="Times New Roman" w:eastAsia="宋体" w:hAnsi="Times New Roman" w:cs="Times New Roman"/>
          <w:color w:val="212121"/>
          <w:kern w:val="0"/>
          <w:sz w:val="24"/>
          <w:szCs w:val="24"/>
        </w:rPr>
        <w:t>satri</w:t>
      </w:r>
      <w:proofErr w:type="spellEnd"/>
      <w:r w:rsidR="00DD6233" w:rsidRPr="00DD6233">
        <w:rPr>
          <w:rFonts w:ascii="Times New Roman" w:eastAsia="宋体" w:hAnsi="Times New Roman" w:cs="Times New Roman"/>
          <w:color w:val="212121"/>
          <w:kern w:val="0"/>
          <w:sz w:val="24"/>
          <w:szCs w:val="24"/>
        </w:rPr>
        <w:t>-cel infusions, and all events resolved with supportive care.</w:t>
      </w:r>
      <w:r w:rsidR="00DD6233">
        <w:rPr>
          <w:rFonts w:ascii="Times New Roman" w:eastAsia="宋体" w:hAnsi="Times New Roman" w:cs="Times New Roman" w:hint="eastAsia"/>
          <w:color w:val="212121"/>
          <w:kern w:val="0"/>
          <w:sz w:val="24"/>
          <w:szCs w:val="24"/>
        </w:rPr>
        <w:t xml:space="preserve"> </w:t>
      </w:r>
      <w:r w:rsidRPr="00FA2DA1">
        <w:rPr>
          <w:rFonts w:ascii="Times New Roman" w:eastAsia="宋体" w:hAnsi="Times New Roman" w:cs="Times New Roman" w:hint="eastAsia"/>
          <w:color w:val="212121"/>
          <w:kern w:val="0"/>
          <w:sz w:val="24"/>
          <w:szCs w:val="24"/>
        </w:rPr>
        <w:t>Follow-up CT on December 15, 2023 (24 months after the first infusion) demonstrated progressive peritoneal thickening, increased/enlarged nodular lesions, newly identified abdominal wall and subcutaneous nodules, and newly enlarged lymph nodes adjacent to the splenic vein, superior mesenteric vein, and presacral region, leading to PD assessment and treatment adjustment.</w:t>
      </w:r>
      <w:r w:rsidR="005A1F21">
        <w:rPr>
          <w:rFonts w:ascii="Times New Roman" w:eastAsia="宋体" w:hAnsi="Times New Roman" w:cs="Times New Roman" w:hint="eastAsia"/>
          <w:color w:val="212121"/>
          <w:kern w:val="0"/>
          <w:sz w:val="24"/>
          <w:szCs w:val="24"/>
        </w:rPr>
        <w:t xml:space="preserve"> </w:t>
      </w:r>
      <w:r w:rsidR="00201B39" w:rsidRPr="00201B39">
        <w:rPr>
          <w:rFonts w:ascii="Times New Roman" w:eastAsia="宋体" w:hAnsi="Times New Roman" w:cs="Times New Roman"/>
          <w:color w:val="212121"/>
          <w:kern w:val="0"/>
          <w:sz w:val="24"/>
          <w:szCs w:val="24"/>
        </w:rPr>
        <w:t>As of the latest follow-up on August 26, 2025, the patient was alive, with an overall survival (OS) of 44 months.</w:t>
      </w:r>
    </w:p>
    <w:p w14:paraId="0F613745" w14:textId="72EC1688" w:rsidR="00D8451F" w:rsidRDefault="00D8451F" w:rsidP="00C352FC">
      <w:pPr>
        <w:widowControl/>
        <w:shd w:val="clear" w:color="auto" w:fill="FFFFFF"/>
        <w:spacing w:after="0" w:line="480" w:lineRule="auto"/>
        <w:jc w:val="left"/>
        <w:rPr>
          <w:rFonts w:ascii="Times New Roman" w:eastAsia="宋体" w:hAnsi="Times New Roman" w:cs="Times New Roman"/>
          <w:color w:val="212121"/>
          <w:kern w:val="0"/>
          <w:sz w:val="24"/>
          <w:szCs w:val="24"/>
        </w:rPr>
      </w:pPr>
    </w:p>
    <w:p w14:paraId="554FBDC8" w14:textId="77777777" w:rsidR="00250832" w:rsidRPr="00AE061E" w:rsidRDefault="00754503" w:rsidP="00754503">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hint="eastAsia"/>
          <w:b/>
          <w:bCs/>
          <w:color w:val="212121"/>
          <w:kern w:val="0"/>
          <w:sz w:val="24"/>
          <w:szCs w:val="24"/>
        </w:rPr>
        <w:t>Case 3:</w:t>
      </w:r>
      <w:r w:rsidR="00D2450D" w:rsidRPr="00AE061E">
        <w:rPr>
          <w:rFonts w:ascii="Times New Roman" w:eastAsia="宋体" w:hAnsi="Times New Roman" w:cs="Times New Roman" w:hint="eastAsia"/>
          <w:b/>
          <w:bCs/>
          <w:color w:val="212121"/>
          <w:kern w:val="0"/>
          <w:sz w:val="24"/>
          <w:szCs w:val="24"/>
        </w:rPr>
        <w:t xml:space="preserve"> </w:t>
      </w:r>
    </w:p>
    <w:p w14:paraId="3C06F99C" w14:textId="549B2597" w:rsidR="00754503" w:rsidRPr="00754503" w:rsidRDefault="00754503" w:rsidP="00754503">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54503">
        <w:rPr>
          <w:rFonts w:ascii="Times New Roman" w:eastAsia="宋体" w:hAnsi="Times New Roman" w:cs="Times New Roman" w:hint="eastAsia"/>
          <w:color w:val="212121"/>
          <w:kern w:val="0"/>
          <w:sz w:val="24"/>
          <w:szCs w:val="24"/>
        </w:rPr>
        <w:t xml:space="preserve">A 48-year-old woman was found to have a lesion along the greater curvature of the lower gastric body on gastroscopy. </w:t>
      </w:r>
      <w:r w:rsidR="00A9698B" w:rsidRPr="00A9698B">
        <w:rPr>
          <w:rFonts w:ascii="Times New Roman" w:eastAsia="宋体" w:hAnsi="Times New Roman" w:cs="Times New Roman"/>
          <w:color w:val="212121"/>
          <w:kern w:val="0"/>
          <w:sz w:val="24"/>
          <w:szCs w:val="24"/>
        </w:rPr>
        <w:t xml:space="preserve">Exploratory laparotomy on October 24, 2019 revealed five involved sites, including the right upper abdomen, left upper abdomen, right abdominal </w:t>
      </w:r>
      <w:r w:rsidR="00A9698B" w:rsidRPr="00A9698B">
        <w:rPr>
          <w:rFonts w:ascii="Times New Roman" w:eastAsia="宋体" w:hAnsi="Times New Roman" w:cs="Times New Roman"/>
          <w:color w:val="212121"/>
          <w:kern w:val="0"/>
          <w:sz w:val="24"/>
          <w:szCs w:val="24"/>
        </w:rPr>
        <w:lastRenderedPageBreak/>
        <w:t xml:space="preserve">cavity, </w:t>
      </w:r>
      <w:proofErr w:type="spellStart"/>
      <w:r w:rsidR="00A9698B" w:rsidRPr="00A9698B">
        <w:rPr>
          <w:rFonts w:ascii="Times New Roman" w:eastAsia="宋体" w:hAnsi="Times New Roman" w:cs="Times New Roman"/>
          <w:color w:val="212121"/>
          <w:kern w:val="0"/>
          <w:sz w:val="24"/>
          <w:szCs w:val="24"/>
        </w:rPr>
        <w:t>omentum</w:t>
      </w:r>
      <w:proofErr w:type="spellEnd"/>
      <w:r w:rsidR="00A9698B" w:rsidRPr="00A9698B">
        <w:rPr>
          <w:rFonts w:ascii="Times New Roman" w:eastAsia="宋体" w:hAnsi="Times New Roman" w:cs="Times New Roman"/>
          <w:color w:val="212121"/>
          <w:kern w:val="0"/>
          <w:sz w:val="24"/>
          <w:szCs w:val="24"/>
        </w:rPr>
        <w:t>/mesentery, and ileocecal region.</w:t>
      </w:r>
      <w:r w:rsidR="00A9698B">
        <w:rPr>
          <w:rFonts w:ascii="Times New Roman" w:eastAsia="宋体" w:hAnsi="Times New Roman" w:cs="Times New Roman" w:hint="eastAsia"/>
          <w:color w:val="212121"/>
          <w:kern w:val="0"/>
          <w:sz w:val="24"/>
          <w:szCs w:val="24"/>
        </w:rPr>
        <w:t xml:space="preserve"> </w:t>
      </w:r>
      <w:r w:rsidRPr="00754503">
        <w:rPr>
          <w:rFonts w:ascii="Times New Roman" w:eastAsia="宋体" w:hAnsi="Times New Roman" w:cs="Times New Roman" w:hint="eastAsia"/>
          <w:color w:val="212121"/>
          <w:kern w:val="0"/>
          <w:sz w:val="24"/>
          <w:szCs w:val="24"/>
        </w:rPr>
        <w:t>Palliative distal subtotal gastrectomy with D2 lymphadenectomy, omentectomy, right hemicolectomy and intraoperative HIPEC with oxaliplatin were performed, and the disease was staged as pT4aN0M1.</w:t>
      </w:r>
    </w:p>
    <w:p w14:paraId="67229B87" w14:textId="370FB618" w:rsidR="00754503" w:rsidRPr="00754503" w:rsidRDefault="00754503" w:rsidP="00754503">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54503">
        <w:rPr>
          <w:rFonts w:ascii="Times New Roman" w:eastAsia="宋体" w:hAnsi="Times New Roman" w:cs="Times New Roman" w:hint="eastAsia"/>
          <w:color w:val="212121"/>
          <w:kern w:val="0"/>
          <w:sz w:val="24"/>
          <w:szCs w:val="24"/>
        </w:rPr>
        <w:t>Histopathological examination confirmed ulcerative poorly differentiated adenocarcinoma with signet-ring cell carcinoma components in the gastric body, and the right hemicolectomy specimen was consistent with metastatic gastric cancer. The patient received 8 cycles of S-1 plus oxaliplatin chemotherapy starting</w:t>
      </w:r>
      <w:r w:rsidR="00EE39DF">
        <w:rPr>
          <w:rFonts w:ascii="Times New Roman" w:eastAsia="宋体" w:hAnsi="Times New Roman" w:cs="Times New Roman" w:hint="eastAsia"/>
          <w:color w:val="212121"/>
          <w:kern w:val="0"/>
          <w:sz w:val="24"/>
          <w:szCs w:val="24"/>
        </w:rPr>
        <w:t xml:space="preserve"> on</w:t>
      </w:r>
      <w:r w:rsidRPr="00754503">
        <w:rPr>
          <w:rFonts w:ascii="Times New Roman" w:eastAsia="宋体" w:hAnsi="Times New Roman" w:cs="Times New Roman" w:hint="eastAsia"/>
          <w:color w:val="212121"/>
          <w:kern w:val="0"/>
          <w:sz w:val="24"/>
          <w:szCs w:val="24"/>
        </w:rPr>
        <w:t xml:space="preserve"> November 29, 2019. PET/CT in August 2021 showed anastomotic recurrence, definite peritoneal metastases and suspected </w:t>
      </w:r>
      <w:r w:rsidR="00694677" w:rsidRPr="007A3659">
        <w:rPr>
          <w:rFonts w:ascii="Times New Roman" w:eastAsia="宋体" w:hAnsi="Times New Roman" w:cs="Times New Roman"/>
          <w:color w:val="212121"/>
          <w:kern w:val="0"/>
          <w:sz w:val="24"/>
          <w:szCs w:val="24"/>
        </w:rPr>
        <w:t xml:space="preserve">ovarian </w:t>
      </w:r>
      <w:r w:rsidRPr="00754503">
        <w:rPr>
          <w:rFonts w:ascii="Times New Roman" w:eastAsia="宋体" w:hAnsi="Times New Roman" w:cs="Times New Roman" w:hint="eastAsia"/>
          <w:color w:val="212121"/>
          <w:kern w:val="0"/>
          <w:sz w:val="24"/>
          <w:szCs w:val="24"/>
        </w:rPr>
        <w:t>metastases. She then received 2 cycles of intraperitoneal nab-paclitaxel perfusion and 3 cycles of systemic FOLFOX4 chemotherapy, followed by confirmed disease progression.</w:t>
      </w:r>
    </w:p>
    <w:p w14:paraId="0B32E1DD" w14:textId="6729E796" w:rsidR="00754503" w:rsidRPr="00754503" w:rsidRDefault="00754503" w:rsidP="00754503">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54503">
        <w:rPr>
          <w:rFonts w:ascii="Times New Roman" w:eastAsia="宋体" w:hAnsi="Times New Roman" w:cs="Times New Roman" w:hint="eastAsia"/>
          <w:color w:val="212121"/>
          <w:kern w:val="0"/>
          <w:sz w:val="24"/>
          <w:szCs w:val="24"/>
        </w:rPr>
        <w:t xml:space="preserve">CLDN18.2 testing showed IHC 2+ expression in 90% of tumor cells, meeting the trial eligibility criteria. Leukapheresis was performed on November 3, 2021. Baseline abdominal CT on December 9, 2021 showed mild anastomotic wall thickening and enhanced right upper abdominal intestinal wall thickening. The patient was admitted on December 13, 2021 with worsening abdominal distension and incomplete intestinal obstruction. After preconditioning lymphodepletion with fludarabine, cyclophosphamide and nab-paclitaxel, she received </w:t>
      </w:r>
      <w:proofErr w:type="spellStart"/>
      <w:r w:rsidRPr="00754503">
        <w:rPr>
          <w:rFonts w:ascii="Times New Roman" w:eastAsia="宋体" w:hAnsi="Times New Roman" w:cs="Times New Roman" w:hint="eastAsia"/>
          <w:color w:val="212121"/>
          <w:kern w:val="0"/>
          <w:sz w:val="24"/>
          <w:szCs w:val="24"/>
        </w:rPr>
        <w:t>satri</w:t>
      </w:r>
      <w:proofErr w:type="spellEnd"/>
      <w:r w:rsidRPr="00754503">
        <w:rPr>
          <w:rFonts w:ascii="Times New Roman" w:eastAsia="宋体" w:hAnsi="Times New Roman" w:cs="Times New Roman" w:hint="eastAsia"/>
          <w:color w:val="212121"/>
          <w:kern w:val="0"/>
          <w:sz w:val="24"/>
          <w:szCs w:val="24"/>
        </w:rPr>
        <w:t xml:space="preserve">-cel infusion </w:t>
      </w:r>
      <w:r w:rsidR="007956D3" w:rsidRPr="007956D3">
        <w:rPr>
          <w:rFonts w:ascii="Times New Roman" w:eastAsia="宋体" w:hAnsi="Times New Roman" w:cs="Times New Roman"/>
          <w:color w:val="212121"/>
          <w:kern w:val="0"/>
          <w:sz w:val="24"/>
          <w:szCs w:val="24"/>
        </w:rPr>
        <w:t xml:space="preserve">(250 × 10⁶ cells) </w:t>
      </w:r>
      <w:r w:rsidRPr="00754503">
        <w:rPr>
          <w:rFonts w:ascii="Times New Roman" w:eastAsia="宋体" w:hAnsi="Times New Roman" w:cs="Times New Roman" w:hint="eastAsia"/>
          <w:color w:val="212121"/>
          <w:kern w:val="0"/>
          <w:sz w:val="24"/>
          <w:szCs w:val="24"/>
        </w:rPr>
        <w:t xml:space="preserve">on December 17, 2021. </w:t>
      </w:r>
    </w:p>
    <w:p w14:paraId="015AA6B9" w14:textId="095DBC68" w:rsidR="00754503" w:rsidRPr="00754503" w:rsidRDefault="00754503" w:rsidP="00754503">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54503">
        <w:rPr>
          <w:rFonts w:ascii="Times New Roman" w:eastAsia="宋体" w:hAnsi="Times New Roman" w:cs="Times New Roman" w:hint="eastAsia"/>
          <w:color w:val="212121"/>
          <w:kern w:val="0"/>
          <w:sz w:val="24"/>
          <w:szCs w:val="24"/>
        </w:rPr>
        <w:t xml:space="preserve">Abdominal CT on January 13, 2022 showed </w:t>
      </w:r>
      <w:r w:rsidR="00BB08B2" w:rsidRPr="00BB08B2">
        <w:rPr>
          <w:rFonts w:ascii="Times New Roman" w:eastAsia="宋体" w:hAnsi="Times New Roman" w:cs="Times New Roman"/>
          <w:color w:val="212121"/>
          <w:kern w:val="0"/>
          <w:sz w:val="24"/>
          <w:szCs w:val="24"/>
        </w:rPr>
        <w:t>improvement in intestinal wall thickening, small bowel obstruction, and ascites</w:t>
      </w:r>
      <w:r w:rsidRPr="00754503">
        <w:rPr>
          <w:rFonts w:ascii="Times New Roman" w:eastAsia="宋体" w:hAnsi="Times New Roman" w:cs="Times New Roman" w:hint="eastAsia"/>
          <w:color w:val="212121"/>
          <w:kern w:val="0"/>
          <w:sz w:val="24"/>
          <w:szCs w:val="24"/>
        </w:rPr>
        <w:t xml:space="preserve">. CT on April 26, 2022 revealed further remission of abdominal lesions but bilateral </w:t>
      </w:r>
      <w:r w:rsidR="00694677" w:rsidRPr="007A3659">
        <w:rPr>
          <w:rFonts w:ascii="Times New Roman" w:eastAsia="宋体" w:hAnsi="Times New Roman" w:cs="Times New Roman"/>
          <w:color w:val="212121"/>
          <w:kern w:val="0"/>
          <w:sz w:val="24"/>
          <w:szCs w:val="24"/>
        </w:rPr>
        <w:t xml:space="preserve">ovarian </w:t>
      </w:r>
      <w:r w:rsidRPr="00754503">
        <w:rPr>
          <w:rFonts w:ascii="Times New Roman" w:eastAsia="宋体" w:hAnsi="Times New Roman" w:cs="Times New Roman" w:hint="eastAsia"/>
          <w:color w:val="212121"/>
          <w:kern w:val="0"/>
          <w:sz w:val="24"/>
          <w:szCs w:val="24"/>
        </w:rPr>
        <w:t xml:space="preserve">enlargement suspicious for metastases. Laparoscopic exploration on May 20, 2022 showed no abdominopelvic metastatic nodules except enlarged ovaries; </w:t>
      </w:r>
      <w:r w:rsidRPr="00754503">
        <w:rPr>
          <w:rFonts w:ascii="Times New Roman" w:eastAsia="宋体" w:hAnsi="Times New Roman" w:cs="Times New Roman" w:hint="eastAsia"/>
          <w:color w:val="212121"/>
          <w:kern w:val="0"/>
          <w:sz w:val="24"/>
          <w:szCs w:val="24"/>
        </w:rPr>
        <w:lastRenderedPageBreak/>
        <w:t xml:space="preserve">bilateral </w:t>
      </w:r>
      <w:proofErr w:type="spellStart"/>
      <w:r w:rsidRPr="00754503">
        <w:rPr>
          <w:rFonts w:ascii="Times New Roman" w:eastAsia="宋体" w:hAnsi="Times New Roman" w:cs="Times New Roman" w:hint="eastAsia"/>
          <w:color w:val="212121"/>
          <w:kern w:val="0"/>
          <w:sz w:val="24"/>
          <w:szCs w:val="24"/>
        </w:rPr>
        <w:t>salpingo</w:t>
      </w:r>
      <w:proofErr w:type="spellEnd"/>
      <w:r w:rsidRPr="00754503">
        <w:rPr>
          <w:rFonts w:ascii="Times New Roman" w:eastAsia="宋体" w:hAnsi="Times New Roman" w:cs="Times New Roman" w:hint="eastAsia"/>
          <w:color w:val="212121"/>
          <w:kern w:val="0"/>
          <w:sz w:val="24"/>
          <w:szCs w:val="24"/>
        </w:rPr>
        <w:t>-oophorectomy was performed, and pathology confirmed signet-ring cell carcinoma (</w:t>
      </w:r>
      <w:proofErr w:type="spellStart"/>
      <w:r w:rsidRPr="00754503">
        <w:rPr>
          <w:rFonts w:ascii="Times New Roman" w:eastAsia="宋体" w:hAnsi="Times New Roman" w:cs="Times New Roman" w:hint="eastAsia"/>
          <w:color w:val="212121"/>
          <w:kern w:val="0"/>
          <w:sz w:val="24"/>
          <w:szCs w:val="24"/>
        </w:rPr>
        <w:t>Krukenberg</w:t>
      </w:r>
      <w:proofErr w:type="spellEnd"/>
      <w:r w:rsidRPr="00754503">
        <w:rPr>
          <w:rFonts w:ascii="Times New Roman" w:eastAsia="宋体" w:hAnsi="Times New Roman" w:cs="Times New Roman" w:hint="eastAsia"/>
          <w:color w:val="212121"/>
          <w:kern w:val="0"/>
          <w:sz w:val="24"/>
          <w:szCs w:val="24"/>
        </w:rPr>
        <w:t xml:space="preserve"> tumors).</w:t>
      </w:r>
    </w:p>
    <w:p w14:paraId="3D60B224" w14:textId="6664C8B0" w:rsidR="00E67D9D" w:rsidRDefault="00754503" w:rsidP="00E67D9D">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54503">
        <w:rPr>
          <w:rFonts w:ascii="Times New Roman" w:eastAsia="宋体" w:hAnsi="Times New Roman" w:cs="Times New Roman" w:hint="eastAsia"/>
          <w:color w:val="212121"/>
          <w:kern w:val="0"/>
          <w:sz w:val="24"/>
          <w:szCs w:val="24"/>
        </w:rPr>
        <w:t xml:space="preserve">The patient received a second </w:t>
      </w:r>
      <w:proofErr w:type="spellStart"/>
      <w:r w:rsidRPr="00754503">
        <w:rPr>
          <w:rFonts w:ascii="Times New Roman" w:eastAsia="宋体" w:hAnsi="Times New Roman" w:cs="Times New Roman" w:hint="eastAsia"/>
          <w:color w:val="212121"/>
          <w:kern w:val="0"/>
          <w:sz w:val="24"/>
          <w:szCs w:val="24"/>
        </w:rPr>
        <w:t>satri</w:t>
      </w:r>
      <w:proofErr w:type="spellEnd"/>
      <w:r w:rsidRPr="00754503">
        <w:rPr>
          <w:rFonts w:ascii="Times New Roman" w:eastAsia="宋体" w:hAnsi="Times New Roman" w:cs="Times New Roman" w:hint="eastAsia"/>
          <w:color w:val="212121"/>
          <w:kern w:val="0"/>
          <w:sz w:val="24"/>
          <w:szCs w:val="24"/>
        </w:rPr>
        <w:t>-cel infusion on January 13, 2023 due to recurrent abdominal pain and distension. On November 30, 2023, she presented with vomiting and intestinal obstruction. Exploratory laparotomy on December 18, 2023 revealed small intestinal tumor invasion and metastatic nodules, and the involved bowel segments were resected. A third CAR T-cell infusion was administered on April 1, 2024.</w:t>
      </w:r>
      <w:r w:rsidR="00F12934">
        <w:rPr>
          <w:rFonts w:ascii="Times New Roman" w:eastAsia="宋体" w:hAnsi="Times New Roman" w:cs="Times New Roman" w:hint="eastAsia"/>
          <w:color w:val="212121"/>
          <w:kern w:val="0"/>
          <w:sz w:val="24"/>
          <w:szCs w:val="24"/>
        </w:rPr>
        <w:t xml:space="preserve"> </w:t>
      </w:r>
      <w:r w:rsidR="00F12934" w:rsidRPr="00F12934">
        <w:rPr>
          <w:rFonts w:ascii="Times New Roman" w:eastAsia="宋体" w:hAnsi="Times New Roman" w:cs="Times New Roman"/>
          <w:color w:val="212121"/>
          <w:kern w:val="0"/>
          <w:sz w:val="24"/>
          <w:szCs w:val="24"/>
        </w:rPr>
        <w:t xml:space="preserve">The patient developed grade 2, grade 1, and grade 2 CRS after the first, second, and third </w:t>
      </w:r>
      <w:proofErr w:type="spellStart"/>
      <w:r w:rsidR="00F12934" w:rsidRPr="00F12934">
        <w:rPr>
          <w:rFonts w:ascii="Times New Roman" w:eastAsia="宋体" w:hAnsi="Times New Roman" w:cs="Times New Roman"/>
          <w:color w:val="212121"/>
          <w:kern w:val="0"/>
          <w:sz w:val="24"/>
          <w:szCs w:val="24"/>
        </w:rPr>
        <w:t>satri</w:t>
      </w:r>
      <w:proofErr w:type="spellEnd"/>
      <w:r w:rsidR="00F12934" w:rsidRPr="00F12934">
        <w:rPr>
          <w:rFonts w:ascii="Times New Roman" w:eastAsia="宋体" w:hAnsi="Times New Roman" w:cs="Times New Roman"/>
          <w:color w:val="212121"/>
          <w:kern w:val="0"/>
          <w:sz w:val="24"/>
          <w:szCs w:val="24"/>
        </w:rPr>
        <w:t>-cel infusions, respectively, all of which resolved with supportive care. After the third infusion, she also developed grade 2 gastric mucosal injury, which was considered an on-target/off-tumor gastric toxicity and resolved with proton pump inhibitor-based supportive treatment.</w:t>
      </w:r>
      <w:r w:rsidRPr="00754503">
        <w:rPr>
          <w:rFonts w:ascii="Times New Roman" w:eastAsia="宋体" w:hAnsi="Times New Roman" w:cs="Times New Roman" w:hint="eastAsia"/>
          <w:color w:val="212121"/>
          <w:kern w:val="0"/>
          <w:sz w:val="24"/>
          <w:szCs w:val="24"/>
        </w:rPr>
        <w:t xml:space="preserve"> New antitumor therapy was initiated on June 5, 2024 due to disease progression, and the patient died on November 28, 2024</w:t>
      </w:r>
      <w:r w:rsidR="005F2C94">
        <w:rPr>
          <w:rFonts w:ascii="Times New Roman" w:eastAsia="宋体" w:hAnsi="Times New Roman" w:cs="Times New Roman" w:hint="eastAsia"/>
          <w:color w:val="212121"/>
          <w:kern w:val="0"/>
          <w:sz w:val="24"/>
          <w:szCs w:val="24"/>
        </w:rPr>
        <w:t xml:space="preserve">, </w:t>
      </w:r>
      <w:r w:rsidR="005F2C94" w:rsidRPr="00576098">
        <w:rPr>
          <w:rFonts w:ascii="Times New Roman" w:eastAsia="宋体" w:hAnsi="Times New Roman" w:cs="Times New Roman"/>
          <w:color w:val="212121"/>
          <w:kern w:val="0"/>
          <w:sz w:val="24"/>
          <w:szCs w:val="24"/>
        </w:rPr>
        <w:t xml:space="preserve">with an </w:t>
      </w:r>
      <w:r w:rsidR="005F2C94" w:rsidRPr="00576098">
        <w:rPr>
          <w:rFonts w:ascii="Times New Roman" w:eastAsia="宋体" w:hAnsi="Times New Roman" w:cs="Times New Roman" w:hint="eastAsia"/>
          <w:color w:val="212121"/>
          <w:kern w:val="0"/>
          <w:sz w:val="24"/>
          <w:szCs w:val="24"/>
        </w:rPr>
        <w:t>OS</w:t>
      </w:r>
      <w:r w:rsidR="005F2C94" w:rsidRPr="00576098">
        <w:rPr>
          <w:rFonts w:ascii="Times New Roman" w:eastAsia="宋体" w:hAnsi="Times New Roman" w:cs="Times New Roman"/>
          <w:color w:val="212121"/>
          <w:kern w:val="0"/>
          <w:sz w:val="24"/>
          <w:szCs w:val="24"/>
        </w:rPr>
        <w:t xml:space="preserve"> of </w:t>
      </w:r>
      <w:r w:rsidR="005F2C94" w:rsidRPr="00576098">
        <w:rPr>
          <w:rFonts w:ascii="Times New Roman" w:eastAsia="宋体" w:hAnsi="Times New Roman" w:cs="Times New Roman" w:hint="eastAsia"/>
          <w:color w:val="212121"/>
          <w:kern w:val="0"/>
          <w:sz w:val="24"/>
          <w:szCs w:val="24"/>
        </w:rPr>
        <w:t>35</w:t>
      </w:r>
      <w:r w:rsidR="005F2C94" w:rsidRPr="00576098">
        <w:rPr>
          <w:rFonts w:ascii="Times New Roman" w:eastAsia="宋体" w:hAnsi="Times New Roman" w:cs="Times New Roman"/>
          <w:color w:val="212121"/>
          <w:kern w:val="0"/>
          <w:sz w:val="24"/>
          <w:szCs w:val="24"/>
        </w:rPr>
        <w:t xml:space="preserve"> months</w:t>
      </w:r>
      <w:r w:rsidR="00180EFE" w:rsidRPr="00576098">
        <w:rPr>
          <w:rFonts w:ascii="Times New Roman" w:eastAsia="宋体" w:hAnsi="Times New Roman" w:cs="Times New Roman" w:hint="eastAsia"/>
          <w:color w:val="212121"/>
          <w:kern w:val="0"/>
          <w:sz w:val="24"/>
          <w:szCs w:val="24"/>
        </w:rPr>
        <w:t>.</w:t>
      </w:r>
    </w:p>
    <w:p w14:paraId="538A77AD" w14:textId="77777777" w:rsidR="00AE061E" w:rsidRDefault="00AE061E" w:rsidP="00E67D9D">
      <w:pPr>
        <w:widowControl/>
        <w:shd w:val="clear" w:color="auto" w:fill="FFFFFF"/>
        <w:spacing w:after="0" w:line="480" w:lineRule="auto"/>
        <w:jc w:val="left"/>
        <w:rPr>
          <w:rFonts w:ascii="Times New Roman" w:eastAsia="宋体" w:hAnsi="Times New Roman" w:cs="Times New Roman"/>
          <w:color w:val="212121"/>
          <w:kern w:val="0"/>
          <w:sz w:val="24"/>
          <w:szCs w:val="24"/>
        </w:rPr>
      </w:pPr>
    </w:p>
    <w:p w14:paraId="26F6AA65" w14:textId="235DDC3E" w:rsidR="00AE061E" w:rsidRDefault="00AE061E" w:rsidP="00E67D9D">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b/>
          <w:bCs/>
          <w:color w:val="212121"/>
          <w:kern w:val="0"/>
          <w:sz w:val="24"/>
          <w:szCs w:val="24"/>
        </w:rPr>
        <w:t xml:space="preserve">Supplementary Table S1. </w:t>
      </w:r>
      <w:r w:rsidR="00CD6B61">
        <w:rPr>
          <w:rFonts w:ascii="Times New Roman" w:eastAsia="宋体" w:hAnsi="Times New Roman" w:cs="Times New Roman" w:hint="eastAsia"/>
          <w:b/>
          <w:bCs/>
          <w:color w:val="212121"/>
          <w:kern w:val="0"/>
          <w:sz w:val="24"/>
          <w:szCs w:val="24"/>
        </w:rPr>
        <w:t>P</w:t>
      </w:r>
      <w:r w:rsidR="00CA5BE3" w:rsidRPr="00CA5BE3">
        <w:rPr>
          <w:rFonts w:ascii="Times New Roman" w:eastAsia="宋体" w:hAnsi="Times New Roman" w:cs="Times New Roman"/>
          <w:b/>
          <w:bCs/>
          <w:color w:val="212121"/>
          <w:kern w:val="0"/>
          <w:sz w:val="24"/>
          <w:szCs w:val="24"/>
        </w:rPr>
        <w:t>eritoneal cancer index (PCI) and</w:t>
      </w:r>
      <w:r w:rsidR="00873BF2">
        <w:rPr>
          <w:rFonts w:ascii="Times New Roman" w:eastAsia="宋体" w:hAnsi="Times New Roman" w:cs="Times New Roman" w:hint="eastAsia"/>
          <w:b/>
          <w:bCs/>
          <w:color w:val="212121"/>
          <w:kern w:val="0"/>
          <w:sz w:val="24"/>
          <w:szCs w:val="24"/>
        </w:rPr>
        <w:t xml:space="preserve"> involved</w:t>
      </w:r>
      <w:r w:rsidR="00CA5BE3" w:rsidRPr="00CA5BE3">
        <w:rPr>
          <w:rFonts w:ascii="Times New Roman" w:eastAsia="宋体" w:hAnsi="Times New Roman" w:cs="Times New Roman"/>
          <w:b/>
          <w:bCs/>
          <w:color w:val="212121"/>
          <w:kern w:val="0"/>
          <w:sz w:val="24"/>
          <w:szCs w:val="24"/>
        </w:rPr>
        <w:t xml:space="preserve"> site assessment based on operative records</w:t>
      </w:r>
    </w:p>
    <w:p w14:paraId="57D9C494" w14:textId="717C17DB" w:rsidR="00AE061E" w:rsidRPr="00BB6EEE" w:rsidRDefault="00BB6EEE" w:rsidP="00E67D9D">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BB6EEE">
        <w:rPr>
          <w:rFonts w:ascii="Times New Roman" w:eastAsia="宋体" w:hAnsi="Times New Roman" w:cs="Times New Roman"/>
          <w:color w:val="212121"/>
          <w:kern w:val="0"/>
          <w:sz w:val="24"/>
          <w:szCs w:val="24"/>
        </w:rPr>
        <w:t xml:space="preserve">PCI was assessed from available operative records. PCI was calculated when the record provided sufficient region-based information. When baseline PCI could not be reliably calculated, peritoneal disease burden was summarized semi-quantitatively by the number and location of documented involved sites. </w:t>
      </w:r>
      <w:r w:rsidR="006B3687" w:rsidRPr="006B3687">
        <w:rPr>
          <w:rFonts w:ascii="Times New Roman" w:eastAsia="宋体" w:hAnsi="Times New Roman" w:cs="Times New Roman"/>
          <w:color w:val="212121"/>
          <w:kern w:val="0"/>
          <w:sz w:val="24"/>
          <w:szCs w:val="24"/>
        </w:rPr>
        <w:t>For Case 3, the baseline PCI and site assessment were derived from the initial operative record before palliative resection and HIPEC.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6"/>
        <w:gridCol w:w="1883"/>
        <w:gridCol w:w="4677"/>
        <w:gridCol w:w="1650"/>
      </w:tblGrid>
      <w:tr w:rsidR="00AE061E" w:rsidRPr="00AE061E" w14:paraId="6C060CBE" w14:textId="77777777" w:rsidTr="00460DB0">
        <w:trPr>
          <w:tblHeader/>
        </w:trPr>
        <w:tc>
          <w:tcPr>
            <w:tcW w:w="806" w:type="dxa"/>
            <w:vAlign w:val="center"/>
            <w:hideMark/>
          </w:tcPr>
          <w:p w14:paraId="2CF5B3EE" w14:textId="77777777" w:rsidR="00AE061E" w:rsidRPr="00AE061E" w:rsidRDefault="00AE061E" w:rsidP="00AE061E">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b/>
                <w:bCs/>
                <w:color w:val="212121"/>
                <w:kern w:val="0"/>
                <w:sz w:val="24"/>
                <w:szCs w:val="24"/>
              </w:rPr>
              <w:lastRenderedPageBreak/>
              <w:t>Case</w:t>
            </w:r>
          </w:p>
        </w:tc>
        <w:tc>
          <w:tcPr>
            <w:tcW w:w="1883" w:type="dxa"/>
            <w:vAlign w:val="center"/>
            <w:hideMark/>
          </w:tcPr>
          <w:p w14:paraId="69046C81" w14:textId="77777777" w:rsidR="00AE061E" w:rsidRPr="00AE061E" w:rsidRDefault="00AE061E" w:rsidP="00AE061E">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b/>
                <w:bCs/>
                <w:color w:val="212121"/>
                <w:kern w:val="0"/>
                <w:sz w:val="24"/>
                <w:szCs w:val="24"/>
              </w:rPr>
              <w:t>Time point</w:t>
            </w:r>
          </w:p>
        </w:tc>
        <w:tc>
          <w:tcPr>
            <w:tcW w:w="4677" w:type="dxa"/>
            <w:vAlign w:val="center"/>
            <w:hideMark/>
          </w:tcPr>
          <w:p w14:paraId="09A4C446" w14:textId="77777777" w:rsidR="00AE061E" w:rsidRPr="00AE061E" w:rsidRDefault="00AE061E" w:rsidP="00AE061E">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sidRPr="00AE061E">
              <w:rPr>
                <w:rFonts w:ascii="Times New Roman" w:eastAsia="宋体" w:hAnsi="Times New Roman" w:cs="Times New Roman"/>
                <w:b/>
                <w:bCs/>
                <w:color w:val="212121"/>
                <w:kern w:val="0"/>
                <w:sz w:val="24"/>
                <w:szCs w:val="24"/>
              </w:rPr>
              <w:t>Operative findings</w:t>
            </w:r>
          </w:p>
        </w:tc>
        <w:tc>
          <w:tcPr>
            <w:tcW w:w="1650" w:type="dxa"/>
            <w:vAlign w:val="center"/>
            <w:hideMark/>
          </w:tcPr>
          <w:p w14:paraId="110A58C5" w14:textId="355738A8" w:rsidR="00AE061E" w:rsidRPr="00AE061E" w:rsidRDefault="00A461F2" w:rsidP="00AE061E">
            <w:pPr>
              <w:widowControl/>
              <w:shd w:val="clear" w:color="auto" w:fill="FFFFFF"/>
              <w:spacing w:after="0" w:line="480" w:lineRule="auto"/>
              <w:jc w:val="left"/>
              <w:rPr>
                <w:rFonts w:ascii="Times New Roman" w:eastAsia="宋体" w:hAnsi="Times New Roman" w:cs="Times New Roman"/>
                <w:b/>
                <w:bCs/>
                <w:color w:val="212121"/>
                <w:kern w:val="0"/>
                <w:sz w:val="24"/>
                <w:szCs w:val="24"/>
              </w:rPr>
            </w:pPr>
            <w:r>
              <w:rPr>
                <w:rFonts w:ascii="Times New Roman" w:eastAsia="宋体" w:hAnsi="Times New Roman" w:cs="Times New Roman" w:hint="eastAsia"/>
                <w:b/>
                <w:bCs/>
                <w:color w:val="212121"/>
                <w:kern w:val="0"/>
                <w:sz w:val="24"/>
                <w:szCs w:val="24"/>
              </w:rPr>
              <w:t>P</w:t>
            </w:r>
            <w:r w:rsidRPr="00CA5BE3">
              <w:rPr>
                <w:rFonts w:ascii="Times New Roman" w:eastAsia="宋体" w:hAnsi="Times New Roman" w:cs="Times New Roman"/>
                <w:b/>
                <w:bCs/>
                <w:color w:val="212121"/>
                <w:kern w:val="0"/>
                <w:sz w:val="24"/>
                <w:szCs w:val="24"/>
              </w:rPr>
              <w:t>eritoneal</w:t>
            </w:r>
            <w:r w:rsidRPr="00AE061E">
              <w:rPr>
                <w:rFonts w:ascii="Times New Roman" w:eastAsia="宋体" w:hAnsi="Times New Roman" w:cs="Times New Roman"/>
                <w:b/>
                <w:bCs/>
                <w:color w:val="212121"/>
                <w:kern w:val="0"/>
                <w:sz w:val="24"/>
                <w:szCs w:val="24"/>
              </w:rPr>
              <w:t xml:space="preserve"> </w:t>
            </w:r>
            <w:r w:rsidR="00AE061E" w:rsidRPr="00AE061E">
              <w:rPr>
                <w:rFonts w:ascii="Times New Roman" w:eastAsia="宋体" w:hAnsi="Times New Roman" w:cs="Times New Roman"/>
                <w:b/>
                <w:bCs/>
                <w:color w:val="212121"/>
                <w:kern w:val="0"/>
                <w:sz w:val="24"/>
                <w:szCs w:val="24"/>
              </w:rPr>
              <w:t>assessment</w:t>
            </w:r>
          </w:p>
        </w:tc>
      </w:tr>
      <w:tr w:rsidR="003848D4" w:rsidRPr="00AE061E" w14:paraId="260EE4A5" w14:textId="77777777" w:rsidTr="00460DB0">
        <w:tc>
          <w:tcPr>
            <w:tcW w:w="806" w:type="dxa"/>
            <w:vMerge w:val="restart"/>
            <w:vAlign w:val="center"/>
            <w:hideMark/>
          </w:tcPr>
          <w:p w14:paraId="3F23B349" w14:textId="7FA64D4D" w:rsidR="003848D4" w:rsidRPr="00AE061E" w:rsidRDefault="003848D4" w:rsidP="003848D4">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Case 1</w:t>
            </w:r>
          </w:p>
        </w:tc>
        <w:tc>
          <w:tcPr>
            <w:tcW w:w="1883" w:type="dxa"/>
            <w:vAlign w:val="center"/>
            <w:hideMark/>
          </w:tcPr>
          <w:p w14:paraId="0BA84A70" w14:textId="6F5D154B"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June 1, 2021</w:t>
            </w:r>
          </w:p>
          <w:p w14:paraId="57A1BE7A" w14:textId="4D80F4EF"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before </w:t>
            </w:r>
            <w:proofErr w:type="spellStart"/>
            <w:r w:rsidRPr="00AE061E">
              <w:rPr>
                <w:rFonts w:ascii="Times New Roman" w:eastAsia="宋体" w:hAnsi="Times New Roman" w:cs="Times New Roman"/>
                <w:color w:val="212121"/>
                <w:kern w:val="0"/>
                <w:sz w:val="24"/>
                <w:szCs w:val="24"/>
              </w:rPr>
              <w:t>satri</w:t>
            </w:r>
            <w:proofErr w:type="spellEnd"/>
            <w:r w:rsidRPr="00AE061E">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p>
        </w:tc>
        <w:tc>
          <w:tcPr>
            <w:tcW w:w="4677" w:type="dxa"/>
            <w:vAlign w:val="center"/>
            <w:hideMark/>
          </w:tcPr>
          <w:p w14:paraId="0DC69DAA" w14:textId="76383F1D"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0A5473">
              <w:rPr>
                <w:rFonts w:ascii="Times New Roman" w:eastAsia="宋体" w:hAnsi="Times New Roman" w:cs="Times New Roman"/>
                <w:color w:val="212121"/>
                <w:kern w:val="0"/>
                <w:sz w:val="24"/>
                <w:szCs w:val="24"/>
              </w:rPr>
              <w:t>Peritoneal lesions involving the left lower abdomen, pelvis, and right lower abdomen</w:t>
            </w:r>
            <w:r w:rsidRPr="00AE061E">
              <w:rPr>
                <w:rFonts w:ascii="Times New Roman" w:eastAsia="宋体" w:hAnsi="Times New Roman" w:cs="Times New Roman"/>
                <w:color w:val="212121"/>
                <w:kern w:val="0"/>
                <w:sz w:val="24"/>
                <w:szCs w:val="24"/>
              </w:rPr>
              <w:t>; lesion score 3 in each region</w:t>
            </w:r>
          </w:p>
        </w:tc>
        <w:tc>
          <w:tcPr>
            <w:tcW w:w="1650" w:type="dxa"/>
            <w:vAlign w:val="center"/>
            <w:hideMark/>
          </w:tcPr>
          <w:p w14:paraId="179B3F61" w14:textId="7777777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PCI = 9</w:t>
            </w:r>
          </w:p>
        </w:tc>
      </w:tr>
      <w:tr w:rsidR="003848D4" w:rsidRPr="00AE061E" w14:paraId="516EE1F9" w14:textId="77777777" w:rsidTr="00460DB0">
        <w:tc>
          <w:tcPr>
            <w:tcW w:w="806" w:type="dxa"/>
            <w:vMerge/>
            <w:vAlign w:val="center"/>
            <w:hideMark/>
          </w:tcPr>
          <w:p w14:paraId="24666383" w14:textId="6653416E"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p>
        </w:tc>
        <w:tc>
          <w:tcPr>
            <w:tcW w:w="1883" w:type="dxa"/>
            <w:vAlign w:val="center"/>
            <w:hideMark/>
          </w:tcPr>
          <w:p w14:paraId="4A689B98" w14:textId="5B3565B4"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September 1, 2022</w:t>
            </w:r>
          </w:p>
          <w:p w14:paraId="07045CB4" w14:textId="01C71E0C"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after </w:t>
            </w:r>
            <w:proofErr w:type="spellStart"/>
            <w:r w:rsidRPr="00AE061E">
              <w:rPr>
                <w:rFonts w:ascii="Times New Roman" w:eastAsia="宋体" w:hAnsi="Times New Roman" w:cs="Times New Roman"/>
                <w:color w:val="212121"/>
                <w:kern w:val="0"/>
                <w:sz w:val="24"/>
                <w:szCs w:val="24"/>
              </w:rPr>
              <w:t>satri</w:t>
            </w:r>
            <w:proofErr w:type="spellEnd"/>
            <w:r w:rsidRPr="00AE061E">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p>
        </w:tc>
        <w:tc>
          <w:tcPr>
            <w:tcW w:w="4677" w:type="dxa"/>
            <w:vAlign w:val="center"/>
            <w:hideMark/>
          </w:tcPr>
          <w:p w14:paraId="3B1BA6F3" w14:textId="48979F8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0A5473">
              <w:rPr>
                <w:rFonts w:ascii="Times New Roman" w:eastAsia="宋体" w:hAnsi="Times New Roman" w:cs="Times New Roman"/>
                <w:color w:val="212121"/>
                <w:kern w:val="0"/>
                <w:sz w:val="24"/>
                <w:szCs w:val="24"/>
              </w:rPr>
              <w:t xml:space="preserve">No ascites or visible peritoneal implants; bilateral upper/lateral abdomen, </w:t>
            </w:r>
            <w:proofErr w:type="spellStart"/>
            <w:r w:rsidRPr="000A5473">
              <w:rPr>
                <w:rFonts w:ascii="Times New Roman" w:eastAsia="宋体" w:hAnsi="Times New Roman" w:cs="Times New Roman"/>
                <w:color w:val="212121"/>
                <w:kern w:val="0"/>
                <w:sz w:val="24"/>
                <w:szCs w:val="24"/>
              </w:rPr>
              <w:t>omentum</w:t>
            </w:r>
            <w:proofErr w:type="spellEnd"/>
            <w:r w:rsidRPr="000A5473">
              <w:rPr>
                <w:rFonts w:ascii="Times New Roman" w:eastAsia="宋体" w:hAnsi="Times New Roman" w:cs="Times New Roman"/>
                <w:color w:val="212121"/>
                <w:kern w:val="0"/>
                <w:sz w:val="24"/>
                <w:szCs w:val="24"/>
              </w:rPr>
              <w:t>/mesentery, and previously involved pelvic peritoneum were free of nodules.</w:t>
            </w:r>
          </w:p>
        </w:tc>
        <w:tc>
          <w:tcPr>
            <w:tcW w:w="1650" w:type="dxa"/>
            <w:vAlign w:val="center"/>
            <w:hideMark/>
          </w:tcPr>
          <w:p w14:paraId="2EE08CF3" w14:textId="7777777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PCI = 0</w:t>
            </w:r>
          </w:p>
        </w:tc>
      </w:tr>
      <w:tr w:rsidR="003848D4" w:rsidRPr="00AE061E" w14:paraId="4A136085" w14:textId="77777777" w:rsidTr="00460DB0">
        <w:tc>
          <w:tcPr>
            <w:tcW w:w="806" w:type="dxa"/>
            <w:vMerge w:val="restart"/>
            <w:vAlign w:val="center"/>
            <w:hideMark/>
          </w:tcPr>
          <w:p w14:paraId="25DFE832" w14:textId="3E4E7746" w:rsidR="003848D4" w:rsidRPr="00AE061E" w:rsidRDefault="003848D4" w:rsidP="003848D4">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Case 2</w:t>
            </w:r>
          </w:p>
        </w:tc>
        <w:tc>
          <w:tcPr>
            <w:tcW w:w="1883" w:type="dxa"/>
            <w:vAlign w:val="center"/>
            <w:hideMark/>
          </w:tcPr>
          <w:p w14:paraId="36987BB1" w14:textId="77777777"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June 17, 2021</w:t>
            </w:r>
          </w:p>
          <w:p w14:paraId="19DB9EBB" w14:textId="74D59E18"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before </w:t>
            </w:r>
            <w:proofErr w:type="spellStart"/>
            <w:r w:rsidRPr="00AE061E">
              <w:rPr>
                <w:rFonts w:ascii="Times New Roman" w:eastAsia="宋体" w:hAnsi="Times New Roman" w:cs="Times New Roman"/>
                <w:color w:val="212121"/>
                <w:kern w:val="0"/>
                <w:sz w:val="24"/>
                <w:szCs w:val="24"/>
              </w:rPr>
              <w:t>satri</w:t>
            </w:r>
            <w:proofErr w:type="spellEnd"/>
            <w:r w:rsidRPr="00AE061E">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p>
        </w:tc>
        <w:tc>
          <w:tcPr>
            <w:tcW w:w="4677" w:type="dxa"/>
            <w:vAlign w:val="center"/>
            <w:hideMark/>
          </w:tcPr>
          <w:p w14:paraId="5B77E284" w14:textId="3CA089C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220E8C">
              <w:rPr>
                <w:rFonts w:ascii="Times New Roman" w:eastAsia="宋体" w:hAnsi="Times New Roman" w:cs="Times New Roman"/>
                <w:color w:val="212121"/>
                <w:kern w:val="0"/>
                <w:sz w:val="24"/>
                <w:szCs w:val="24"/>
              </w:rPr>
              <w:t>Numerous metastatic nodules were observed in the pelvis and abdominal wall, with appendiceal involvement also documented</w:t>
            </w:r>
          </w:p>
        </w:tc>
        <w:tc>
          <w:tcPr>
            <w:tcW w:w="1650" w:type="dxa"/>
            <w:vAlign w:val="center"/>
            <w:hideMark/>
          </w:tcPr>
          <w:p w14:paraId="2139D02D" w14:textId="7971FD8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E20BD4">
              <w:rPr>
                <w:rFonts w:ascii="Times New Roman" w:eastAsia="宋体" w:hAnsi="Times New Roman" w:cs="Times New Roman"/>
                <w:color w:val="212121"/>
                <w:kern w:val="0"/>
                <w:sz w:val="24"/>
                <w:szCs w:val="24"/>
              </w:rPr>
              <w:t>Baseline PCI not calculated; 3 involved sites</w:t>
            </w:r>
          </w:p>
        </w:tc>
      </w:tr>
      <w:tr w:rsidR="003848D4" w:rsidRPr="00AE061E" w14:paraId="6BF03041" w14:textId="77777777" w:rsidTr="00460DB0">
        <w:tc>
          <w:tcPr>
            <w:tcW w:w="806" w:type="dxa"/>
            <w:vMerge/>
            <w:vAlign w:val="center"/>
            <w:hideMark/>
          </w:tcPr>
          <w:p w14:paraId="646AB5B7" w14:textId="3A98D75A"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p>
        </w:tc>
        <w:tc>
          <w:tcPr>
            <w:tcW w:w="1883" w:type="dxa"/>
            <w:vAlign w:val="center"/>
            <w:hideMark/>
          </w:tcPr>
          <w:p w14:paraId="7E665ABB" w14:textId="77777777"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August 8, 2022</w:t>
            </w:r>
          </w:p>
          <w:p w14:paraId="6CCA20CB" w14:textId="4A0B3E52"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after </w:t>
            </w:r>
            <w:proofErr w:type="spellStart"/>
            <w:r w:rsidRPr="00AE061E">
              <w:rPr>
                <w:rFonts w:ascii="Times New Roman" w:eastAsia="宋体" w:hAnsi="Times New Roman" w:cs="Times New Roman"/>
                <w:color w:val="212121"/>
                <w:kern w:val="0"/>
                <w:sz w:val="24"/>
                <w:szCs w:val="24"/>
              </w:rPr>
              <w:t>satri</w:t>
            </w:r>
            <w:proofErr w:type="spellEnd"/>
            <w:r w:rsidRPr="00AE061E">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p>
        </w:tc>
        <w:tc>
          <w:tcPr>
            <w:tcW w:w="4677" w:type="dxa"/>
            <w:vAlign w:val="center"/>
            <w:hideMark/>
          </w:tcPr>
          <w:p w14:paraId="6D8E793B" w14:textId="6005F2D3"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472B34">
              <w:rPr>
                <w:rFonts w:ascii="Times New Roman" w:eastAsia="宋体" w:hAnsi="Times New Roman" w:cs="Times New Roman"/>
                <w:color w:val="212121"/>
                <w:kern w:val="0"/>
                <w:sz w:val="24"/>
                <w:szCs w:val="24"/>
              </w:rPr>
              <w:t>Right ovarian surface black punctate lesions were observed without an obvious protruding mass, and no peritoneal dissemination was reported.</w:t>
            </w:r>
          </w:p>
        </w:tc>
        <w:tc>
          <w:tcPr>
            <w:tcW w:w="1650" w:type="dxa"/>
            <w:vAlign w:val="center"/>
            <w:hideMark/>
          </w:tcPr>
          <w:p w14:paraId="0DCDB4E3" w14:textId="6703BAE5"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C108D">
              <w:rPr>
                <w:rFonts w:ascii="Times New Roman" w:eastAsia="宋体" w:hAnsi="Times New Roman" w:cs="Times New Roman"/>
                <w:color w:val="212121"/>
                <w:kern w:val="0"/>
                <w:sz w:val="24"/>
                <w:szCs w:val="24"/>
              </w:rPr>
              <w:t>PCI = 0</w:t>
            </w:r>
          </w:p>
        </w:tc>
      </w:tr>
      <w:tr w:rsidR="003848D4" w:rsidRPr="00AE061E" w14:paraId="45F1BB6E" w14:textId="77777777" w:rsidTr="00460DB0">
        <w:tc>
          <w:tcPr>
            <w:tcW w:w="806" w:type="dxa"/>
            <w:vMerge w:val="restart"/>
            <w:vAlign w:val="center"/>
            <w:hideMark/>
          </w:tcPr>
          <w:p w14:paraId="78781649" w14:textId="7ACD5891" w:rsidR="003848D4" w:rsidRPr="00AE061E" w:rsidRDefault="003848D4" w:rsidP="003848D4">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Case 3</w:t>
            </w:r>
          </w:p>
        </w:tc>
        <w:tc>
          <w:tcPr>
            <w:tcW w:w="1883" w:type="dxa"/>
            <w:vAlign w:val="center"/>
            <w:hideMark/>
          </w:tcPr>
          <w:p w14:paraId="18FE3F74" w14:textId="77777777"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October 24, 2019</w:t>
            </w:r>
          </w:p>
          <w:p w14:paraId="31FBE548" w14:textId="365C5CBB"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0910D8">
              <w:rPr>
                <w:rFonts w:ascii="Times New Roman" w:eastAsia="宋体" w:hAnsi="Times New Roman" w:cs="Times New Roman"/>
                <w:color w:val="212121"/>
                <w:kern w:val="0"/>
                <w:sz w:val="24"/>
                <w:szCs w:val="24"/>
              </w:rPr>
              <w:t xml:space="preserve">before </w:t>
            </w:r>
            <w:proofErr w:type="spellStart"/>
            <w:r w:rsidRPr="000910D8">
              <w:rPr>
                <w:rFonts w:ascii="Times New Roman" w:eastAsia="宋体" w:hAnsi="Times New Roman" w:cs="Times New Roman"/>
                <w:color w:val="212121"/>
                <w:kern w:val="0"/>
                <w:sz w:val="24"/>
                <w:szCs w:val="24"/>
              </w:rPr>
              <w:t>satri</w:t>
            </w:r>
            <w:proofErr w:type="spellEnd"/>
            <w:r w:rsidRPr="000910D8">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r w:rsidRPr="000910D8">
              <w:rPr>
                <w:rFonts w:ascii="Times New Roman" w:eastAsia="宋体" w:hAnsi="Times New Roman" w:cs="Times New Roman"/>
                <w:color w:val="212121"/>
                <w:kern w:val="0"/>
                <w:sz w:val="24"/>
                <w:szCs w:val="24"/>
              </w:rPr>
              <w:t xml:space="preserve"> / initial operative record</w:t>
            </w:r>
          </w:p>
        </w:tc>
        <w:tc>
          <w:tcPr>
            <w:tcW w:w="4677" w:type="dxa"/>
            <w:vAlign w:val="center"/>
            <w:hideMark/>
          </w:tcPr>
          <w:p w14:paraId="064352C7" w14:textId="7777777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Multiple nodules in the right upper abdomen, left upper abdomen, right abdominal cavity, </w:t>
            </w:r>
            <w:proofErr w:type="spellStart"/>
            <w:r w:rsidRPr="00AE061E">
              <w:rPr>
                <w:rFonts w:ascii="Times New Roman" w:eastAsia="宋体" w:hAnsi="Times New Roman" w:cs="Times New Roman"/>
                <w:color w:val="212121"/>
                <w:kern w:val="0"/>
                <w:sz w:val="24"/>
                <w:szCs w:val="24"/>
              </w:rPr>
              <w:t>omentum</w:t>
            </w:r>
            <w:proofErr w:type="spellEnd"/>
            <w:r w:rsidRPr="00AE061E">
              <w:rPr>
                <w:rFonts w:ascii="Times New Roman" w:eastAsia="宋体" w:hAnsi="Times New Roman" w:cs="Times New Roman"/>
                <w:color w:val="212121"/>
                <w:kern w:val="0"/>
                <w:sz w:val="24"/>
                <w:szCs w:val="24"/>
              </w:rPr>
              <w:t>/mesentery, and an approximately 4-cm ileocecal metastatic lesion causing luminal stenosis</w:t>
            </w:r>
          </w:p>
        </w:tc>
        <w:tc>
          <w:tcPr>
            <w:tcW w:w="1650" w:type="dxa"/>
            <w:vAlign w:val="center"/>
            <w:hideMark/>
          </w:tcPr>
          <w:p w14:paraId="5FCB5D8E" w14:textId="6BA5ECF0"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7E4C78">
              <w:rPr>
                <w:rFonts w:ascii="Times New Roman" w:eastAsia="宋体" w:hAnsi="Times New Roman" w:cs="Times New Roman"/>
                <w:color w:val="212121"/>
                <w:kern w:val="0"/>
                <w:sz w:val="24"/>
                <w:szCs w:val="24"/>
              </w:rPr>
              <w:t>PCI = 15</w:t>
            </w:r>
          </w:p>
        </w:tc>
      </w:tr>
      <w:tr w:rsidR="003848D4" w:rsidRPr="00AE061E" w14:paraId="0FF33759" w14:textId="77777777" w:rsidTr="00460DB0">
        <w:tc>
          <w:tcPr>
            <w:tcW w:w="806" w:type="dxa"/>
            <w:vMerge/>
            <w:vAlign w:val="center"/>
            <w:hideMark/>
          </w:tcPr>
          <w:p w14:paraId="65B057C1" w14:textId="2DDBEFD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p>
        </w:tc>
        <w:tc>
          <w:tcPr>
            <w:tcW w:w="1883" w:type="dxa"/>
            <w:vAlign w:val="center"/>
            <w:hideMark/>
          </w:tcPr>
          <w:p w14:paraId="1B650413" w14:textId="77777777" w:rsidR="003848D4"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CA137B">
              <w:rPr>
                <w:rFonts w:ascii="Times New Roman" w:eastAsia="宋体" w:hAnsi="Times New Roman" w:cs="Times New Roman"/>
                <w:color w:val="212121"/>
                <w:kern w:val="0"/>
                <w:sz w:val="24"/>
                <w:szCs w:val="24"/>
              </w:rPr>
              <w:t>May 20, 2022</w:t>
            </w:r>
          </w:p>
          <w:p w14:paraId="39237D6D" w14:textId="69819E82"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 xml:space="preserve">after </w:t>
            </w:r>
            <w:proofErr w:type="spellStart"/>
            <w:r w:rsidRPr="00AE061E">
              <w:rPr>
                <w:rFonts w:ascii="Times New Roman" w:eastAsia="宋体" w:hAnsi="Times New Roman" w:cs="Times New Roman"/>
                <w:color w:val="212121"/>
                <w:kern w:val="0"/>
                <w:sz w:val="24"/>
                <w:szCs w:val="24"/>
              </w:rPr>
              <w:t>satri</w:t>
            </w:r>
            <w:proofErr w:type="spellEnd"/>
            <w:r w:rsidRPr="00AE061E">
              <w:rPr>
                <w:rFonts w:ascii="Times New Roman" w:eastAsia="宋体" w:hAnsi="Times New Roman" w:cs="Times New Roman"/>
                <w:color w:val="212121"/>
                <w:kern w:val="0"/>
                <w:sz w:val="24"/>
                <w:szCs w:val="24"/>
              </w:rPr>
              <w:t>-cel</w:t>
            </w:r>
            <w:r w:rsidR="005417B7">
              <w:rPr>
                <w:rFonts w:ascii="Times New Roman" w:eastAsia="宋体" w:hAnsi="Times New Roman" w:cs="Times New Roman" w:hint="eastAsia"/>
                <w:color w:val="212121"/>
                <w:kern w:val="0"/>
                <w:sz w:val="24"/>
                <w:szCs w:val="24"/>
              </w:rPr>
              <w:t xml:space="preserve"> infusion</w:t>
            </w:r>
          </w:p>
        </w:tc>
        <w:tc>
          <w:tcPr>
            <w:tcW w:w="4677" w:type="dxa"/>
            <w:vAlign w:val="center"/>
            <w:hideMark/>
          </w:tcPr>
          <w:p w14:paraId="1BC0FEE8" w14:textId="62AA6869"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86A92">
              <w:rPr>
                <w:rFonts w:ascii="Times New Roman" w:eastAsia="宋体" w:hAnsi="Times New Roman" w:cs="Times New Roman"/>
                <w:color w:val="212121"/>
                <w:kern w:val="0"/>
                <w:sz w:val="24"/>
                <w:szCs w:val="24"/>
              </w:rPr>
              <w:t>No ascites or visible abdominopelvic peritoneal nodules were observed</w:t>
            </w:r>
          </w:p>
        </w:tc>
        <w:tc>
          <w:tcPr>
            <w:tcW w:w="1650" w:type="dxa"/>
            <w:vAlign w:val="center"/>
            <w:hideMark/>
          </w:tcPr>
          <w:p w14:paraId="55FFCD6A" w14:textId="77777777" w:rsidR="003848D4" w:rsidRPr="00AE061E" w:rsidRDefault="003848D4" w:rsidP="00AE061E">
            <w:pPr>
              <w:widowControl/>
              <w:shd w:val="clear" w:color="auto" w:fill="FFFFFF"/>
              <w:spacing w:after="0" w:line="480" w:lineRule="auto"/>
              <w:jc w:val="left"/>
              <w:rPr>
                <w:rFonts w:ascii="Times New Roman" w:eastAsia="宋体" w:hAnsi="Times New Roman" w:cs="Times New Roman"/>
                <w:color w:val="212121"/>
                <w:kern w:val="0"/>
                <w:sz w:val="24"/>
                <w:szCs w:val="24"/>
              </w:rPr>
            </w:pPr>
            <w:r w:rsidRPr="00AE061E">
              <w:rPr>
                <w:rFonts w:ascii="Times New Roman" w:eastAsia="宋体" w:hAnsi="Times New Roman" w:cs="Times New Roman"/>
                <w:color w:val="212121"/>
                <w:kern w:val="0"/>
                <w:sz w:val="24"/>
                <w:szCs w:val="24"/>
              </w:rPr>
              <w:t>PCI = 0</w:t>
            </w:r>
          </w:p>
        </w:tc>
      </w:tr>
    </w:tbl>
    <w:p w14:paraId="16D54CA1" w14:textId="77777777" w:rsidR="00AE061E" w:rsidRPr="00AE061E" w:rsidRDefault="00AE061E" w:rsidP="00E67D9D">
      <w:pPr>
        <w:widowControl/>
        <w:shd w:val="clear" w:color="auto" w:fill="FFFFFF"/>
        <w:spacing w:after="0" w:line="480" w:lineRule="auto"/>
        <w:jc w:val="left"/>
        <w:rPr>
          <w:rFonts w:ascii="Times New Roman" w:eastAsia="宋体" w:hAnsi="Times New Roman" w:cs="Times New Roman"/>
          <w:color w:val="212121"/>
          <w:kern w:val="0"/>
          <w:sz w:val="24"/>
          <w:szCs w:val="24"/>
        </w:rPr>
      </w:pPr>
    </w:p>
    <w:sectPr w:rsidR="00AE061E" w:rsidRPr="00AE061E" w:rsidSect="00441D8E">
      <w:pgSz w:w="11906" w:h="16838"/>
      <w:pgMar w:top="1440" w:right="1440" w:bottom="1440" w:left="1440" w:header="720" w:footer="720" w:gutter="0"/>
      <w:lnNumType w:countBy="1" w:restart="continuous"/>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A8AC6" w14:textId="77777777" w:rsidR="00A66CCA" w:rsidRDefault="00A66CCA" w:rsidP="00984909">
      <w:pPr>
        <w:spacing w:after="0" w:line="240" w:lineRule="auto"/>
        <w:rPr>
          <w:rFonts w:hint="eastAsia"/>
        </w:rPr>
      </w:pPr>
      <w:r>
        <w:separator/>
      </w:r>
    </w:p>
  </w:endnote>
  <w:endnote w:type="continuationSeparator" w:id="0">
    <w:p w14:paraId="027A436C" w14:textId="77777777" w:rsidR="00A66CCA" w:rsidRDefault="00A66CCA" w:rsidP="0098490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F18C" w14:textId="77777777" w:rsidR="00A66CCA" w:rsidRDefault="00A66CCA" w:rsidP="00984909">
      <w:pPr>
        <w:spacing w:after="0" w:line="240" w:lineRule="auto"/>
        <w:rPr>
          <w:rFonts w:hint="eastAsia"/>
        </w:rPr>
      </w:pPr>
      <w:r>
        <w:separator/>
      </w:r>
    </w:p>
  </w:footnote>
  <w:footnote w:type="continuationSeparator" w:id="0">
    <w:p w14:paraId="43D92F85" w14:textId="77777777" w:rsidR="00A66CCA" w:rsidRDefault="00A66CCA" w:rsidP="0098490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168DD4"/>
    <w:rsid w:val="0000358C"/>
    <w:rsid w:val="00017906"/>
    <w:rsid w:val="000322EE"/>
    <w:rsid w:val="000452EF"/>
    <w:rsid w:val="000530A6"/>
    <w:rsid w:val="00062657"/>
    <w:rsid w:val="000910D8"/>
    <w:rsid w:val="000A257F"/>
    <w:rsid w:val="000A5473"/>
    <w:rsid w:val="000B1439"/>
    <w:rsid w:val="000D08B5"/>
    <w:rsid w:val="000D6A2C"/>
    <w:rsid w:val="001030D3"/>
    <w:rsid w:val="00120C14"/>
    <w:rsid w:val="00140746"/>
    <w:rsid w:val="00180EFE"/>
    <w:rsid w:val="00194083"/>
    <w:rsid w:val="001F570F"/>
    <w:rsid w:val="001F6D64"/>
    <w:rsid w:val="00201B39"/>
    <w:rsid w:val="0021273A"/>
    <w:rsid w:val="00220E8C"/>
    <w:rsid w:val="002220EF"/>
    <w:rsid w:val="00250832"/>
    <w:rsid w:val="00262B50"/>
    <w:rsid w:val="00297838"/>
    <w:rsid w:val="002B7453"/>
    <w:rsid w:val="002D2F40"/>
    <w:rsid w:val="00305AFA"/>
    <w:rsid w:val="00357E14"/>
    <w:rsid w:val="00364119"/>
    <w:rsid w:val="003848D4"/>
    <w:rsid w:val="003A524C"/>
    <w:rsid w:val="003B5689"/>
    <w:rsid w:val="003C60F2"/>
    <w:rsid w:val="003D6624"/>
    <w:rsid w:val="00441D8E"/>
    <w:rsid w:val="00442300"/>
    <w:rsid w:val="0045769E"/>
    <w:rsid w:val="00460DB0"/>
    <w:rsid w:val="00472B34"/>
    <w:rsid w:val="00474727"/>
    <w:rsid w:val="004A3790"/>
    <w:rsid w:val="004A44F2"/>
    <w:rsid w:val="004A5A7A"/>
    <w:rsid w:val="0052115A"/>
    <w:rsid w:val="005417B7"/>
    <w:rsid w:val="0055131B"/>
    <w:rsid w:val="00555322"/>
    <w:rsid w:val="00576098"/>
    <w:rsid w:val="005A1F21"/>
    <w:rsid w:val="005A211C"/>
    <w:rsid w:val="005F2C94"/>
    <w:rsid w:val="00602F29"/>
    <w:rsid w:val="00626662"/>
    <w:rsid w:val="00640FC3"/>
    <w:rsid w:val="006812A9"/>
    <w:rsid w:val="00694677"/>
    <w:rsid w:val="006A24B9"/>
    <w:rsid w:val="006B3687"/>
    <w:rsid w:val="006F28B1"/>
    <w:rsid w:val="00750B12"/>
    <w:rsid w:val="00754503"/>
    <w:rsid w:val="007939FA"/>
    <w:rsid w:val="007956D3"/>
    <w:rsid w:val="007A3659"/>
    <w:rsid w:val="007A3A3B"/>
    <w:rsid w:val="007A5683"/>
    <w:rsid w:val="007B4153"/>
    <w:rsid w:val="007C69FE"/>
    <w:rsid w:val="007D0C4E"/>
    <w:rsid w:val="007E4C78"/>
    <w:rsid w:val="008143B3"/>
    <w:rsid w:val="00873BF2"/>
    <w:rsid w:val="00877B13"/>
    <w:rsid w:val="00891368"/>
    <w:rsid w:val="008F4109"/>
    <w:rsid w:val="008F4204"/>
    <w:rsid w:val="008F71D8"/>
    <w:rsid w:val="009039EB"/>
    <w:rsid w:val="009148BB"/>
    <w:rsid w:val="00933717"/>
    <w:rsid w:val="009713A4"/>
    <w:rsid w:val="00983896"/>
    <w:rsid w:val="00984909"/>
    <w:rsid w:val="0098604F"/>
    <w:rsid w:val="00987B47"/>
    <w:rsid w:val="00990418"/>
    <w:rsid w:val="009B73EF"/>
    <w:rsid w:val="009D119B"/>
    <w:rsid w:val="009F036E"/>
    <w:rsid w:val="009F4700"/>
    <w:rsid w:val="00A461F2"/>
    <w:rsid w:val="00A472D3"/>
    <w:rsid w:val="00A66CCA"/>
    <w:rsid w:val="00A86A92"/>
    <w:rsid w:val="00A9698B"/>
    <w:rsid w:val="00AA2D18"/>
    <w:rsid w:val="00AC108D"/>
    <w:rsid w:val="00AE061E"/>
    <w:rsid w:val="00B47625"/>
    <w:rsid w:val="00B64089"/>
    <w:rsid w:val="00B67CE7"/>
    <w:rsid w:val="00B92070"/>
    <w:rsid w:val="00BB08B2"/>
    <w:rsid w:val="00BB6EEE"/>
    <w:rsid w:val="00BD101B"/>
    <w:rsid w:val="00C0001A"/>
    <w:rsid w:val="00C01B05"/>
    <w:rsid w:val="00C10EFC"/>
    <w:rsid w:val="00C352FC"/>
    <w:rsid w:val="00C458CF"/>
    <w:rsid w:val="00C54AA2"/>
    <w:rsid w:val="00C61722"/>
    <w:rsid w:val="00CA137B"/>
    <w:rsid w:val="00CA5BE3"/>
    <w:rsid w:val="00CD6B61"/>
    <w:rsid w:val="00CD7589"/>
    <w:rsid w:val="00D24062"/>
    <w:rsid w:val="00D2450D"/>
    <w:rsid w:val="00D25A5D"/>
    <w:rsid w:val="00D8451F"/>
    <w:rsid w:val="00D8485D"/>
    <w:rsid w:val="00DB6E25"/>
    <w:rsid w:val="00DD6233"/>
    <w:rsid w:val="00DE4767"/>
    <w:rsid w:val="00E20BD4"/>
    <w:rsid w:val="00E47DF6"/>
    <w:rsid w:val="00E579D5"/>
    <w:rsid w:val="00E64AB4"/>
    <w:rsid w:val="00E67D9D"/>
    <w:rsid w:val="00E722F4"/>
    <w:rsid w:val="00E746E5"/>
    <w:rsid w:val="00EA443C"/>
    <w:rsid w:val="00EA6AD7"/>
    <w:rsid w:val="00EC676D"/>
    <w:rsid w:val="00EE3596"/>
    <w:rsid w:val="00EE39DF"/>
    <w:rsid w:val="00F12934"/>
    <w:rsid w:val="00F36EAB"/>
    <w:rsid w:val="00F55C23"/>
    <w:rsid w:val="00F70297"/>
    <w:rsid w:val="00F948D5"/>
    <w:rsid w:val="00FA2DA1"/>
    <w:rsid w:val="00FA65FB"/>
    <w:rsid w:val="1D86874C"/>
    <w:rsid w:val="57045714"/>
    <w:rsid w:val="69168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68DD4"/>
  <w15:chartTrackingRefBased/>
  <w15:docId w15:val="{28D2710E-2910-4DD8-ACC1-D32E7220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4909"/>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984909"/>
    <w:rPr>
      <w:sz w:val="18"/>
      <w:szCs w:val="18"/>
    </w:rPr>
  </w:style>
  <w:style w:type="paragraph" w:styleId="a5">
    <w:name w:val="footer"/>
    <w:basedOn w:val="a"/>
    <w:link w:val="a6"/>
    <w:uiPriority w:val="99"/>
    <w:unhideWhenUsed/>
    <w:rsid w:val="00984909"/>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984909"/>
    <w:rPr>
      <w:sz w:val="18"/>
      <w:szCs w:val="18"/>
    </w:rPr>
  </w:style>
  <w:style w:type="paragraph" w:styleId="a7">
    <w:name w:val="Revision"/>
    <w:hidden/>
    <w:uiPriority w:val="99"/>
    <w:semiHidden/>
    <w:rsid w:val="004A44F2"/>
    <w:pPr>
      <w:spacing w:after="0" w:line="240" w:lineRule="auto"/>
    </w:pPr>
  </w:style>
  <w:style w:type="character" w:styleId="a8">
    <w:name w:val="annotation reference"/>
    <w:basedOn w:val="a0"/>
    <w:uiPriority w:val="99"/>
    <w:semiHidden/>
    <w:unhideWhenUsed/>
    <w:rsid w:val="004A44F2"/>
    <w:rPr>
      <w:sz w:val="21"/>
      <w:szCs w:val="21"/>
    </w:rPr>
  </w:style>
  <w:style w:type="paragraph" w:styleId="a9">
    <w:name w:val="annotation text"/>
    <w:basedOn w:val="a"/>
    <w:link w:val="aa"/>
    <w:uiPriority w:val="99"/>
    <w:unhideWhenUsed/>
    <w:rsid w:val="004A44F2"/>
    <w:pPr>
      <w:jc w:val="left"/>
    </w:pPr>
  </w:style>
  <w:style w:type="character" w:customStyle="1" w:styleId="aa">
    <w:name w:val="批注文字 字符"/>
    <w:basedOn w:val="a0"/>
    <w:link w:val="a9"/>
    <w:uiPriority w:val="99"/>
    <w:rsid w:val="004A44F2"/>
  </w:style>
  <w:style w:type="paragraph" w:styleId="ab">
    <w:name w:val="annotation subject"/>
    <w:basedOn w:val="a9"/>
    <w:next w:val="a9"/>
    <w:link w:val="ac"/>
    <w:uiPriority w:val="99"/>
    <w:semiHidden/>
    <w:unhideWhenUsed/>
    <w:rsid w:val="004A44F2"/>
    <w:rPr>
      <w:b/>
      <w:bCs/>
    </w:rPr>
  </w:style>
  <w:style w:type="character" w:customStyle="1" w:styleId="ac">
    <w:name w:val="批注主题 字符"/>
    <w:basedOn w:val="aa"/>
    <w:link w:val="ab"/>
    <w:uiPriority w:val="99"/>
    <w:semiHidden/>
    <w:rsid w:val="004A44F2"/>
    <w:rPr>
      <w:b/>
      <w:bCs/>
    </w:rPr>
  </w:style>
  <w:style w:type="character" w:styleId="ad">
    <w:name w:val="line number"/>
    <w:basedOn w:val="a0"/>
    <w:uiPriority w:val="99"/>
    <w:semiHidden/>
    <w:unhideWhenUsed/>
    <w:rsid w:val="00441D8E"/>
  </w:style>
  <w:style w:type="paragraph" w:customStyle="1" w:styleId="p">
    <w:name w:val="p"/>
    <w:basedOn w:val="a"/>
    <w:rsid w:val="005A211C"/>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DengXian Light" panose="0201060003010101010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1060003010101010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ac6abf-4d35-47cf-bc1e-2809c964a925" xsi:nil="true"/>
    <lcf76f155ced4ddcb4097134ff3c332f xmlns="e1f0d484-f984-4895-8f61-c2760280c7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4AF5A6B7AAE6438197692D7F10765A" ma:contentTypeVersion="18" ma:contentTypeDescription="Create a new document." ma:contentTypeScope="" ma:versionID="e54eeabdfc83b7f8490116f6a100020d">
  <xsd:schema xmlns:xsd="http://www.w3.org/2001/XMLSchema" xmlns:xs="http://www.w3.org/2001/XMLSchema" xmlns:p="http://schemas.microsoft.com/office/2006/metadata/properties" xmlns:ns2="e1f0d484-f984-4895-8f61-c2760280c7d0" xmlns:ns3="adac6abf-4d35-47cf-bc1e-2809c964a925" targetNamespace="http://schemas.microsoft.com/office/2006/metadata/properties" ma:root="true" ma:fieldsID="81c441e022901ce99ca003263895ce92" ns2:_="" ns3:_="">
    <xsd:import namespace="e1f0d484-f984-4895-8f61-c2760280c7d0"/>
    <xsd:import namespace="adac6abf-4d35-47cf-bc1e-2809c964a9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0d484-f984-4895-8f61-c2760280c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3f8070-671a-41d1-9bf0-1d4f0cc561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ac6abf-4d35-47cf-bc1e-2809c964a9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9c3a40-6437-48cf-8a6e-bf053a69f466}" ma:internalName="TaxCatchAll" ma:showField="CatchAllData" ma:web="adac6abf-4d35-47cf-bc1e-2809c964a9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E6BB3-3193-46B8-9776-96D0EA95C39C}">
  <ds:schemaRefs>
    <ds:schemaRef ds:uri="http://schemas.microsoft.com/sharepoint/v3/contenttype/forms"/>
  </ds:schemaRefs>
</ds:datastoreItem>
</file>

<file path=customXml/itemProps2.xml><?xml version="1.0" encoding="utf-8"?>
<ds:datastoreItem xmlns:ds="http://schemas.openxmlformats.org/officeDocument/2006/customXml" ds:itemID="{6D1B9630-43F4-4005-AE72-F671A4B86A4E}">
  <ds:schemaRefs>
    <ds:schemaRef ds:uri="http://schemas.microsoft.com/office/2006/metadata/properties"/>
    <ds:schemaRef ds:uri="http://schemas.microsoft.com/office/infopath/2007/PartnerControls"/>
    <ds:schemaRef ds:uri="adac6abf-4d35-47cf-bc1e-2809c964a925"/>
    <ds:schemaRef ds:uri="e1f0d484-f984-4895-8f61-c2760280c7d0"/>
  </ds:schemaRefs>
</ds:datastoreItem>
</file>

<file path=customXml/itemProps3.xml><?xml version="1.0" encoding="utf-8"?>
<ds:datastoreItem xmlns:ds="http://schemas.openxmlformats.org/officeDocument/2006/customXml" ds:itemID="{73765F96-0AC4-43F2-8A22-3D2FC8CB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0d484-f984-4895-8f61-c2760280c7d0"/>
    <ds:schemaRef ds:uri="adac6abf-4d35-47cf-bc1e-2809c964a9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FF3A9D-67A0-4386-80EE-D89A8361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1453</Words>
  <Characters>8288</Characters>
  <Application>Microsoft Office Word</Application>
  <DocSecurity>0</DocSecurity>
  <Lines>69</Lines>
  <Paragraphs>19</Paragraphs>
  <ScaleCrop>false</ScaleCrop>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彭晓辉(Xiaohui Peng)</dc:creator>
  <cp:keywords/>
  <dc:description/>
  <cp:lastModifiedBy>hongxi zeng</cp:lastModifiedBy>
  <cp:revision>25</cp:revision>
  <dcterms:created xsi:type="dcterms:W3CDTF">2026-06-17T13:50:00Z</dcterms:created>
  <dcterms:modified xsi:type="dcterms:W3CDTF">2026-06-22T14:18:00Z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0x010100834AF5A6B7AAE6438197692D7F10765A</vt:lpwstr>
  </property>
  <property fmtid="{D5CDD505-2E9C-101B-9397-08002B2CF9AE}" pid="3" name="MediaServiceImageTags">
    <vt:lpwstr/>
  </property>
</Properties>
</file>