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6FF6" w:rsidRPr="00383AB6" w:rsidRDefault="00D56FF6" w:rsidP="00D56FF6">
      <w:pPr>
        <w:spacing w:after="0" w:line="360" w:lineRule="auto"/>
        <w:ind w:right="567"/>
        <w:jc w:val="both"/>
        <w:rPr>
          <w:rFonts w:ascii="Times New Roman" w:hAnsi="Times New Roman"/>
          <w:b/>
          <w:sz w:val="28"/>
          <w:szCs w:val="28"/>
        </w:rPr>
      </w:pPr>
      <w:r w:rsidRPr="00383AB6">
        <w:rPr>
          <w:rFonts w:ascii="Times New Roman" w:hAnsi="Times New Roman"/>
          <w:b/>
          <w:sz w:val="28"/>
          <w:szCs w:val="28"/>
        </w:rPr>
        <w:t xml:space="preserve">Cancer-related CD15/FUT4 overexpression decreases benefit to agents targeting EGFR or VEGF </w:t>
      </w:r>
      <w:r w:rsidRPr="00383AB6">
        <w:rPr>
          <w:rFonts w:ascii="Times New Roman" w:eastAsia="AdvOT1ef757c0" w:hAnsi="Times New Roman"/>
          <w:b/>
          <w:color w:val="000000"/>
          <w:sz w:val="28"/>
          <w:szCs w:val="28"/>
        </w:rPr>
        <w:t>acting</w:t>
      </w:r>
      <w:r w:rsidRPr="00383AB6">
        <w:rPr>
          <w:rFonts w:ascii="Times New Roman" w:hAnsi="Times New Roman"/>
          <w:b/>
          <w:color w:val="000000"/>
          <w:sz w:val="28"/>
          <w:szCs w:val="28"/>
        </w:rPr>
        <w:t xml:space="preserve"> as a novel </w:t>
      </w:r>
      <w:r w:rsidRPr="00383AB6">
        <w:rPr>
          <w:rFonts w:ascii="Times New Roman" w:hAnsi="Times New Roman"/>
          <w:b/>
          <w:bCs/>
          <w:sz w:val="28"/>
          <w:szCs w:val="28"/>
        </w:rPr>
        <w:t xml:space="preserve">RAF-MEK-ERK </w:t>
      </w:r>
      <w:r w:rsidRPr="00383AB6">
        <w:rPr>
          <w:rFonts w:ascii="Times New Roman" w:hAnsi="Times New Roman"/>
          <w:b/>
          <w:sz w:val="28"/>
          <w:szCs w:val="28"/>
        </w:rPr>
        <w:t>kinase</w:t>
      </w:r>
      <w:r w:rsidRPr="00383AB6">
        <w:rPr>
          <w:rFonts w:ascii="Times New Roman" w:hAnsi="Times New Roman"/>
          <w:b/>
          <w:color w:val="000000"/>
          <w:sz w:val="28"/>
          <w:szCs w:val="28"/>
        </w:rPr>
        <w:t xml:space="preserve"> downstream regulator</w:t>
      </w:r>
      <w:r w:rsidRPr="00383AB6">
        <w:rPr>
          <w:rFonts w:ascii="Times New Roman" w:hAnsi="Times New Roman"/>
          <w:b/>
          <w:bCs/>
          <w:sz w:val="28"/>
          <w:szCs w:val="28"/>
        </w:rPr>
        <w:t xml:space="preserve"> </w:t>
      </w:r>
      <w:r w:rsidRPr="00383AB6">
        <w:rPr>
          <w:rFonts w:ascii="Times New Roman" w:hAnsi="Times New Roman"/>
          <w:b/>
          <w:sz w:val="28"/>
          <w:szCs w:val="28"/>
        </w:rPr>
        <w:t>in metastatic colorectal cancer.</w:t>
      </w:r>
    </w:p>
    <w:p w:rsidR="009064FC" w:rsidRPr="008A20FA" w:rsidRDefault="009064FC" w:rsidP="009064FC">
      <w:pPr>
        <w:spacing w:after="0" w:line="360" w:lineRule="auto"/>
        <w:ind w:right="567"/>
        <w:jc w:val="both"/>
        <w:rPr>
          <w:rFonts w:ascii="Times New Roman" w:hAnsi="Times New Roman" w:cs="Times New Roman"/>
          <w:b/>
          <w:sz w:val="28"/>
          <w:szCs w:val="28"/>
        </w:rPr>
      </w:pPr>
    </w:p>
    <w:p w:rsidR="009064FC" w:rsidRPr="008A20FA" w:rsidRDefault="009064FC" w:rsidP="009064FC">
      <w:pPr>
        <w:spacing w:after="0" w:line="360" w:lineRule="auto"/>
        <w:ind w:right="567"/>
        <w:jc w:val="both"/>
        <w:rPr>
          <w:rFonts w:ascii="Times New Roman" w:hAnsi="Times New Roman" w:cs="Times New Roman"/>
          <w:b/>
          <w:vertAlign w:val="superscript"/>
          <w:lang w:val="it-IT"/>
        </w:rPr>
      </w:pPr>
      <w:r w:rsidRPr="008A20FA">
        <w:rPr>
          <w:rFonts w:ascii="Times New Roman" w:hAnsi="Times New Roman" w:cs="Times New Roman"/>
          <w:b/>
          <w:lang w:val="it-IT"/>
        </w:rPr>
        <w:t>Guido Giordano</w:t>
      </w:r>
      <w:r w:rsidRPr="008A20FA">
        <w:rPr>
          <w:rFonts w:ascii="Times New Roman" w:hAnsi="Times New Roman" w:cs="Times New Roman"/>
          <w:b/>
          <w:vertAlign w:val="superscript"/>
          <w:lang w:val="it-IT"/>
        </w:rPr>
        <w:t>1*</w:t>
      </w:r>
      <w:r w:rsidRPr="008A20FA">
        <w:rPr>
          <w:rFonts w:ascii="Times New Roman" w:hAnsi="Times New Roman" w:cs="Times New Roman"/>
          <w:b/>
          <w:lang w:val="it-IT"/>
        </w:rPr>
        <w:t>, Antonio Febbraro</w:t>
      </w:r>
      <w:r w:rsidRPr="008A20FA">
        <w:rPr>
          <w:rFonts w:ascii="Times New Roman" w:hAnsi="Times New Roman" w:cs="Times New Roman"/>
          <w:b/>
          <w:vertAlign w:val="superscript"/>
          <w:lang w:val="it-IT"/>
        </w:rPr>
        <w:t>1</w:t>
      </w:r>
      <w:r w:rsidRPr="008A20FA">
        <w:rPr>
          <w:rFonts w:ascii="Times New Roman" w:hAnsi="Times New Roman" w:cs="Times New Roman"/>
          <w:b/>
          <w:lang w:val="it-IT"/>
        </w:rPr>
        <w:t>, Eugenio Tomaselli</w:t>
      </w:r>
      <w:r w:rsidRPr="008A20FA">
        <w:rPr>
          <w:rFonts w:ascii="Times New Roman" w:hAnsi="Times New Roman" w:cs="Times New Roman"/>
          <w:b/>
          <w:vertAlign w:val="superscript"/>
          <w:lang w:val="it-IT"/>
        </w:rPr>
        <w:t>2</w:t>
      </w:r>
      <w:r w:rsidRPr="008A20FA">
        <w:rPr>
          <w:rFonts w:ascii="Times New Roman" w:hAnsi="Times New Roman" w:cs="Times New Roman"/>
          <w:b/>
          <w:lang w:val="it-IT"/>
        </w:rPr>
        <w:t>, Maria Lucia Sarnicola</w:t>
      </w:r>
      <w:r w:rsidRPr="008A20FA">
        <w:rPr>
          <w:rFonts w:ascii="Times New Roman" w:hAnsi="Times New Roman" w:cs="Times New Roman"/>
          <w:b/>
          <w:vertAlign w:val="superscript"/>
          <w:lang w:val="it-IT"/>
        </w:rPr>
        <w:t>3</w:t>
      </w:r>
      <w:r w:rsidRPr="008A20FA">
        <w:rPr>
          <w:rFonts w:ascii="Times New Roman" w:hAnsi="Times New Roman" w:cs="Times New Roman"/>
          <w:b/>
          <w:lang w:val="it-IT"/>
        </w:rPr>
        <w:t>, Pietro Parcesepe</w:t>
      </w:r>
      <w:r w:rsidRPr="008A20FA">
        <w:rPr>
          <w:rFonts w:ascii="Times New Roman" w:hAnsi="Times New Roman" w:cs="Times New Roman"/>
          <w:b/>
          <w:vertAlign w:val="superscript"/>
          <w:lang w:val="it-IT"/>
        </w:rPr>
        <w:t>4</w:t>
      </w:r>
      <w:r w:rsidRPr="008A20FA">
        <w:rPr>
          <w:rFonts w:ascii="Times New Roman" w:hAnsi="Times New Roman" w:cs="Times New Roman"/>
          <w:b/>
          <w:lang w:val="it-IT"/>
        </w:rPr>
        <w:t>, Domenico Parente</w:t>
      </w:r>
      <w:r w:rsidRPr="008A20FA">
        <w:rPr>
          <w:rFonts w:ascii="Times New Roman" w:hAnsi="Times New Roman" w:cs="Times New Roman"/>
          <w:b/>
          <w:vertAlign w:val="superscript"/>
          <w:lang w:val="it-IT"/>
        </w:rPr>
        <w:t>2</w:t>
      </w:r>
      <w:r w:rsidRPr="008A20FA">
        <w:rPr>
          <w:rFonts w:ascii="Times New Roman" w:hAnsi="Times New Roman" w:cs="Times New Roman"/>
          <w:b/>
          <w:lang w:val="it-IT"/>
        </w:rPr>
        <w:t>, Nicola Forte</w:t>
      </w:r>
      <w:r w:rsidRPr="008A20FA">
        <w:rPr>
          <w:rFonts w:ascii="Times New Roman" w:hAnsi="Times New Roman" w:cs="Times New Roman"/>
          <w:b/>
          <w:vertAlign w:val="superscript"/>
          <w:lang w:val="it-IT"/>
        </w:rPr>
        <w:t>2</w:t>
      </w:r>
      <w:r w:rsidRPr="008A20FA">
        <w:rPr>
          <w:rFonts w:ascii="Times New Roman" w:hAnsi="Times New Roman" w:cs="Times New Roman"/>
          <w:b/>
          <w:lang w:val="it-IT"/>
        </w:rPr>
        <w:t>, Alessio Fabozzi</w:t>
      </w:r>
      <w:r w:rsidRPr="008A20FA">
        <w:rPr>
          <w:rFonts w:ascii="Times New Roman" w:hAnsi="Times New Roman" w:cs="Times New Roman"/>
          <w:b/>
          <w:vertAlign w:val="superscript"/>
          <w:lang w:val="it-IT"/>
        </w:rPr>
        <w:t>1</w:t>
      </w:r>
      <w:r w:rsidRPr="008A20FA">
        <w:rPr>
          <w:rFonts w:ascii="Times New Roman" w:hAnsi="Times New Roman" w:cs="Times New Roman"/>
          <w:b/>
          <w:lang w:val="it-IT"/>
        </w:rPr>
        <w:t>, Andrea Remo</w:t>
      </w:r>
      <w:r w:rsidRPr="008A20FA">
        <w:rPr>
          <w:rFonts w:ascii="Times New Roman" w:hAnsi="Times New Roman" w:cs="Times New Roman"/>
          <w:b/>
          <w:vertAlign w:val="superscript"/>
          <w:lang w:val="it-IT"/>
        </w:rPr>
        <w:t>5</w:t>
      </w:r>
      <w:r w:rsidRPr="008A20FA">
        <w:rPr>
          <w:rFonts w:ascii="Times New Roman" w:hAnsi="Times New Roman" w:cs="Times New Roman"/>
          <w:b/>
          <w:lang w:val="it-IT"/>
        </w:rPr>
        <w:t>, Bonetti Andrea</w:t>
      </w:r>
      <w:r w:rsidRPr="008A20FA">
        <w:rPr>
          <w:rFonts w:ascii="Times New Roman" w:hAnsi="Times New Roman" w:cs="Times New Roman"/>
          <w:b/>
          <w:vertAlign w:val="superscript"/>
          <w:lang w:val="it-IT"/>
        </w:rPr>
        <w:t>5</w:t>
      </w:r>
      <w:r w:rsidRPr="008A20FA">
        <w:rPr>
          <w:rFonts w:ascii="Times New Roman" w:hAnsi="Times New Roman" w:cs="Times New Roman"/>
          <w:b/>
          <w:lang w:val="it-IT"/>
        </w:rPr>
        <w:t>, Erminia Manfrin</w:t>
      </w:r>
      <w:r w:rsidRPr="008A20FA">
        <w:rPr>
          <w:rFonts w:ascii="Times New Roman" w:hAnsi="Times New Roman" w:cs="Times New Roman"/>
          <w:b/>
          <w:vertAlign w:val="superscript"/>
          <w:lang w:val="it-IT"/>
        </w:rPr>
        <w:t>4</w:t>
      </w:r>
      <w:r w:rsidRPr="008A20FA">
        <w:rPr>
          <w:rFonts w:ascii="Times New Roman" w:hAnsi="Times New Roman" w:cs="Times New Roman"/>
          <w:b/>
          <w:lang w:val="it-IT"/>
        </w:rPr>
        <w:t>, Somayehsadat Ghasemi</w:t>
      </w:r>
      <w:r w:rsidRPr="008A20FA">
        <w:rPr>
          <w:rFonts w:ascii="Times New Roman" w:hAnsi="Times New Roman" w:cs="Times New Roman"/>
          <w:b/>
          <w:vertAlign w:val="superscript"/>
          <w:lang w:val="it-IT"/>
        </w:rPr>
        <w:t>4</w:t>
      </w:r>
      <w:r w:rsidRPr="008A20FA">
        <w:rPr>
          <w:rFonts w:ascii="Times New Roman" w:hAnsi="Times New Roman" w:cs="Times New Roman"/>
          <w:b/>
          <w:lang w:val="it-IT"/>
        </w:rPr>
        <w:t>, Michele Ceccarelli</w:t>
      </w:r>
      <w:r w:rsidRPr="008A20FA">
        <w:rPr>
          <w:rFonts w:ascii="Times New Roman" w:hAnsi="Times New Roman" w:cs="Times New Roman"/>
          <w:b/>
          <w:vertAlign w:val="superscript"/>
          <w:lang w:val="it-IT"/>
        </w:rPr>
        <w:t>6,7</w:t>
      </w:r>
      <w:r w:rsidRPr="008A20FA">
        <w:rPr>
          <w:rFonts w:ascii="Times New Roman" w:hAnsi="Times New Roman" w:cs="Times New Roman"/>
          <w:b/>
          <w:lang w:val="it-IT"/>
        </w:rPr>
        <w:t>, Luigi Cerulo</w:t>
      </w:r>
      <w:r w:rsidRPr="008A20FA">
        <w:rPr>
          <w:rFonts w:ascii="Times New Roman" w:hAnsi="Times New Roman" w:cs="Times New Roman"/>
          <w:b/>
          <w:vertAlign w:val="superscript"/>
          <w:lang w:val="it-IT"/>
        </w:rPr>
        <w:t>6,7</w:t>
      </w:r>
      <w:r w:rsidRPr="008A20FA">
        <w:rPr>
          <w:rFonts w:ascii="Times New Roman" w:hAnsi="Times New Roman" w:cs="Times New Roman"/>
          <w:b/>
          <w:lang w:val="it-IT"/>
        </w:rPr>
        <w:t>, Flavia Bazzoni</w:t>
      </w:r>
      <w:r w:rsidRPr="008A20FA">
        <w:rPr>
          <w:rFonts w:ascii="Times New Roman" w:hAnsi="Times New Roman" w:cs="Times New Roman"/>
          <w:b/>
          <w:vertAlign w:val="superscript"/>
          <w:lang w:val="it-IT"/>
        </w:rPr>
        <w:t>4</w:t>
      </w:r>
      <w:r w:rsidRPr="008A20FA">
        <w:rPr>
          <w:rFonts w:ascii="Times New Roman" w:hAnsi="Times New Roman" w:cs="Times New Roman"/>
          <w:b/>
          <w:lang w:val="it-IT"/>
        </w:rPr>
        <w:t xml:space="preserve"> and Massimo Pancione</w:t>
      </w:r>
      <w:r w:rsidRPr="008A20FA">
        <w:rPr>
          <w:rFonts w:ascii="Times New Roman" w:hAnsi="Times New Roman" w:cs="Times New Roman"/>
          <w:b/>
          <w:vertAlign w:val="superscript"/>
          <w:lang w:val="it-IT"/>
        </w:rPr>
        <w:t>7*</w:t>
      </w:r>
    </w:p>
    <w:p w:rsidR="009064FC" w:rsidRPr="008A20FA" w:rsidRDefault="009064FC" w:rsidP="009064FC">
      <w:pPr>
        <w:spacing w:after="0" w:line="360" w:lineRule="auto"/>
        <w:ind w:right="567"/>
        <w:jc w:val="both"/>
        <w:rPr>
          <w:rFonts w:ascii="Times New Roman" w:hAnsi="Times New Roman" w:cs="Times New Roman"/>
          <w:b/>
          <w:vertAlign w:val="superscript"/>
          <w:lang w:val="it-IT"/>
        </w:rPr>
      </w:pPr>
    </w:p>
    <w:p w:rsidR="009064FC" w:rsidRPr="008A20FA" w:rsidRDefault="009064FC" w:rsidP="009064FC">
      <w:pPr>
        <w:spacing w:after="0" w:line="360" w:lineRule="auto"/>
        <w:ind w:right="567"/>
        <w:jc w:val="both"/>
        <w:rPr>
          <w:rFonts w:ascii="Times New Roman" w:hAnsi="Times New Roman" w:cs="Times New Roman"/>
          <w:color w:val="000000"/>
          <w:sz w:val="18"/>
          <w:szCs w:val="18"/>
        </w:rPr>
      </w:pPr>
      <w:r w:rsidRPr="008A20FA">
        <w:rPr>
          <w:rFonts w:ascii="Times New Roman" w:eastAsia="MinionPro-Regular" w:hAnsi="Times New Roman" w:cs="Times New Roman"/>
          <w:color w:val="000000" w:themeColor="text1"/>
          <w:sz w:val="22"/>
          <w:szCs w:val="22"/>
          <w:vertAlign w:val="superscript"/>
        </w:rPr>
        <w:t>1</w:t>
      </w:r>
      <w:r w:rsidRPr="008A20FA">
        <w:rPr>
          <w:rFonts w:ascii="Times New Roman" w:eastAsia="MinionPro-Regular" w:hAnsi="Times New Roman" w:cs="Times New Roman"/>
          <w:color w:val="000000" w:themeColor="text1"/>
          <w:sz w:val="22"/>
          <w:szCs w:val="22"/>
        </w:rPr>
        <w:t xml:space="preserve">Medical Oncology Unit, Fatebenefratelli Hospital, 82100 Benevento, Italy; </w:t>
      </w:r>
      <w:r w:rsidRPr="008A20FA">
        <w:rPr>
          <w:rFonts w:ascii="Times New Roman" w:eastAsia="MinionPro-Regular" w:hAnsi="Times New Roman" w:cs="Times New Roman"/>
          <w:color w:val="000000" w:themeColor="text1"/>
          <w:sz w:val="22"/>
          <w:szCs w:val="22"/>
          <w:vertAlign w:val="superscript"/>
        </w:rPr>
        <w:t>2</w:t>
      </w:r>
      <w:r w:rsidRPr="008A20FA">
        <w:rPr>
          <w:rFonts w:ascii="Times New Roman" w:eastAsia="MinionPro-Regular" w:hAnsi="Times New Roman" w:cs="Times New Roman"/>
          <w:color w:val="000000" w:themeColor="text1"/>
          <w:sz w:val="22"/>
          <w:szCs w:val="22"/>
        </w:rPr>
        <w:t>Department of Clinical Pathology, Fatebenefratelli Hospital, 82100 Benevento, Italy;</w:t>
      </w:r>
      <w:r w:rsidRPr="008A20FA">
        <w:rPr>
          <w:rFonts w:ascii="Times New Roman" w:hAnsi="Times New Roman" w:cs="Times New Roman"/>
          <w:bCs/>
          <w:color w:val="000000" w:themeColor="text1"/>
          <w:sz w:val="22"/>
          <w:szCs w:val="22"/>
          <w:vertAlign w:val="superscript"/>
        </w:rPr>
        <w:t xml:space="preserve"> 3</w:t>
      </w:r>
      <w:r w:rsidRPr="008A20FA">
        <w:rPr>
          <w:rFonts w:ascii="Times New Roman" w:eastAsia="MinionPro-Regular" w:hAnsi="Times New Roman" w:cs="Times New Roman"/>
          <w:color w:val="000000" w:themeColor="text1"/>
          <w:sz w:val="22"/>
          <w:szCs w:val="22"/>
        </w:rPr>
        <w:t xml:space="preserve">National Institute of Molecular Genetics </w:t>
      </w:r>
      <w:r w:rsidRPr="008A20FA">
        <w:rPr>
          <w:rFonts w:ascii="Times New Roman" w:eastAsia="MinionPro-Regular" w:hAnsi="Times New Roman" w:cs="Times New Roman"/>
          <w:i/>
          <w:color w:val="000000" w:themeColor="text1"/>
          <w:sz w:val="20"/>
          <w:szCs w:val="20"/>
        </w:rPr>
        <w:t>“Romeo and Enrica</w:t>
      </w:r>
      <w:r w:rsidR="00955B69">
        <w:rPr>
          <w:rFonts w:ascii="Times New Roman" w:eastAsia="MinionPro-Regular" w:hAnsi="Times New Roman" w:cs="Times New Roman"/>
          <w:i/>
          <w:color w:val="000000" w:themeColor="text1"/>
          <w:sz w:val="20"/>
          <w:szCs w:val="20"/>
        </w:rPr>
        <w:t xml:space="preserve"> </w:t>
      </w:r>
      <w:r w:rsidRPr="008A20FA">
        <w:rPr>
          <w:rFonts w:ascii="Times New Roman" w:eastAsia="MinionPro-Regular" w:hAnsi="Times New Roman" w:cs="Times New Roman"/>
          <w:i/>
          <w:color w:val="000000" w:themeColor="text1"/>
          <w:sz w:val="20"/>
          <w:szCs w:val="20"/>
        </w:rPr>
        <w:t>Invernizzi”,</w:t>
      </w:r>
      <w:r w:rsidRPr="008A20FA">
        <w:rPr>
          <w:rFonts w:ascii="Times New Roman" w:hAnsi="Times New Roman" w:cs="Times New Roman"/>
          <w:color w:val="000000"/>
          <w:sz w:val="22"/>
          <w:szCs w:val="22"/>
        </w:rPr>
        <w:t xml:space="preserve">Milan, Italy. </w:t>
      </w:r>
      <w:r w:rsidRPr="008A20FA">
        <w:rPr>
          <w:rFonts w:ascii="Times New Roman" w:eastAsia="MinionPro-Regular" w:hAnsi="Times New Roman" w:cs="Times New Roman"/>
          <w:color w:val="000000" w:themeColor="text1"/>
          <w:sz w:val="22"/>
          <w:szCs w:val="22"/>
          <w:vertAlign w:val="superscript"/>
        </w:rPr>
        <w:t>4</w:t>
      </w:r>
      <w:r w:rsidRPr="008A20FA">
        <w:rPr>
          <w:rFonts w:ascii="Times New Roman" w:eastAsia="MinionPro-Regular" w:hAnsi="Times New Roman" w:cs="Times New Roman"/>
          <w:color w:val="000000" w:themeColor="text1"/>
          <w:sz w:val="22"/>
          <w:szCs w:val="22"/>
        </w:rPr>
        <w:t>Department of Surgery and Oncology, University of Verona, 37129 Verona, Italy;</w:t>
      </w:r>
      <w:r w:rsidRPr="008A20FA">
        <w:rPr>
          <w:rFonts w:ascii="Times New Roman" w:eastAsia="MinionPro-Regular" w:hAnsi="Times New Roman" w:cs="Times New Roman"/>
          <w:color w:val="000000" w:themeColor="text1"/>
          <w:sz w:val="22"/>
          <w:szCs w:val="22"/>
          <w:vertAlign w:val="superscript"/>
        </w:rPr>
        <w:t>5</w:t>
      </w:r>
      <w:r w:rsidRPr="008A20FA">
        <w:rPr>
          <w:rFonts w:ascii="Times New Roman" w:eastAsia="MinionPro-Regular" w:hAnsi="Times New Roman" w:cs="Times New Roman"/>
          <w:color w:val="000000" w:themeColor="text1"/>
          <w:sz w:val="22"/>
          <w:szCs w:val="22"/>
        </w:rPr>
        <w:t xml:space="preserve">Department of Pathology “Mater Salutis” Hospital, 37045 Legnago (Verona), Italy; </w:t>
      </w:r>
      <w:r w:rsidRPr="008A20FA">
        <w:rPr>
          <w:rFonts w:ascii="Times New Roman" w:eastAsia="MinionPro-Regular" w:hAnsi="Times New Roman" w:cs="Times New Roman"/>
          <w:color w:val="000000" w:themeColor="text1"/>
          <w:sz w:val="22"/>
          <w:szCs w:val="22"/>
          <w:vertAlign w:val="superscript"/>
        </w:rPr>
        <w:t>6</w:t>
      </w:r>
      <w:r w:rsidRPr="008A20FA">
        <w:rPr>
          <w:rFonts w:ascii="Times New Roman" w:hAnsi="Times New Roman" w:cs="Times New Roman"/>
          <w:color w:val="000000" w:themeColor="text1"/>
          <w:sz w:val="22"/>
          <w:szCs w:val="22"/>
        </w:rPr>
        <w:t>Bioinformatics Laboratory, BIOGEM scrl, Ariano</w:t>
      </w:r>
      <w:r w:rsidR="00D56FF6">
        <w:rPr>
          <w:rFonts w:ascii="Times New Roman" w:hAnsi="Times New Roman" w:cs="Times New Roman"/>
          <w:color w:val="000000" w:themeColor="text1"/>
          <w:sz w:val="22"/>
          <w:szCs w:val="22"/>
        </w:rPr>
        <w:t xml:space="preserve"> </w:t>
      </w:r>
      <w:r w:rsidRPr="008A20FA">
        <w:rPr>
          <w:rFonts w:ascii="Times New Roman" w:hAnsi="Times New Roman" w:cs="Times New Roman"/>
          <w:color w:val="000000" w:themeColor="text1"/>
          <w:sz w:val="22"/>
          <w:szCs w:val="22"/>
        </w:rPr>
        <w:t xml:space="preserve">Irpino, Avellino, Italy; </w:t>
      </w:r>
      <w:r w:rsidRPr="008A20FA">
        <w:rPr>
          <w:rFonts w:ascii="Times New Roman" w:hAnsi="Times New Roman" w:cs="Times New Roman"/>
          <w:color w:val="000000" w:themeColor="text1"/>
          <w:sz w:val="22"/>
          <w:szCs w:val="22"/>
          <w:vertAlign w:val="superscript"/>
        </w:rPr>
        <w:t>7</w:t>
      </w:r>
      <w:r w:rsidRPr="008A20FA">
        <w:rPr>
          <w:rFonts w:ascii="Times New Roman" w:hAnsi="Times New Roman" w:cs="Times New Roman"/>
          <w:color w:val="000000"/>
          <w:sz w:val="22"/>
          <w:szCs w:val="22"/>
        </w:rPr>
        <w:t>D</w:t>
      </w:r>
      <w:r w:rsidRPr="008A20FA">
        <w:rPr>
          <w:rFonts w:ascii="Times New Roman" w:eastAsia="MinionPro-Regular" w:hAnsi="Times New Roman" w:cs="Times New Roman"/>
          <w:color w:val="000000" w:themeColor="text1"/>
          <w:sz w:val="22"/>
          <w:szCs w:val="22"/>
        </w:rPr>
        <w:t>epartment of Sciences and Technologies, University of Sannio, 82100 Benevento, Italy.</w:t>
      </w:r>
    </w:p>
    <w:p w:rsidR="009064FC" w:rsidRPr="008A20FA" w:rsidRDefault="009064FC" w:rsidP="00BB0D1C">
      <w:pPr>
        <w:spacing w:after="0" w:line="360" w:lineRule="auto"/>
        <w:ind w:right="567"/>
        <w:jc w:val="both"/>
        <w:rPr>
          <w:rFonts w:ascii="Times New Roman" w:hAnsi="Times New Roman" w:cs="Times New Roman"/>
          <w:b/>
        </w:rPr>
      </w:pPr>
    </w:p>
    <w:p w:rsidR="009064FC" w:rsidRPr="008A20FA" w:rsidRDefault="009064FC" w:rsidP="00BB0D1C">
      <w:pPr>
        <w:spacing w:after="0" w:line="360" w:lineRule="auto"/>
        <w:ind w:right="567"/>
        <w:jc w:val="both"/>
        <w:rPr>
          <w:rFonts w:ascii="Times New Roman" w:hAnsi="Times New Roman" w:cs="Times New Roman"/>
          <w:b/>
        </w:rPr>
      </w:pPr>
    </w:p>
    <w:p w:rsidR="00BB0D1C" w:rsidRPr="008A20FA" w:rsidRDefault="004B7ED7" w:rsidP="00BB0D1C">
      <w:pPr>
        <w:spacing w:after="0" w:line="360" w:lineRule="auto"/>
        <w:ind w:right="567"/>
        <w:jc w:val="both"/>
        <w:rPr>
          <w:rFonts w:ascii="Times New Roman" w:hAnsi="Times New Roman" w:cs="Times New Roman"/>
          <w:b/>
        </w:rPr>
      </w:pPr>
      <w:r w:rsidRPr="008A20FA">
        <w:rPr>
          <w:rFonts w:ascii="Times New Roman" w:hAnsi="Times New Roman" w:cs="Times New Roman"/>
          <w:b/>
        </w:rPr>
        <w:t>Supplementary Methods</w:t>
      </w:r>
    </w:p>
    <w:p w:rsidR="004B7ED7" w:rsidRPr="008A20FA" w:rsidRDefault="004B7ED7" w:rsidP="00BB0D1C">
      <w:pPr>
        <w:spacing w:after="0" w:line="360" w:lineRule="auto"/>
        <w:ind w:right="567"/>
        <w:jc w:val="both"/>
        <w:rPr>
          <w:rFonts w:ascii="Times New Roman" w:hAnsi="Times New Roman" w:cs="Times New Roman"/>
          <w:b/>
        </w:rPr>
      </w:pPr>
      <w:r w:rsidRPr="008A20FA">
        <w:rPr>
          <w:rFonts w:ascii="Times New Roman" w:hAnsi="Times New Roman" w:cs="Times New Roman"/>
          <w:b/>
        </w:rPr>
        <w:t>Patient population and Samples</w:t>
      </w:r>
    </w:p>
    <w:p w:rsidR="005D0848" w:rsidRPr="008A20FA" w:rsidRDefault="006F1E31" w:rsidP="00BB0D1C">
      <w:pPr>
        <w:spacing w:after="0" w:line="360" w:lineRule="auto"/>
        <w:ind w:right="567"/>
        <w:jc w:val="both"/>
        <w:rPr>
          <w:rFonts w:ascii="Times New Roman" w:hAnsi="Times New Roman" w:cs="Times New Roman"/>
          <w:color w:val="000000" w:themeColor="text1"/>
        </w:rPr>
      </w:pPr>
      <w:r w:rsidRPr="008A20FA">
        <w:rPr>
          <w:rFonts w:ascii="Times New Roman" w:hAnsi="Times New Roman" w:cs="Times New Roman"/>
          <w:color w:val="000000" w:themeColor="text1"/>
        </w:rPr>
        <w:t xml:space="preserve">Clinical records and </w:t>
      </w:r>
      <w:r w:rsidRPr="008A20FA">
        <w:rPr>
          <w:rStyle w:val="st1"/>
          <w:rFonts w:ascii="Times New Roman" w:hAnsi="Times New Roman" w:cs="Times New Roman"/>
          <w:color w:val="000000" w:themeColor="text1"/>
        </w:rPr>
        <w:t xml:space="preserve">archival primary </w:t>
      </w:r>
      <w:r w:rsidRPr="008A20FA">
        <w:rPr>
          <w:rStyle w:val="Enfasicorsivo"/>
          <w:rFonts w:ascii="Times New Roman" w:hAnsi="Times New Roman" w:cs="Times New Roman"/>
          <w:b w:val="0"/>
          <w:color w:val="000000" w:themeColor="text1"/>
        </w:rPr>
        <w:t>tumor</w:t>
      </w:r>
      <w:r w:rsidRPr="008A20FA">
        <w:rPr>
          <w:rStyle w:val="st1"/>
          <w:rFonts w:ascii="Times New Roman" w:hAnsi="Times New Roman" w:cs="Times New Roman"/>
          <w:color w:val="000000" w:themeColor="text1"/>
        </w:rPr>
        <w:t xml:space="preserve"> FFPE</w:t>
      </w:r>
      <w:r w:rsidRPr="008A20FA">
        <w:rPr>
          <w:rStyle w:val="Enfasicorsivo"/>
          <w:rFonts w:ascii="Times New Roman" w:hAnsi="Times New Roman" w:cs="Times New Roman"/>
          <w:b w:val="0"/>
          <w:color w:val="000000" w:themeColor="text1"/>
        </w:rPr>
        <w:t>block of</w:t>
      </w:r>
      <w:r w:rsidRPr="008A20FA">
        <w:rPr>
          <w:rFonts w:ascii="Times New Roman" w:hAnsi="Times New Roman" w:cs="Times New Roman"/>
          <w:color w:val="000000" w:themeColor="text1"/>
        </w:rPr>
        <w:t xml:space="preserve"> patients treated with target-agents Cetuximab and Bevacizumab based first line therapy at Medical Oncology Unit of SacroCuoreGesù, Fatebenefratelli Hospital in Benevento (Italy), and </w:t>
      </w:r>
      <w:r w:rsidRPr="008A20FA">
        <w:rPr>
          <w:rFonts w:ascii="Times New Roman" w:eastAsia="ArialMT" w:hAnsi="Times New Roman" w:cs="Times New Roman"/>
          <w:color w:val="000000" w:themeColor="text1"/>
        </w:rPr>
        <w:t xml:space="preserve">Department of Oncology and Pathology, Mater Salutis Hospital, Legnago Verona, (Italy) </w:t>
      </w:r>
      <w:r w:rsidRPr="008A20FA">
        <w:rPr>
          <w:rFonts w:ascii="Times New Roman" w:hAnsi="Times New Roman" w:cs="Times New Roman"/>
          <w:color w:val="000000" w:themeColor="text1"/>
        </w:rPr>
        <w:t>between January 2010 and December 2013,w</w:t>
      </w:r>
      <w:r w:rsidR="00352023" w:rsidRPr="008A20FA">
        <w:rPr>
          <w:rFonts w:ascii="Times New Roman" w:hAnsi="Times New Roman" w:cs="Times New Roman"/>
          <w:color w:val="000000" w:themeColor="text1"/>
        </w:rPr>
        <w:t xml:space="preserve">ere retrospectively collected. </w:t>
      </w:r>
      <w:r w:rsidR="00487E76" w:rsidRPr="008A20FA">
        <w:rPr>
          <w:rFonts w:ascii="Times New Roman" w:hAnsi="Times New Roman" w:cs="Times New Roman"/>
          <w:color w:val="000000" w:themeColor="text1"/>
        </w:rPr>
        <w:t>The patients included in the study</w:t>
      </w:r>
      <w:r w:rsidR="005D0848" w:rsidRPr="008A20FA">
        <w:rPr>
          <w:rFonts w:ascii="Times New Roman" w:hAnsi="Times New Roman" w:cs="Times New Roman"/>
          <w:color w:val="000000" w:themeColor="text1"/>
        </w:rPr>
        <w:t xml:space="preserve"> (n=102), were considered eligible if they had histologically confirmed metastatic colorectal adenocarcinoma, measurable disease, clinical data regarding medical history, trea</w:t>
      </w:r>
      <w:r w:rsidR="00DE32C3" w:rsidRPr="008A20FA">
        <w:rPr>
          <w:rFonts w:ascii="Times New Roman" w:hAnsi="Times New Roman" w:cs="Times New Roman"/>
          <w:color w:val="000000" w:themeColor="text1"/>
        </w:rPr>
        <w:t xml:space="preserve">tment and outcomes and </w:t>
      </w:r>
      <w:r w:rsidR="002547F6" w:rsidRPr="008A20FA">
        <w:rPr>
          <w:rFonts w:ascii="Times New Roman" w:hAnsi="Times New Roman" w:cs="Times New Roman"/>
          <w:color w:val="000000" w:themeColor="text1"/>
        </w:rPr>
        <w:t xml:space="preserve">finally </w:t>
      </w:r>
      <w:r w:rsidR="00DE32C3" w:rsidRPr="008A20FA">
        <w:rPr>
          <w:rFonts w:ascii="Times New Roman" w:hAnsi="Times New Roman" w:cs="Times New Roman"/>
          <w:color w:val="000000" w:themeColor="text1"/>
        </w:rPr>
        <w:t>whole</w:t>
      </w:r>
      <w:r w:rsidR="005D0848" w:rsidRPr="008A20FA">
        <w:rPr>
          <w:rFonts w:ascii="Times New Roman" w:hAnsi="Times New Roman" w:cs="Times New Roman"/>
          <w:color w:val="000000" w:themeColor="text1"/>
        </w:rPr>
        <w:t xml:space="preserve"> Formalin Fixed Paraffin Embedded (FFPE) paraffin-embedded block of the primary tumors.  </w:t>
      </w:r>
    </w:p>
    <w:p w:rsidR="00487E76" w:rsidRPr="008A20FA" w:rsidRDefault="005D0848" w:rsidP="00BB0D1C">
      <w:pPr>
        <w:spacing w:after="0" w:line="360" w:lineRule="auto"/>
        <w:ind w:right="567"/>
        <w:jc w:val="both"/>
        <w:rPr>
          <w:rFonts w:ascii="Times New Roman" w:eastAsia="AdvOT1ef757c0" w:hAnsi="Times New Roman" w:cs="Times New Roman"/>
          <w:color w:val="000000" w:themeColor="text1"/>
        </w:rPr>
      </w:pPr>
      <w:r w:rsidRPr="008A20FA">
        <w:rPr>
          <w:rFonts w:ascii="Times New Roman" w:hAnsi="Times New Roman" w:cs="Times New Roman"/>
          <w:color w:val="000000" w:themeColor="text1"/>
        </w:rPr>
        <w:t>Patients were excluded from our evaluation if they had missing information about clinico-pathological feat</w:t>
      </w:r>
      <w:r w:rsidR="00487E76" w:rsidRPr="008A20FA">
        <w:rPr>
          <w:rFonts w:ascii="Times New Roman" w:hAnsi="Times New Roman" w:cs="Times New Roman"/>
          <w:color w:val="000000" w:themeColor="text1"/>
        </w:rPr>
        <w:t>ures</w:t>
      </w:r>
      <w:r w:rsidRPr="008A20FA">
        <w:rPr>
          <w:rFonts w:ascii="Times New Roman" w:hAnsi="Times New Roman" w:cs="Times New Roman"/>
          <w:color w:val="000000" w:themeColor="text1"/>
        </w:rPr>
        <w:t xml:space="preserve">. The study was approved by </w:t>
      </w:r>
      <w:r w:rsidR="00DE32C3" w:rsidRPr="008A20FA">
        <w:rPr>
          <w:rFonts w:ascii="Times New Roman" w:hAnsi="Times New Roman" w:cs="Times New Roman"/>
          <w:color w:val="000000" w:themeColor="text1"/>
        </w:rPr>
        <w:t xml:space="preserve">approved by the Institutional Review Board of the Fatebenefratelli and </w:t>
      </w:r>
      <w:r w:rsidR="00DE32C3" w:rsidRPr="008A20FA">
        <w:rPr>
          <w:rFonts w:ascii="Times New Roman" w:eastAsia="ArialMT" w:hAnsi="Times New Roman" w:cs="Times New Roman"/>
          <w:color w:val="000000" w:themeColor="text1"/>
        </w:rPr>
        <w:t>Legnago Hospital</w:t>
      </w:r>
      <w:r w:rsidR="00DE32C3" w:rsidRPr="008A20FA">
        <w:rPr>
          <w:rFonts w:ascii="Times New Roman" w:hAnsi="Times New Roman" w:cs="Times New Roman"/>
          <w:color w:val="000000" w:themeColor="text1"/>
        </w:rPr>
        <w:t xml:space="preserve"> and carried out</w:t>
      </w:r>
      <w:r w:rsidR="00BB740F">
        <w:rPr>
          <w:rFonts w:ascii="Times New Roman" w:hAnsi="Times New Roman" w:cs="Times New Roman"/>
          <w:color w:val="000000" w:themeColor="text1"/>
        </w:rPr>
        <w:t xml:space="preserve"> </w:t>
      </w:r>
      <w:r w:rsidR="00DE32C3" w:rsidRPr="008A20FA">
        <w:rPr>
          <w:rFonts w:ascii="Times New Roman" w:hAnsi="Times New Roman" w:cs="Times New Roman"/>
          <w:color w:val="000000" w:themeColor="text1"/>
        </w:rPr>
        <w:t>in accordance with the Declaration of Helsinki under good clinical practice</w:t>
      </w:r>
      <w:r w:rsidR="00BB740F">
        <w:rPr>
          <w:rFonts w:ascii="Times New Roman" w:hAnsi="Times New Roman" w:cs="Times New Roman"/>
          <w:color w:val="000000" w:themeColor="text1"/>
        </w:rPr>
        <w:t xml:space="preserve"> </w:t>
      </w:r>
      <w:r w:rsidR="00DE32C3" w:rsidRPr="008A20FA">
        <w:rPr>
          <w:rFonts w:ascii="Times New Roman" w:hAnsi="Times New Roman" w:cs="Times New Roman"/>
          <w:color w:val="000000" w:themeColor="text1"/>
        </w:rPr>
        <w:t>and full ethics committee approval.</w:t>
      </w:r>
    </w:p>
    <w:p w:rsidR="00213748" w:rsidRPr="008A20FA" w:rsidRDefault="005D0848" w:rsidP="00213748">
      <w:pPr>
        <w:spacing w:after="0" w:line="360" w:lineRule="auto"/>
        <w:ind w:right="567"/>
        <w:jc w:val="both"/>
        <w:rPr>
          <w:rFonts w:ascii="Times New Roman" w:hAnsi="Times New Roman" w:cs="Times New Roman"/>
          <w:color w:val="000000" w:themeColor="text1"/>
        </w:rPr>
      </w:pPr>
      <w:r w:rsidRPr="008A20FA">
        <w:rPr>
          <w:rFonts w:ascii="Times New Roman" w:hAnsi="Times New Roman" w:cs="Times New Roman"/>
          <w:color w:val="000000" w:themeColor="text1"/>
        </w:rPr>
        <w:t xml:space="preserve">To avoid bias election, patients were enrolled consecutively and  consisted of two independent cohorts: a) a </w:t>
      </w:r>
      <w:r w:rsidR="00487E76" w:rsidRPr="008A20FA">
        <w:rPr>
          <w:rFonts w:ascii="Times New Roman" w:hAnsi="Times New Roman" w:cs="Times New Roman"/>
          <w:color w:val="000000" w:themeColor="text1"/>
        </w:rPr>
        <w:t xml:space="preserve">discovery set </w:t>
      </w:r>
      <w:r w:rsidR="00723C04" w:rsidRPr="008A20FA">
        <w:rPr>
          <w:rFonts w:ascii="Times New Roman" w:hAnsi="Times New Roman" w:cs="Times New Roman"/>
          <w:color w:val="000000" w:themeColor="text1"/>
        </w:rPr>
        <w:t xml:space="preserve">(n=32) </w:t>
      </w:r>
      <w:r w:rsidRPr="008A20FA">
        <w:rPr>
          <w:rFonts w:ascii="Times New Roman" w:hAnsi="Times New Roman" w:cs="Times New Roman"/>
          <w:color w:val="000000" w:themeColor="text1"/>
        </w:rPr>
        <w:t xml:space="preserve">to explore the potential relationship among </w:t>
      </w:r>
      <w:r w:rsidRPr="008A20FA">
        <w:rPr>
          <w:rFonts w:ascii="Times New Roman" w:hAnsi="Times New Roman" w:cs="Times New Roman"/>
          <w:color w:val="000000" w:themeColor="text1"/>
        </w:rPr>
        <w:lastRenderedPageBreak/>
        <w:t>peritumoral</w:t>
      </w:r>
      <w:r w:rsidR="002547F6" w:rsidRPr="008A20FA">
        <w:rPr>
          <w:rFonts w:ascii="Times New Roman" w:hAnsi="Times New Roman" w:cs="Times New Roman"/>
          <w:color w:val="000000" w:themeColor="text1"/>
        </w:rPr>
        <w:t xml:space="preserve">immune </w:t>
      </w:r>
      <w:r w:rsidRPr="008A20FA">
        <w:rPr>
          <w:rFonts w:ascii="Times New Roman" w:hAnsi="Times New Roman" w:cs="Times New Roman"/>
          <w:color w:val="000000" w:themeColor="text1"/>
        </w:rPr>
        <w:t>infiltration, systemic inflammatory response and patients’</w:t>
      </w:r>
      <w:r w:rsidR="00723C04" w:rsidRPr="008A20FA">
        <w:rPr>
          <w:rFonts w:ascii="Times New Roman" w:hAnsi="Times New Roman" w:cs="Times New Roman"/>
          <w:color w:val="000000" w:themeColor="text1"/>
        </w:rPr>
        <w:t xml:space="preserve"> outcome; b) validation set (n=70) </w:t>
      </w:r>
      <w:r w:rsidRPr="008A20FA">
        <w:rPr>
          <w:rFonts w:ascii="Times New Roman" w:hAnsi="Times New Roman" w:cs="Times New Roman"/>
          <w:color w:val="000000" w:themeColor="text1"/>
        </w:rPr>
        <w:t>to assess the prognostic impact of the identified markers in a larger population comprising a total of 102 cases</w:t>
      </w:r>
      <w:r w:rsidR="002944A3">
        <w:rPr>
          <w:rFonts w:ascii="Times New Roman" w:hAnsi="Times New Roman" w:cs="Times New Roman"/>
          <w:color w:val="000000" w:themeColor="text1"/>
        </w:rPr>
        <w:t xml:space="preserve"> </w:t>
      </w:r>
      <w:r w:rsidR="002944A3">
        <w:rPr>
          <w:rFonts w:ascii="Times New Roman" w:hAnsi="Times New Roman" w:cs="Times New Roman"/>
          <w:b/>
          <w:color w:val="000000" w:themeColor="text1"/>
        </w:rPr>
        <w:t>(</w:t>
      </w:r>
      <w:r w:rsidR="00D54D5F" w:rsidRPr="008A20FA">
        <w:rPr>
          <w:rFonts w:ascii="Times New Roman" w:hAnsi="Times New Roman" w:cs="Times New Roman"/>
          <w:b/>
          <w:color w:val="000000" w:themeColor="text1"/>
        </w:rPr>
        <w:t xml:space="preserve">Table </w:t>
      </w:r>
      <w:r w:rsidR="002944A3">
        <w:rPr>
          <w:rFonts w:ascii="Times New Roman" w:hAnsi="Times New Roman" w:cs="Times New Roman"/>
          <w:b/>
          <w:color w:val="000000" w:themeColor="text1"/>
        </w:rPr>
        <w:t>S</w:t>
      </w:r>
      <w:r w:rsidR="00D54D5F" w:rsidRPr="008A20FA">
        <w:rPr>
          <w:rFonts w:ascii="Times New Roman" w:hAnsi="Times New Roman" w:cs="Times New Roman"/>
          <w:b/>
          <w:color w:val="000000" w:themeColor="text1"/>
        </w:rPr>
        <w:t>1)</w:t>
      </w:r>
      <w:r w:rsidRPr="008A20FA">
        <w:rPr>
          <w:rFonts w:ascii="Times New Roman" w:hAnsi="Times New Roman" w:cs="Times New Roman"/>
          <w:b/>
          <w:color w:val="000000" w:themeColor="text1"/>
        </w:rPr>
        <w:t>.</w:t>
      </w:r>
      <w:r w:rsidR="00723C04" w:rsidRPr="008A20FA">
        <w:rPr>
          <w:rFonts w:ascii="Times New Roman" w:hAnsi="Times New Roman" w:cs="Times New Roman"/>
          <w:color w:val="000000" w:themeColor="text1"/>
        </w:rPr>
        <w:t>Twenty-two normal adjacent mucosa were available and used as control</w:t>
      </w:r>
      <w:r w:rsidR="00352023" w:rsidRPr="008A20FA">
        <w:rPr>
          <w:rFonts w:ascii="Times New Roman" w:eastAsia="AdvOT1ef757c0" w:hAnsi="Times New Roman" w:cs="Times New Roman"/>
          <w:color w:val="000000" w:themeColor="text1"/>
        </w:rPr>
        <w:t xml:space="preserve">. </w:t>
      </w:r>
      <w:r w:rsidRPr="008A20FA">
        <w:rPr>
          <w:rFonts w:ascii="Times New Roman" w:eastAsia="AdvOT1ef757c0" w:hAnsi="Times New Roman" w:cs="Times New Roman"/>
          <w:color w:val="000000" w:themeColor="text1"/>
        </w:rPr>
        <w:t>Tumors were staged using the conventional tumor, node, metastasis</w:t>
      </w:r>
      <w:r w:rsidR="002944A3">
        <w:rPr>
          <w:rFonts w:ascii="Times New Roman" w:eastAsia="AdvOT1ef757c0" w:hAnsi="Times New Roman" w:cs="Times New Roman"/>
          <w:color w:val="000000" w:themeColor="text1"/>
        </w:rPr>
        <w:t xml:space="preserve"> </w:t>
      </w:r>
      <w:r w:rsidRPr="008A20FA">
        <w:rPr>
          <w:rFonts w:ascii="Times New Roman" w:eastAsia="AdvOT1ef757c0" w:hAnsi="Times New Roman" w:cs="Times New Roman"/>
          <w:color w:val="000000" w:themeColor="text1"/>
        </w:rPr>
        <w:t>(TNM) staging system, 7th edition, 2010 (AJCC, 2010). Patients with conditions known to elicit an acute or chronic systemic inflammatory response were excluded. Blood samples were  collectedon the same day of primary surgery for routine laboratory analysis of full blood count, white cell and lymphocyte counts. The neutrophil-to-lymphocyte ratio (NLR), a robust marker of systemic inflammatory response,</w:t>
      </w:r>
      <w:r w:rsidR="00723C04" w:rsidRPr="008A20FA">
        <w:rPr>
          <w:rFonts w:ascii="Times New Roman" w:eastAsia="AdvOT1ef757c0" w:hAnsi="Times New Roman" w:cs="Times New Roman"/>
          <w:color w:val="000000" w:themeColor="text1"/>
        </w:rPr>
        <w:t xml:space="preserve"> was determined by dividing the absolute neutrophil count by the absolute lymphocyte count</w:t>
      </w:r>
      <w:r w:rsidR="008D6E24">
        <w:rPr>
          <w:rFonts w:ascii="Times New Roman" w:eastAsia="AdvOT1ef757c0" w:hAnsi="Times New Roman" w:cs="Times New Roman"/>
          <w:color w:val="000000" w:themeColor="text1"/>
        </w:rPr>
        <w:t xml:space="preserve"> </w:t>
      </w:r>
      <w:r w:rsidR="008D6E24">
        <w:rPr>
          <w:rFonts w:ascii="Times New Roman" w:eastAsia="AdvOT1ef757c0" w:hAnsi="Times New Roman"/>
          <w:color w:val="231F20"/>
        </w:rPr>
        <w:t>[1]</w:t>
      </w:r>
      <w:r w:rsidR="008D6E24" w:rsidRPr="00597784">
        <w:rPr>
          <w:rFonts w:ascii="Times New Roman" w:eastAsia="AdvOT1ef757c0" w:hAnsi="Times New Roman"/>
          <w:color w:val="231F20"/>
        </w:rPr>
        <w:t xml:space="preserve">. </w:t>
      </w:r>
      <w:r w:rsidR="00213748" w:rsidRPr="008A20FA">
        <w:rPr>
          <w:rFonts w:ascii="Times New Roman" w:eastAsia="AdvOT1ef757c0" w:hAnsi="Times New Roman" w:cs="Times New Roman"/>
          <w:color w:val="000000" w:themeColor="text1"/>
        </w:rPr>
        <w:t xml:space="preserve">In order to determine the optimal cutoff point for clinical use, time-dependent receiver operating characteristic (ROC) curves were created for each outcome measure. The optimal NLR value for each outcome at a given time point was identified by optimizing both sensitivity and specificity. </w:t>
      </w:r>
      <w:r w:rsidR="00723C04" w:rsidRPr="008A20FA">
        <w:rPr>
          <w:rFonts w:ascii="Times New Roman" w:eastAsia="AdvOT1ef757c0" w:hAnsi="Times New Roman" w:cs="Times New Roman"/>
          <w:color w:val="000000" w:themeColor="text1"/>
        </w:rPr>
        <w:t xml:space="preserve">NLR data were then </w:t>
      </w:r>
      <w:r w:rsidR="00213748" w:rsidRPr="008A20FA">
        <w:rPr>
          <w:rFonts w:ascii="Times New Roman" w:eastAsia="AdvOT1ef757c0" w:hAnsi="Times New Roman" w:cs="Times New Roman"/>
          <w:color w:val="000000" w:themeColor="text1"/>
        </w:rPr>
        <w:t xml:space="preserve">dichotomized </w:t>
      </w:r>
      <w:r w:rsidR="004B5B67" w:rsidRPr="008A20FA">
        <w:rPr>
          <w:rFonts w:ascii="Times New Roman" w:eastAsia="AdvOT1ef757c0" w:hAnsi="Times New Roman" w:cs="Times New Roman"/>
          <w:color w:val="000000" w:themeColor="text1"/>
        </w:rPr>
        <w:t>in two classes (</w:t>
      </w:r>
      <w:r w:rsidR="00213748" w:rsidRPr="008A20FA">
        <w:rPr>
          <w:rFonts w:ascii="Times New Roman" w:eastAsia="AdvOT1ef757c0" w:hAnsi="Times New Roman" w:cs="Times New Roman"/>
          <w:color w:val="000000" w:themeColor="text1"/>
        </w:rPr>
        <w:t>≤5 or &gt;5</w:t>
      </w:r>
      <w:r w:rsidR="004B5B67" w:rsidRPr="008A20FA">
        <w:rPr>
          <w:rFonts w:ascii="Times New Roman" w:eastAsia="AdvOT1ef757c0" w:hAnsi="Times New Roman" w:cs="Times New Roman"/>
          <w:color w:val="000000" w:themeColor="text1"/>
        </w:rPr>
        <w:t>)</w:t>
      </w:r>
      <w:r w:rsidR="00213748" w:rsidRPr="008A20FA">
        <w:rPr>
          <w:rFonts w:ascii="Times New Roman" w:eastAsia="AdvOT1ef757c0" w:hAnsi="Times New Roman" w:cs="Times New Roman"/>
          <w:color w:val="000000" w:themeColor="text1"/>
        </w:rPr>
        <w:t xml:space="preserve">, respectively. Therapy </w:t>
      </w:r>
      <w:r w:rsidR="00213748" w:rsidRPr="008A20FA">
        <w:rPr>
          <w:rFonts w:ascii="Times New Roman" w:hAnsi="Times New Roman" w:cs="Times New Roman"/>
          <w:color w:val="000000" w:themeColor="text1"/>
        </w:rPr>
        <w:t xml:space="preserve">response was evaluated by clinicians every 8-12 weeks using computed tomography scan or magnetic resonance imaging according to Response Evaluation Criteria in Solid Tumors (RECIST). Patients who achieved a partial (PR) or a complete response (CR) according to RECIST and patients who achieved a disease stabilization that lasted greater than 6 months were considered responders. Patients who showed a progression disease (PD) or disease stabilization that lasted less than 6 months, conversely, were considered as nonresponders. Progression Free Survival (PFS) was defined as the time elapsed between the start of first line chemotherapy and disease progression, treatment discontinuation or death.  Overall Survival (OS) was defined as the time elapsed between the start of first line chemotherapy and death.  </w:t>
      </w:r>
    </w:p>
    <w:p w:rsidR="00213748" w:rsidRPr="008A20FA" w:rsidRDefault="00213748" w:rsidP="00213748">
      <w:pPr>
        <w:spacing w:after="0" w:line="360" w:lineRule="auto"/>
        <w:ind w:right="567"/>
        <w:jc w:val="both"/>
        <w:rPr>
          <w:rFonts w:ascii="Times New Roman" w:hAnsi="Times New Roman" w:cs="Times New Roman"/>
        </w:rPr>
      </w:pPr>
      <w:r w:rsidRPr="008A20FA">
        <w:rPr>
          <w:rFonts w:ascii="Times New Roman" w:hAnsi="Times New Roman" w:cs="Times New Roman"/>
          <w:b/>
          <w:bCs/>
        </w:rPr>
        <w:t xml:space="preserve">KRAS </w:t>
      </w:r>
      <w:r w:rsidRPr="008A20FA">
        <w:rPr>
          <w:rFonts w:ascii="Times New Roman" w:hAnsi="Times New Roman" w:cs="Times New Roman"/>
          <w:b/>
          <w:bCs/>
          <w:iCs/>
        </w:rPr>
        <w:t>Mutation Analyses</w:t>
      </w:r>
    </w:p>
    <w:p w:rsidR="00213748" w:rsidRPr="008A20FA" w:rsidRDefault="00213748" w:rsidP="00213748">
      <w:pPr>
        <w:spacing w:after="0" w:line="360" w:lineRule="auto"/>
        <w:ind w:right="567"/>
        <w:jc w:val="both"/>
        <w:rPr>
          <w:rFonts w:ascii="Times New Roman" w:hAnsi="Times New Roman" w:cs="Times New Roman"/>
        </w:rPr>
      </w:pPr>
      <w:r w:rsidRPr="008A20FA">
        <w:rPr>
          <w:rFonts w:ascii="Times New Roman" w:hAnsi="Times New Roman" w:cs="Times New Roman"/>
        </w:rPr>
        <w:t xml:space="preserve">DNA was extracted from formalin-fixed paraffin-embedded tumor tissue and from tissue recovered from stained slides used to evaluate IHC expression. </w:t>
      </w:r>
      <w:r w:rsidRPr="008A20FA">
        <w:rPr>
          <w:rFonts w:ascii="Times New Roman" w:hAnsi="Times New Roman" w:cs="Times New Roman"/>
          <w:i/>
          <w:iCs/>
        </w:rPr>
        <w:t xml:space="preserve">KRAS </w:t>
      </w:r>
      <w:r w:rsidRPr="008A20FA">
        <w:rPr>
          <w:rFonts w:ascii="Times New Roman" w:hAnsi="Times New Roman" w:cs="Times New Roman"/>
        </w:rPr>
        <w:t xml:space="preserve">mutations </w:t>
      </w:r>
      <w:r w:rsidR="00B26D98" w:rsidRPr="008A20FA">
        <w:rPr>
          <w:rFonts w:ascii="Times New Roman" w:hAnsi="Times New Roman" w:cs="Times New Roman"/>
        </w:rPr>
        <w:t>at codons 12 and 13 in e</w:t>
      </w:r>
      <w:r w:rsidR="0070436D" w:rsidRPr="008A20FA">
        <w:rPr>
          <w:rFonts w:ascii="Times New Roman" w:hAnsi="Times New Roman" w:cs="Times New Roman"/>
        </w:rPr>
        <w:t xml:space="preserve">xon 2 were detected using </w:t>
      </w:r>
      <w:r w:rsidR="00B26D98" w:rsidRPr="008A20FA">
        <w:rPr>
          <w:rFonts w:ascii="Times New Roman" w:hAnsi="Times New Roman" w:cs="Times New Roman"/>
        </w:rPr>
        <w:t xml:space="preserve">polymerase chain reaction PCR and/or direct sequencing and validated by real-time PCR </w:t>
      </w:r>
      <w:r w:rsidRPr="008A20FA">
        <w:rPr>
          <w:rFonts w:ascii="Times New Roman" w:hAnsi="Times New Roman" w:cs="Times New Roman"/>
        </w:rPr>
        <w:t>as described previously</w:t>
      </w:r>
      <w:r w:rsidR="008D6E24">
        <w:rPr>
          <w:rFonts w:ascii="Times New Roman" w:hAnsi="Times New Roman" w:cs="Times New Roman"/>
        </w:rPr>
        <w:t xml:space="preserve"> </w:t>
      </w:r>
      <w:r w:rsidR="008D6E24">
        <w:rPr>
          <w:rFonts w:ascii="Times New Roman" w:eastAsia="AdvOT1ef757c0" w:hAnsi="Times New Roman"/>
          <w:color w:val="231F20"/>
        </w:rPr>
        <w:t>[2]</w:t>
      </w:r>
      <w:r w:rsidR="008D6E24" w:rsidRPr="00597784">
        <w:rPr>
          <w:rFonts w:ascii="Times New Roman" w:eastAsia="AdvOT1ef757c0" w:hAnsi="Times New Roman"/>
          <w:color w:val="231F20"/>
        </w:rPr>
        <w:t xml:space="preserve">. </w:t>
      </w:r>
      <w:r w:rsidRPr="008A20FA">
        <w:rPr>
          <w:rFonts w:ascii="Times New Roman" w:hAnsi="Times New Roman" w:cs="Times New Roman"/>
        </w:rPr>
        <w:t>Inv</w:t>
      </w:r>
      <w:r w:rsidR="006F1E31" w:rsidRPr="008A20FA">
        <w:rPr>
          <w:rFonts w:ascii="Times New Roman" w:hAnsi="Times New Roman" w:cs="Times New Roman"/>
        </w:rPr>
        <w:t xml:space="preserve">estigators who performed </w:t>
      </w:r>
      <w:r w:rsidRPr="008A20FA">
        <w:rPr>
          <w:rFonts w:ascii="Times New Roman" w:hAnsi="Times New Roman" w:cs="Times New Roman"/>
        </w:rPr>
        <w:t xml:space="preserve">molecular analyses were blinded to patient characteristics and outcomes. </w:t>
      </w:r>
    </w:p>
    <w:p w:rsidR="00B26D98" w:rsidRPr="008A20FA" w:rsidRDefault="00B26D98" w:rsidP="00B26D98">
      <w:pPr>
        <w:spacing w:after="0" w:line="360" w:lineRule="auto"/>
        <w:ind w:right="567"/>
        <w:jc w:val="both"/>
        <w:rPr>
          <w:rFonts w:ascii="Times New Roman" w:hAnsi="Times New Roman" w:cs="Times New Roman"/>
          <w:b/>
        </w:rPr>
      </w:pPr>
      <w:r w:rsidRPr="008A20FA">
        <w:rPr>
          <w:rFonts w:ascii="Times New Roman" w:hAnsi="Times New Roman" w:cs="Times New Roman"/>
          <w:b/>
        </w:rPr>
        <w:t xml:space="preserve">Tissue Microarray construction </w:t>
      </w:r>
    </w:p>
    <w:p w:rsidR="00B455FF" w:rsidRPr="008A20FA" w:rsidRDefault="007B59FF" w:rsidP="00593D3A">
      <w:pPr>
        <w:spacing w:after="0" w:line="360" w:lineRule="auto"/>
        <w:ind w:right="567"/>
        <w:jc w:val="both"/>
        <w:rPr>
          <w:rFonts w:ascii="Times New Roman" w:hAnsi="Times New Roman" w:cs="Times New Roman"/>
        </w:rPr>
      </w:pPr>
      <w:r w:rsidRPr="008A20FA">
        <w:rPr>
          <w:rFonts w:ascii="Times New Roman" w:hAnsi="Times New Roman" w:cs="Times New Roman"/>
        </w:rPr>
        <w:t>Tissue microarrays</w:t>
      </w:r>
      <w:r w:rsidR="002944A3">
        <w:rPr>
          <w:rFonts w:ascii="Times New Roman" w:hAnsi="Times New Roman" w:cs="Times New Roman"/>
        </w:rPr>
        <w:t xml:space="preserve"> </w:t>
      </w:r>
      <w:r w:rsidRPr="008A20FA">
        <w:rPr>
          <w:rFonts w:ascii="Times New Roman" w:hAnsi="Times New Roman" w:cs="Times New Roman"/>
        </w:rPr>
        <w:t>(TMA</w:t>
      </w:r>
      <w:r w:rsidR="002944A3">
        <w:rPr>
          <w:rFonts w:ascii="Times New Roman" w:hAnsi="Times New Roman" w:cs="Times New Roman"/>
        </w:rPr>
        <w:t>s</w:t>
      </w:r>
      <w:r w:rsidRPr="008A20FA">
        <w:rPr>
          <w:rFonts w:ascii="Times New Roman" w:hAnsi="Times New Roman" w:cs="Times New Roman"/>
        </w:rPr>
        <w:t>) were constructed from 140 patients as described</w:t>
      </w:r>
      <w:r w:rsidR="002944A3">
        <w:rPr>
          <w:rFonts w:ascii="Times New Roman" w:hAnsi="Times New Roman" w:cs="Times New Roman"/>
        </w:rPr>
        <w:t xml:space="preserve"> </w:t>
      </w:r>
      <w:r w:rsidRPr="008A20FA">
        <w:rPr>
          <w:rFonts w:ascii="Times New Roman" w:hAnsi="Times New Roman" w:cs="Times New Roman"/>
        </w:rPr>
        <w:t>previously</w:t>
      </w:r>
      <w:r w:rsidR="002944A3">
        <w:rPr>
          <w:rFonts w:ascii="Times New Roman" w:hAnsi="Times New Roman" w:cs="Times New Roman"/>
        </w:rPr>
        <w:t xml:space="preserve"> </w:t>
      </w:r>
      <w:r w:rsidR="008D6E24">
        <w:rPr>
          <w:rFonts w:ascii="Times New Roman" w:eastAsia="AdvOT1ef757c0" w:hAnsi="Times New Roman"/>
          <w:color w:val="231F20"/>
        </w:rPr>
        <w:t>[2,3]</w:t>
      </w:r>
      <w:r w:rsidR="008D6E24" w:rsidRPr="00597784">
        <w:rPr>
          <w:rFonts w:ascii="Times New Roman" w:eastAsia="AdvOT1ef757c0" w:hAnsi="Times New Roman"/>
          <w:color w:val="231F20"/>
        </w:rPr>
        <w:t xml:space="preserve">. </w:t>
      </w:r>
      <w:r w:rsidRPr="008A20FA">
        <w:rPr>
          <w:rFonts w:ascii="Times New Roman" w:hAnsi="Times New Roman" w:cs="Times New Roman"/>
          <w:color w:val="000000" w:themeColor="text1"/>
        </w:rPr>
        <w:t>This independent data set comprised</w:t>
      </w:r>
      <w:r w:rsidR="00B26D98" w:rsidRPr="008A20FA">
        <w:rPr>
          <w:rFonts w:ascii="Times New Roman" w:hAnsi="Times New Roman" w:cs="Times New Roman"/>
          <w:color w:val="000000" w:themeColor="text1"/>
        </w:rPr>
        <w:t xml:space="preserve">  primary </w:t>
      </w:r>
      <w:r w:rsidRPr="008A20FA">
        <w:rPr>
          <w:rFonts w:ascii="Times New Roman" w:hAnsi="Times New Roman" w:cs="Times New Roman"/>
          <w:color w:val="000000" w:themeColor="text1"/>
        </w:rPr>
        <w:t>tumor</w:t>
      </w:r>
      <w:r w:rsidR="00B26D98" w:rsidRPr="008A20FA">
        <w:rPr>
          <w:rFonts w:ascii="Times New Roman" w:hAnsi="Times New Roman" w:cs="Times New Roman"/>
          <w:color w:val="000000" w:themeColor="text1"/>
        </w:rPr>
        <w:t xml:space="preserve"> specimens </w:t>
      </w:r>
      <w:r w:rsidRPr="008A20FA">
        <w:rPr>
          <w:rFonts w:ascii="Times New Roman" w:hAnsi="Times New Roman" w:cs="Times New Roman"/>
          <w:color w:val="000000" w:themeColor="text1"/>
        </w:rPr>
        <w:t xml:space="preserve">(stages I-IV) </w:t>
      </w:r>
      <w:r w:rsidR="00B26D98" w:rsidRPr="008A20FA">
        <w:rPr>
          <w:rFonts w:ascii="Times New Roman" w:hAnsi="Times New Roman" w:cs="Times New Roman"/>
          <w:color w:val="000000" w:themeColor="text1"/>
        </w:rPr>
        <w:t xml:space="preserve">and 60 matched normal mucosa </w:t>
      </w:r>
      <w:r w:rsidRPr="008A20FA">
        <w:rPr>
          <w:rFonts w:ascii="Times New Roman" w:hAnsi="Times New Roman" w:cs="Times New Roman"/>
          <w:color w:val="000000" w:themeColor="text1"/>
        </w:rPr>
        <w:t xml:space="preserve">collected at two institutions </w:t>
      </w:r>
      <w:r w:rsidR="00593D3A" w:rsidRPr="008A20FA">
        <w:rPr>
          <w:rFonts w:ascii="Times New Roman" w:hAnsi="Times New Roman" w:cs="Times New Roman"/>
          <w:color w:val="000000" w:themeColor="text1"/>
        </w:rPr>
        <w:t xml:space="preserve">(see above) </w:t>
      </w:r>
      <w:r w:rsidR="00593D3A" w:rsidRPr="008A20FA">
        <w:rPr>
          <w:rFonts w:ascii="Times New Roman" w:eastAsia="ArialMT" w:hAnsi="Times New Roman" w:cs="Times New Roman"/>
        </w:rPr>
        <w:t>during the period 2003-2009</w:t>
      </w:r>
      <w:r w:rsidR="007463D0" w:rsidRPr="008A20FA">
        <w:rPr>
          <w:rFonts w:ascii="Times New Roman" w:eastAsia="ArialMT" w:hAnsi="Times New Roman" w:cs="Times New Roman"/>
        </w:rPr>
        <w:t xml:space="preserve">. </w:t>
      </w:r>
      <w:r w:rsidR="00593D3A" w:rsidRPr="008A20FA">
        <w:rPr>
          <w:rFonts w:ascii="Times New Roman" w:eastAsia="ArialMT" w:hAnsi="Times New Roman" w:cs="Times New Roman"/>
        </w:rPr>
        <w:t xml:space="preserve">Tumors wereclassified and graded according to the criteria of the TNM andtumor stages I-IV </w:t>
      </w:r>
      <w:r w:rsidR="00593D3A" w:rsidRPr="008A20FA">
        <w:rPr>
          <w:rFonts w:ascii="Times New Roman" w:eastAsia="ArialMT" w:hAnsi="Times New Roman" w:cs="Times New Roman"/>
        </w:rPr>
        <w:lastRenderedPageBreak/>
        <w:t xml:space="preserve">classification systems. </w:t>
      </w:r>
      <w:r w:rsidR="00593D3A" w:rsidRPr="008A20FA">
        <w:rPr>
          <w:rFonts w:ascii="Times New Roman" w:hAnsi="Times New Roman" w:cs="Times New Roman"/>
        </w:rPr>
        <w:t>For each patient,the date of colon cancer diagnosis, date of last follow up,and vital status at last follow-up (i.e., living or deceased) were recorded. Cores measuring 0.6 mm in diameter were madein triplicate from paraffin blocks comprising tumor tissues or matched normal mucosa and processed using the ATA-27 automated arrayer (Beecher Instruments).</w:t>
      </w:r>
      <w:r w:rsidR="0010266B" w:rsidRPr="008A20FA">
        <w:rPr>
          <w:rFonts w:ascii="Times New Roman" w:hAnsi="Times New Roman" w:cs="Times New Roman"/>
        </w:rPr>
        <w:t xml:space="preserve"> TMA blocks were cut to 4-µm sections, deparaffinized, rehydrated in graded alcohol, and stained with haematoxylin</w:t>
      </w:r>
      <w:r w:rsidR="00BB740F">
        <w:rPr>
          <w:rFonts w:ascii="Times New Roman" w:hAnsi="Times New Roman" w:cs="Times New Roman"/>
        </w:rPr>
        <w:t xml:space="preserve"> </w:t>
      </w:r>
      <w:r w:rsidR="0010266B" w:rsidRPr="008A20FA">
        <w:rPr>
          <w:rFonts w:ascii="Times New Roman" w:hAnsi="Times New Roman" w:cs="Times New Roman"/>
        </w:rPr>
        <w:t>&amp;</w:t>
      </w:r>
      <w:r w:rsidR="00BB740F">
        <w:rPr>
          <w:rFonts w:ascii="Times New Roman" w:hAnsi="Times New Roman" w:cs="Times New Roman"/>
        </w:rPr>
        <w:t xml:space="preserve"> </w:t>
      </w:r>
      <w:r w:rsidR="0010266B" w:rsidRPr="008A20FA">
        <w:rPr>
          <w:rFonts w:ascii="Times New Roman" w:hAnsi="Times New Roman" w:cs="Times New Roman"/>
        </w:rPr>
        <w:t>eosin</w:t>
      </w:r>
      <w:r w:rsidR="00BB740F">
        <w:rPr>
          <w:rFonts w:ascii="Times New Roman" w:hAnsi="Times New Roman" w:cs="Times New Roman"/>
        </w:rPr>
        <w:t xml:space="preserve"> </w:t>
      </w:r>
      <w:r w:rsidR="00B26D98" w:rsidRPr="008A20FA">
        <w:rPr>
          <w:rFonts w:ascii="Times New Roman" w:hAnsi="Times New Roman" w:cs="Times New Roman"/>
          <w:color w:val="000000" w:themeColor="text1"/>
        </w:rPr>
        <w:t xml:space="preserve">were then reviewed to ensure that from each case were morphologically similar to those of the corresponding whole tissue section and represented cancerous or normal epithelial cells. </w:t>
      </w:r>
      <w:r w:rsidR="0010266B" w:rsidRPr="008A20FA">
        <w:rPr>
          <w:rFonts w:ascii="Times New Roman" w:hAnsi="Times New Roman" w:cs="Times New Roman"/>
          <w:color w:val="000000" w:themeColor="text1"/>
        </w:rPr>
        <w:t xml:space="preserve">Finally, after removing  </w:t>
      </w:r>
      <w:r w:rsidR="0010266B" w:rsidRPr="008A20FA">
        <w:rPr>
          <w:rFonts w:ascii="Times New Roman" w:hAnsi="Times New Roman" w:cs="Times New Roman"/>
        </w:rPr>
        <w:t>the cores containingtoo little tumor sample</w:t>
      </w:r>
      <w:r w:rsidR="0010266B" w:rsidRPr="008A20FA">
        <w:rPr>
          <w:rFonts w:ascii="Times New Roman" w:hAnsi="Times New Roman" w:cs="Times New Roman"/>
          <w:color w:val="000000" w:themeColor="text1"/>
        </w:rPr>
        <w:t>, t</w:t>
      </w:r>
      <w:r w:rsidR="00B26D98" w:rsidRPr="008A20FA">
        <w:rPr>
          <w:rFonts w:ascii="Times New Roman" w:hAnsi="Times New Roman" w:cs="Times New Roman"/>
          <w:color w:val="000000" w:themeColor="text1"/>
        </w:rPr>
        <w:t xml:space="preserve">he number of lesions that were available for evaluation included 140 CRCs and 60 normal colonic tissues, respectively. </w:t>
      </w:r>
      <w:r w:rsidR="00B455FF" w:rsidRPr="008A20FA">
        <w:rPr>
          <w:rFonts w:ascii="Times New Roman" w:hAnsi="Times New Roman" w:cs="Times New Roman"/>
        </w:rPr>
        <w:t xml:space="preserve">Further 4 </w:t>
      </w:r>
      <w:r w:rsidR="00B455FF" w:rsidRPr="008A20FA">
        <w:rPr>
          <w:rFonts w:ascii="Times New Roman" w:hAnsi="Times New Roman" w:cs="Times New Roman"/>
          <w:lang w:val="it-IT"/>
        </w:rPr>
        <w:t>μ</w:t>
      </w:r>
      <w:r w:rsidR="00B455FF" w:rsidRPr="008A20FA">
        <w:rPr>
          <w:rFonts w:ascii="Times New Roman" w:hAnsi="Times New Roman" w:cs="Times New Roman"/>
        </w:rPr>
        <w:t xml:space="preserve"> thick sectionswere then cut from each of the master blocks for immunohistochemical (IHC) analyses. </w:t>
      </w:r>
      <w:r w:rsidR="00540A7A" w:rsidRPr="008A20FA">
        <w:rPr>
          <w:rFonts w:ascii="Times New Roman" w:hAnsi="Times New Roman" w:cs="Times New Roman"/>
        </w:rPr>
        <w:t xml:space="preserve">A series of </w:t>
      </w:r>
      <w:r w:rsidR="005B1D61" w:rsidRPr="008A20FA">
        <w:rPr>
          <w:rFonts w:ascii="Times New Roman" w:hAnsi="Times New Roman" w:cs="Times New Roman"/>
        </w:rPr>
        <w:t xml:space="preserve">molecular parameters </w:t>
      </w:r>
      <w:r w:rsidR="00E87746" w:rsidRPr="008A20FA">
        <w:rPr>
          <w:rFonts w:ascii="Times New Roman" w:eastAsia="ArialMT" w:hAnsi="Times New Roman" w:cs="Times New Roman"/>
        </w:rPr>
        <w:t>of tum</w:t>
      </w:r>
      <w:r w:rsidR="00352023" w:rsidRPr="008A20FA">
        <w:rPr>
          <w:rFonts w:ascii="Times New Roman" w:eastAsia="ArialMT" w:hAnsi="Times New Roman" w:cs="Times New Roman"/>
        </w:rPr>
        <w:t>or differentiation (CDX2, CK20)</w:t>
      </w:r>
      <w:r w:rsidR="00E87746" w:rsidRPr="008A20FA">
        <w:rPr>
          <w:rFonts w:ascii="Times New Roman" w:hAnsi="Times New Roman" w:cs="Times New Roman"/>
        </w:rPr>
        <w:t>mismatch repair proteins (</w:t>
      </w:r>
      <w:r w:rsidR="00540A7A" w:rsidRPr="008A20FA">
        <w:rPr>
          <w:rFonts w:ascii="Times New Roman" w:hAnsi="Times New Roman" w:cs="Times New Roman"/>
        </w:rPr>
        <w:t xml:space="preserve">MLH1 or MSH2 or MSH6 or PMS2), </w:t>
      </w:r>
      <w:r w:rsidR="00E87746" w:rsidRPr="008A20FA">
        <w:rPr>
          <w:rFonts w:ascii="Times New Roman" w:hAnsi="Times New Roman" w:cs="Times New Roman"/>
        </w:rPr>
        <w:t>TP53</w:t>
      </w:r>
      <w:r w:rsidR="00540A7A" w:rsidRPr="008A20FA">
        <w:rPr>
          <w:rFonts w:ascii="Times New Roman" w:hAnsi="Times New Roman" w:cs="Times New Roman"/>
        </w:rPr>
        <w:t xml:space="preserve"> and KRAS status were included following the and classification previously reported</w:t>
      </w:r>
      <w:r w:rsidR="002944A3">
        <w:rPr>
          <w:rFonts w:ascii="Times New Roman" w:hAnsi="Times New Roman" w:cs="Times New Roman"/>
        </w:rPr>
        <w:t xml:space="preserve"> </w:t>
      </w:r>
      <w:r w:rsidR="002944A3">
        <w:rPr>
          <w:rFonts w:ascii="Times New Roman" w:hAnsi="Times New Roman" w:cs="Times New Roman"/>
          <w:b/>
          <w:color w:val="000000" w:themeColor="text1"/>
        </w:rPr>
        <w:t>(</w:t>
      </w:r>
      <w:r w:rsidR="007463D0" w:rsidRPr="008A20FA">
        <w:rPr>
          <w:rFonts w:ascii="Times New Roman" w:hAnsi="Times New Roman" w:cs="Times New Roman"/>
          <w:b/>
          <w:color w:val="000000" w:themeColor="text1"/>
        </w:rPr>
        <w:t xml:space="preserve">Table </w:t>
      </w:r>
      <w:r w:rsidR="002944A3">
        <w:rPr>
          <w:rFonts w:ascii="Times New Roman" w:hAnsi="Times New Roman" w:cs="Times New Roman"/>
          <w:b/>
          <w:color w:val="000000" w:themeColor="text1"/>
        </w:rPr>
        <w:t>S2</w:t>
      </w:r>
      <w:r w:rsidR="007463D0" w:rsidRPr="008A20FA">
        <w:rPr>
          <w:rFonts w:ascii="Times New Roman" w:hAnsi="Times New Roman" w:cs="Times New Roman"/>
          <w:b/>
          <w:color w:val="000000" w:themeColor="text1"/>
        </w:rPr>
        <w:t>).</w:t>
      </w:r>
    </w:p>
    <w:p w:rsidR="00B455FF" w:rsidRPr="008A20FA" w:rsidRDefault="0010266B" w:rsidP="00593D3A">
      <w:pPr>
        <w:spacing w:after="0" w:line="360" w:lineRule="auto"/>
        <w:ind w:right="567"/>
        <w:jc w:val="both"/>
        <w:rPr>
          <w:rFonts w:ascii="Times New Roman" w:hAnsi="Times New Roman" w:cs="Times New Roman"/>
        </w:rPr>
      </w:pPr>
      <w:r w:rsidRPr="008A20FA">
        <w:rPr>
          <w:rFonts w:ascii="Times New Roman" w:eastAsia="AdvOT1ef757c0" w:hAnsi="Times New Roman" w:cs="Times New Roman"/>
          <w:color w:val="231F20"/>
        </w:rPr>
        <w:t xml:space="preserve">NLR </w:t>
      </w:r>
      <w:r w:rsidRPr="008A20FA">
        <w:rPr>
          <w:rFonts w:ascii="Times New Roman" w:eastAsia="AdvOT1ef757c0" w:hAnsi="Times New Roman" w:cs="Times New Roman"/>
          <w:color w:val="000000" w:themeColor="text1"/>
        </w:rPr>
        <w:t xml:space="preserve">was determined by dividing the absolute neutrophil count by the absolute lymphocyte count on the same day of primary surgery. </w:t>
      </w:r>
      <w:r w:rsidRPr="008A20FA">
        <w:rPr>
          <w:rFonts w:ascii="Times New Roman" w:eastAsia="AdvOT1ef757c0" w:hAnsi="Times New Roman" w:cs="Times New Roman"/>
          <w:color w:val="231F20"/>
        </w:rPr>
        <w:t xml:space="preserve">NLR data were then dichotomizedand given a score of  ≤5 and  &gt;5 </w:t>
      </w:r>
      <w:r w:rsidRPr="008A20FA">
        <w:rPr>
          <w:rFonts w:ascii="Times New Roman" w:eastAsia="AdvOT1ef757c0" w:hAnsi="Times New Roman" w:cs="Times New Roman"/>
          <w:color w:val="000000" w:themeColor="text1"/>
        </w:rPr>
        <w:t xml:space="preserve">according the above proposed threshold.  </w:t>
      </w:r>
      <w:r w:rsidR="00B26D98" w:rsidRPr="008A20FA">
        <w:rPr>
          <w:rFonts w:ascii="Times New Roman" w:hAnsi="Times New Roman" w:cs="Times New Roman"/>
          <w:color w:val="000000" w:themeColor="text1"/>
        </w:rPr>
        <w:t xml:space="preserve">Cancer-associated inflammation, in the form of local and systemic inflammatory responses was evaluated by CD3 and CD8 count in triplicate TMA cores and </w:t>
      </w:r>
      <w:r w:rsidR="00B26D98" w:rsidRPr="008A20FA">
        <w:rPr>
          <w:rFonts w:ascii="Times New Roman" w:eastAsia="AdvOT1ef757c0" w:hAnsi="Times New Roman" w:cs="Times New Roman"/>
          <w:color w:val="000000" w:themeColor="text1"/>
        </w:rPr>
        <w:t xml:space="preserve">NLR </w:t>
      </w:r>
      <w:r w:rsidR="00B26D98" w:rsidRPr="008A20FA">
        <w:rPr>
          <w:rFonts w:ascii="Times New Roman" w:hAnsi="Times New Roman" w:cs="Times New Roman"/>
          <w:color w:val="000000" w:themeColor="text1"/>
        </w:rPr>
        <w:t xml:space="preserve">at the time of diagnosis.  </w:t>
      </w:r>
    </w:p>
    <w:p w:rsidR="00B455FF" w:rsidRPr="008A20FA" w:rsidRDefault="00B455FF" w:rsidP="00593D3A">
      <w:pPr>
        <w:spacing w:after="0" w:line="360" w:lineRule="auto"/>
        <w:ind w:right="567"/>
        <w:jc w:val="both"/>
        <w:rPr>
          <w:rFonts w:ascii="Times New Roman" w:hAnsi="Times New Roman" w:cs="Times New Roman"/>
          <w:b/>
        </w:rPr>
      </w:pPr>
      <w:r w:rsidRPr="008A20FA">
        <w:rPr>
          <w:rFonts w:ascii="Times New Roman" w:hAnsi="Times New Roman" w:cs="Times New Roman"/>
          <w:b/>
        </w:rPr>
        <w:t>Immunohistochemistry and evaluation of staining</w:t>
      </w:r>
    </w:p>
    <w:p w:rsidR="00C0143F" w:rsidRPr="000A04ED" w:rsidRDefault="00B26D98" w:rsidP="00BB0D1C">
      <w:pPr>
        <w:spacing w:after="0" w:line="360" w:lineRule="auto"/>
        <w:ind w:right="567"/>
        <w:jc w:val="both"/>
        <w:rPr>
          <w:rFonts w:ascii="Times New Roman" w:eastAsia="AdvOT1ef757c0" w:hAnsi="Times New Roman" w:cs="Times New Roman"/>
        </w:rPr>
      </w:pPr>
      <w:r w:rsidRPr="008A20FA">
        <w:rPr>
          <w:rFonts w:ascii="Times New Roman" w:hAnsi="Times New Roman" w:cs="Times New Roman"/>
        </w:rPr>
        <w:t>All immunohistochemical resul</w:t>
      </w:r>
      <w:r w:rsidR="00540A7A" w:rsidRPr="008A20FA">
        <w:rPr>
          <w:rFonts w:ascii="Times New Roman" w:hAnsi="Times New Roman" w:cs="Times New Roman"/>
        </w:rPr>
        <w:t xml:space="preserve">ts were interpreted by 3 </w:t>
      </w:r>
      <w:r w:rsidRPr="008A20FA">
        <w:rPr>
          <w:rFonts w:ascii="Times New Roman" w:hAnsi="Times New Roman" w:cs="Times New Roman"/>
        </w:rPr>
        <w:t>independent observers</w:t>
      </w:r>
      <w:r w:rsidR="008F3251" w:rsidRPr="008A20FA">
        <w:rPr>
          <w:rFonts w:ascii="Times New Roman" w:hAnsi="Times New Roman" w:cs="Times New Roman"/>
        </w:rPr>
        <w:t xml:space="preserve"> (E.T, A.R, </w:t>
      </w:r>
      <w:r w:rsidR="00540A7A" w:rsidRPr="008A20FA">
        <w:rPr>
          <w:rFonts w:ascii="Times New Roman" w:hAnsi="Times New Roman" w:cs="Times New Roman"/>
        </w:rPr>
        <w:t>M.P)</w:t>
      </w:r>
      <w:r w:rsidRPr="008A20FA">
        <w:rPr>
          <w:rFonts w:ascii="Times New Roman" w:hAnsi="Times New Roman" w:cs="Times New Roman"/>
        </w:rPr>
        <w:t xml:space="preserve"> blinded to c</w:t>
      </w:r>
      <w:r w:rsidR="002547F6" w:rsidRPr="008A20FA">
        <w:rPr>
          <w:rFonts w:ascii="Times New Roman" w:hAnsi="Times New Roman" w:cs="Times New Roman"/>
        </w:rPr>
        <w:t>linical data</w:t>
      </w:r>
      <w:r w:rsidR="0070436D" w:rsidRPr="008A20FA">
        <w:rPr>
          <w:rFonts w:ascii="Times New Roman" w:hAnsi="Times New Roman" w:cs="Times New Roman"/>
        </w:rPr>
        <w:t xml:space="preserve">. </w:t>
      </w:r>
      <w:r w:rsidR="00540A7A" w:rsidRPr="008A20FA">
        <w:rPr>
          <w:rFonts w:ascii="Times New Roman" w:eastAsia="AdvOT1ef757c0" w:hAnsi="Times New Roman" w:cs="Times New Roman"/>
          <w:color w:val="000000" w:themeColor="text1"/>
        </w:rPr>
        <w:t xml:space="preserve">Sections (4 µm) cut from whole paraffin embedded or TMA blocks were deparaffinised in xylene and rehydratedthrough graded alcohol series. For antigen retrieval, the sections were pretreated with </w:t>
      </w:r>
      <w:r w:rsidR="00540A7A" w:rsidRPr="008A20FA">
        <w:rPr>
          <w:rStyle w:val="st1"/>
          <w:rFonts w:ascii="Times New Roman" w:hAnsi="Times New Roman" w:cs="Times New Roman"/>
          <w:color w:val="000000" w:themeColor="text1"/>
        </w:rPr>
        <w:t xml:space="preserve">sodium </w:t>
      </w:r>
      <w:r w:rsidR="00540A7A" w:rsidRPr="008A20FA">
        <w:rPr>
          <w:rStyle w:val="Enfasicorsivo"/>
          <w:rFonts w:ascii="Times New Roman" w:hAnsi="Times New Roman" w:cs="Times New Roman"/>
          <w:b w:val="0"/>
          <w:color w:val="000000" w:themeColor="text1"/>
        </w:rPr>
        <w:t>citrate buffer</w:t>
      </w:r>
      <w:r w:rsidR="00540A7A" w:rsidRPr="008A20FA">
        <w:rPr>
          <w:rFonts w:ascii="Times New Roman" w:eastAsia="AdvOT1ef757c0" w:hAnsi="Times New Roman" w:cs="Times New Roman"/>
          <w:b/>
          <w:color w:val="000000" w:themeColor="text1"/>
        </w:rPr>
        <w:t>,</w:t>
      </w:r>
      <w:r w:rsidR="00540A7A" w:rsidRPr="008A20FA">
        <w:rPr>
          <w:rFonts w:ascii="Times New Roman" w:eastAsia="AdvOT1ef757c0" w:hAnsi="Times New Roman" w:cs="Times New Roman"/>
          <w:color w:val="000000" w:themeColor="text1"/>
        </w:rPr>
        <w:t xml:space="preserve"> pH 6.0, in a microwave </w:t>
      </w:r>
      <w:r w:rsidR="007463D0" w:rsidRPr="008A20FA">
        <w:rPr>
          <w:rFonts w:ascii="Times New Roman" w:eastAsia="AdvOT1ef757c0" w:hAnsi="Times New Roman" w:cs="Times New Roman"/>
          <w:color w:val="000000" w:themeColor="text1"/>
        </w:rPr>
        <w:t xml:space="preserve">oven </w:t>
      </w:r>
      <w:r w:rsidR="00540A7A" w:rsidRPr="008A20FA">
        <w:rPr>
          <w:rFonts w:ascii="Times New Roman" w:eastAsia="AdvOT1ef757c0" w:hAnsi="Times New Roman" w:cs="Times New Roman"/>
          <w:color w:val="000000" w:themeColor="text1"/>
        </w:rPr>
        <w:t>for 15 min</w:t>
      </w:r>
      <w:r w:rsidR="007463D0" w:rsidRPr="008A20FA">
        <w:rPr>
          <w:rFonts w:ascii="Times New Roman" w:eastAsia="AdvOT1ef757c0" w:hAnsi="Times New Roman" w:cs="Times New Roman"/>
          <w:color w:val="000000" w:themeColor="text1"/>
        </w:rPr>
        <w:t xml:space="preserve">utes </w:t>
      </w:r>
      <w:r w:rsidR="00540A7A" w:rsidRPr="008A20FA">
        <w:rPr>
          <w:rFonts w:ascii="Times New Roman" w:eastAsia="AdvOT1ef757c0" w:hAnsi="Times New Roman" w:cs="Times New Roman"/>
          <w:color w:val="000000" w:themeColor="text1"/>
        </w:rPr>
        <w:t xml:space="preserve">and </w:t>
      </w:r>
      <w:r w:rsidR="008F3251" w:rsidRPr="008A20FA">
        <w:rPr>
          <w:rFonts w:ascii="Times New Roman" w:hAnsi="Times New Roman" w:cs="Times New Roman"/>
          <w:color w:val="000000" w:themeColor="text1"/>
        </w:rPr>
        <w:t xml:space="preserve">processed by using VENTANA automated slide stainers based on </w:t>
      </w:r>
      <w:r w:rsidR="008F3251" w:rsidRPr="008A20FA">
        <w:rPr>
          <w:rStyle w:val="st1"/>
          <w:rFonts w:ascii="Times New Roman" w:hAnsi="Times New Roman" w:cs="Times New Roman"/>
          <w:color w:val="000000" w:themeColor="text1"/>
        </w:rPr>
        <w:t xml:space="preserve">avidin-biotin complex </w:t>
      </w:r>
      <w:r w:rsidR="008F3251" w:rsidRPr="008A20FA">
        <w:rPr>
          <w:rStyle w:val="st1"/>
          <w:rFonts w:ascii="Times New Roman" w:hAnsi="Times New Roman" w:cs="Times New Roman"/>
          <w:b/>
          <w:color w:val="000000" w:themeColor="text1"/>
        </w:rPr>
        <w:t>(</w:t>
      </w:r>
      <w:r w:rsidR="008F3251" w:rsidRPr="008A20FA">
        <w:rPr>
          <w:rStyle w:val="Enfasicorsivo"/>
          <w:rFonts w:ascii="Times New Roman" w:hAnsi="Times New Roman" w:cs="Times New Roman"/>
          <w:b w:val="0"/>
          <w:color w:val="000000" w:themeColor="text1"/>
        </w:rPr>
        <w:t>ABC</w:t>
      </w:r>
      <w:r w:rsidR="008F3251" w:rsidRPr="008A20FA">
        <w:rPr>
          <w:rStyle w:val="st1"/>
          <w:rFonts w:ascii="Times New Roman" w:hAnsi="Times New Roman" w:cs="Times New Roman"/>
          <w:b/>
          <w:color w:val="000000" w:themeColor="text1"/>
        </w:rPr>
        <w:t xml:space="preserve">) </w:t>
      </w:r>
      <w:r w:rsidR="008F3251" w:rsidRPr="008A20FA">
        <w:rPr>
          <w:rStyle w:val="st1"/>
          <w:rFonts w:ascii="Times New Roman" w:hAnsi="Times New Roman" w:cs="Times New Roman"/>
          <w:color w:val="000000" w:themeColor="text1"/>
        </w:rPr>
        <w:t xml:space="preserve">and labeled streptavidin binding (LSAB) system. </w:t>
      </w:r>
      <w:r w:rsidR="00540A7A" w:rsidRPr="008A20FA">
        <w:rPr>
          <w:rFonts w:ascii="Times New Roman" w:eastAsia="AdvOT1ef757c0" w:hAnsi="Times New Roman" w:cs="Times New Roman"/>
          <w:color w:val="000000" w:themeColor="text1"/>
        </w:rPr>
        <w:t xml:space="preserve">After neutralizingendogenous peroxidase activity, the sections were incubated at 37°C  with diluted primary antibodies </w:t>
      </w:r>
      <w:r w:rsidR="002944A3">
        <w:rPr>
          <w:rFonts w:ascii="Times New Roman" w:eastAsia="AdvOT1ef757c0" w:hAnsi="Times New Roman" w:cs="Times New Roman"/>
          <w:b/>
          <w:color w:val="000000" w:themeColor="text1"/>
        </w:rPr>
        <w:t>(</w:t>
      </w:r>
      <w:r w:rsidR="00540A7A" w:rsidRPr="008A20FA">
        <w:rPr>
          <w:rFonts w:ascii="Times New Roman" w:eastAsia="AdvOT1ef757c0" w:hAnsi="Times New Roman" w:cs="Times New Roman"/>
          <w:b/>
          <w:color w:val="000000" w:themeColor="text1"/>
        </w:rPr>
        <w:t xml:space="preserve">Table </w:t>
      </w:r>
      <w:r w:rsidR="002944A3">
        <w:rPr>
          <w:rFonts w:ascii="Times New Roman" w:eastAsia="AdvOT1ef757c0" w:hAnsi="Times New Roman" w:cs="Times New Roman"/>
          <w:b/>
          <w:color w:val="000000" w:themeColor="text1"/>
        </w:rPr>
        <w:t>S3</w:t>
      </w:r>
      <w:r w:rsidR="00540A7A" w:rsidRPr="008A20FA">
        <w:rPr>
          <w:rFonts w:ascii="Times New Roman" w:eastAsia="AdvOT1ef757c0" w:hAnsi="Times New Roman" w:cs="Times New Roman"/>
          <w:b/>
          <w:color w:val="000000" w:themeColor="text1"/>
        </w:rPr>
        <w:t xml:space="preserve">). </w:t>
      </w:r>
      <w:r w:rsidR="002944A3">
        <w:rPr>
          <w:rFonts w:ascii="Times New Roman" w:eastAsia="AdvOT1ef757c0" w:hAnsi="Times New Roman" w:cs="Times New Roman"/>
        </w:rPr>
        <w:t xml:space="preserve">The stained </w:t>
      </w:r>
      <w:r w:rsidR="008F3251" w:rsidRPr="008A20FA">
        <w:rPr>
          <w:rFonts w:ascii="Times New Roman" w:eastAsia="AdvOT1ef757c0" w:hAnsi="Times New Roman" w:cs="Times New Roman"/>
        </w:rPr>
        <w:t xml:space="preserve">sections at </w:t>
      </w:r>
      <w:r w:rsidR="008F3251" w:rsidRPr="008A20FA">
        <w:rPr>
          <w:rFonts w:ascii="Times New Roman" w:hAnsi="Times New Roman" w:cs="Times New Roman"/>
        </w:rPr>
        <w:t>X</w:t>
      </w:r>
      <w:r w:rsidR="008F3251" w:rsidRPr="008A20FA">
        <w:rPr>
          <w:rFonts w:ascii="Times New Roman" w:eastAsia="AdvOT1ef757c0" w:hAnsi="Times New Roman" w:cs="Times New Roman"/>
        </w:rPr>
        <w:t xml:space="preserve">20 and </w:t>
      </w:r>
      <w:r w:rsidR="008F3251" w:rsidRPr="008A20FA">
        <w:rPr>
          <w:rFonts w:ascii="Times New Roman" w:hAnsi="Times New Roman" w:cs="Times New Roman"/>
        </w:rPr>
        <w:t>X</w:t>
      </w:r>
      <w:r w:rsidR="008F3251" w:rsidRPr="008A20FA">
        <w:rPr>
          <w:rFonts w:ascii="Times New Roman" w:eastAsia="AdvOT1ef757c0" w:hAnsi="Times New Roman" w:cs="Times New Roman"/>
        </w:rPr>
        <w:t>10 objectives, from different locations (peritumoural, intratumoural stromal and intratumoural epithelial) by using Nikon Eclipse E600 mi</w:t>
      </w:r>
      <w:r w:rsidR="002944A3">
        <w:rPr>
          <w:rFonts w:ascii="Times New Roman" w:eastAsia="AdvOT1ef757c0" w:hAnsi="Times New Roman" w:cs="Times New Roman"/>
        </w:rPr>
        <w:t xml:space="preserve">croscope (Nikon, Tokyo, Japan) were </w:t>
      </w:r>
      <w:r w:rsidR="002944A3" w:rsidRPr="008A20FA">
        <w:rPr>
          <w:rFonts w:ascii="Times New Roman" w:eastAsia="AdvOT1ef757c0" w:hAnsi="Times New Roman" w:cs="Times New Roman"/>
        </w:rPr>
        <w:t>photographed</w:t>
      </w:r>
      <w:r w:rsidR="002944A3">
        <w:rPr>
          <w:rFonts w:ascii="Times New Roman" w:eastAsia="AdvOT1ef757c0" w:hAnsi="Times New Roman" w:cs="Times New Roman"/>
        </w:rPr>
        <w:t xml:space="preserve">. </w:t>
      </w:r>
      <w:r w:rsidR="008F3251" w:rsidRPr="008A20FA">
        <w:rPr>
          <w:rFonts w:ascii="Times New Roman" w:eastAsia="AdvOT1ef757c0" w:hAnsi="Times New Roman" w:cs="Times New Roman"/>
          <w:color w:val="000000" w:themeColor="text1"/>
        </w:rPr>
        <w:t>The proportion of the positive inflammatory cells based on their size, shape, and the intensity of positivity was validated</w:t>
      </w:r>
      <w:r w:rsidR="00D2741B" w:rsidRPr="008A20FA">
        <w:rPr>
          <w:rFonts w:ascii="Times New Roman" w:eastAsia="AdvOT1ef757c0" w:hAnsi="Times New Roman" w:cs="Times New Roman"/>
          <w:color w:val="000000" w:themeColor="text1"/>
        </w:rPr>
        <w:t xml:space="preserve"> by independent investigators </w:t>
      </w:r>
      <w:r w:rsidR="008F3251" w:rsidRPr="008A20FA">
        <w:rPr>
          <w:rFonts w:ascii="Times New Roman" w:hAnsi="Times New Roman" w:cs="Times New Roman"/>
          <w:color w:val="000000" w:themeColor="text1"/>
        </w:rPr>
        <w:t>blinded to clinical data.</w:t>
      </w:r>
      <w:r w:rsidRPr="008A20FA">
        <w:rPr>
          <w:rFonts w:ascii="Times New Roman" w:eastAsia="AdvOT1ef757c0" w:hAnsi="Times New Roman" w:cs="Times New Roman"/>
        </w:rPr>
        <w:t xml:space="preserve">The cancer-related positivity was identified by excluding stromal compartment through </w:t>
      </w:r>
      <w:r w:rsidRPr="008A20FA">
        <w:rPr>
          <w:rFonts w:ascii="Times New Roman" w:hAnsi="Times New Roman" w:cs="Times New Roman"/>
        </w:rPr>
        <w:t xml:space="preserve">hematoxylin and eosin staining </w:t>
      </w:r>
      <w:r w:rsidR="00C0340A" w:rsidRPr="008A20FA">
        <w:rPr>
          <w:rFonts w:ascii="Times New Roman" w:eastAsia="AdvOT1ef757c0" w:hAnsi="Times New Roman" w:cs="Times New Roman"/>
        </w:rPr>
        <w:t>and using</w:t>
      </w:r>
      <w:r w:rsidRPr="008A20FA">
        <w:rPr>
          <w:rFonts w:ascii="Times New Roman" w:eastAsia="AdvOT1ef757c0" w:hAnsi="Times New Roman" w:cs="Times New Roman"/>
        </w:rPr>
        <w:t xml:space="preserve"> colonic-specific </w:t>
      </w:r>
      <w:r w:rsidR="00C0340A" w:rsidRPr="008A20FA">
        <w:rPr>
          <w:rFonts w:ascii="Times New Roman" w:eastAsia="AdvOT1ef757c0" w:hAnsi="Times New Roman" w:cs="Times New Roman"/>
        </w:rPr>
        <w:t>biomarkers, CK20 and</w:t>
      </w:r>
      <w:r w:rsidRPr="008A20FA">
        <w:rPr>
          <w:rFonts w:ascii="Times New Roman" w:eastAsia="AdvOT1ef757c0" w:hAnsi="Times New Roman" w:cs="Times New Roman"/>
        </w:rPr>
        <w:t xml:space="preserve"> CDX2 immunopositivity. </w:t>
      </w:r>
      <w:r w:rsidR="00BB0D1C" w:rsidRPr="008A20FA">
        <w:rPr>
          <w:rFonts w:ascii="Times New Roman" w:hAnsi="Times New Roman" w:cs="Times New Roman"/>
          <w:color w:val="000000" w:themeColor="text1"/>
        </w:rPr>
        <w:t xml:space="preserve">Quantification of </w:t>
      </w:r>
      <w:r w:rsidR="00BB0D1C" w:rsidRPr="008A20FA">
        <w:rPr>
          <w:rFonts w:ascii="Times New Roman" w:hAnsi="Times New Roman" w:cs="Times New Roman"/>
          <w:color w:val="000000" w:themeColor="text1"/>
        </w:rPr>
        <w:lastRenderedPageBreak/>
        <w:t xml:space="preserve">each marker was compared with quantification on zones of tumors excluding stromal bands and necrotic areas. </w:t>
      </w:r>
      <w:r w:rsidR="00D2741B" w:rsidRPr="008A20FA">
        <w:rPr>
          <w:rFonts w:ascii="Times New Roman" w:eastAsia="AdvOT1ef757c0" w:hAnsi="Times New Roman" w:cs="Times New Roman"/>
        </w:rPr>
        <w:t>All the cell counts were expressed as cells mm</w:t>
      </w:r>
      <w:r w:rsidR="00D2741B" w:rsidRPr="008A20FA">
        <w:rPr>
          <w:rFonts w:ascii="Times New Roman" w:eastAsia="AdvOT1ef757c0" w:hAnsi="Times New Roman" w:cs="Times New Roman"/>
          <w:vertAlign w:val="superscript"/>
        </w:rPr>
        <w:t>-2</w:t>
      </w:r>
      <w:r w:rsidR="000C717A" w:rsidRPr="008A20FA">
        <w:rPr>
          <w:rFonts w:ascii="Times New Roman" w:eastAsia="AdvOT1ef757c0" w:hAnsi="Times New Roman" w:cs="Times New Roman"/>
        </w:rPr>
        <w:t xml:space="preserve">. For TMAs </w:t>
      </w:r>
      <w:r w:rsidR="000C717A" w:rsidRPr="008A20FA">
        <w:rPr>
          <w:rFonts w:ascii="Times New Roman" w:hAnsi="Times New Roman" w:cs="Times New Roman"/>
        </w:rPr>
        <w:t>thresholds were</w:t>
      </w:r>
      <w:r w:rsidR="002944A3">
        <w:rPr>
          <w:rFonts w:ascii="Times New Roman" w:hAnsi="Times New Roman" w:cs="Times New Roman"/>
        </w:rPr>
        <w:t xml:space="preserve"> </w:t>
      </w:r>
      <w:r w:rsidR="000C717A" w:rsidRPr="008A20FA">
        <w:rPr>
          <w:rFonts w:ascii="Times New Roman" w:hAnsi="Times New Roman" w:cs="Times New Roman"/>
        </w:rPr>
        <w:t>set to avoid connective tissue, fat, and necrosis. Median was</w:t>
      </w:r>
      <w:r w:rsidR="002944A3">
        <w:rPr>
          <w:rFonts w:ascii="Times New Roman" w:hAnsi="Times New Roman" w:cs="Times New Roman"/>
        </w:rPr>
        <w:t xml:space="preserve"> </w:t>
      </w:r>
      <w:r w:rsidR="000C717A" w:rsidRPr="008A20FA">
        <w:rPr>
          <w:rFonts w:ascii="Times New Roman" w:hAnsi="Times New Roman" w:cs="Times New Roman"/>
        </w:rPr>
        <w:t>calculated per tumor replicate.</w:t>
      </w:r>
      <w:r w:rsidR="002944A3">
        <w:rPr>
          <w:rFonts w:ascii="Times New Roman" w:eastAsia="AdvOT1ef757c0" w:hAnsi="Times New Roman" w:cs="Times New Roman"/>
        </w:rPr>
        <w:t xml:space="preserve"> </w:t>
      </w:r>
      <w:r w:rsidR="00EA2469" w:rsidRPr="008A20FA">
        <w:rPr>
          <w:rFonts w:ascii="Times New Roman" w:hAnsi="Times New Roman" w:cs="Times New Roman"/>
          <w:color w:val="000000" w:themeColor="text1"/>
        </w:rPr>
        <w:t xml:space="preserve">Tumor-related </w:t>
      </w:r>
      <w:r w:rsidR="00BB0D1C" w:rsidRPr="008A20FA">
        <w:rPr>
          <w:rFonts w:ascii="Times New Roman" w:hAnsi="Times New Roman" w:cs="Times New Roman"/>
          <w:color w:val="000000" w:themeColor="text1"/>
        </w:rPr>
        <w:t xml:space="preserve">expression </w:t>
      </w:r>
      <w:r w:rsidR="00EA2469" w:rsidRPr="008A20FA">
        <w:rPr>
          <w:rFonts w:ascii="Times New Roman" w:hAnsi="Times New Roman" w:cs="Times New Roman"/>
          <w:color w:val="000000" w:themeColor="text1"/>
        </w:rPr>
        <w:t xml:space="preserve">of immune markers </w:t>
      </w:r>
      <w:r w:rsidR="00D2741B" w:rsidRPr="008A20FA">
        <w:rPr>
          <w:rFonts w:ascii="Times New Roman" w:hAnsi="Times New Roman" w:cs="Times New Roman"/>
          <w:color w:val="000000" w:themeColor="text1"/>
        </w:rPr>
        <w:t xml:space="preserve">on malignant cells </w:t>
      </w:r>
      <w:r w:rsidR="00BB0D1C" w:rsidRPr="008A20FA">
        <w:rPr>
          <w:rFonts w:ascii="Times New Roman" w:hAnsi="Times New Roman" w:cs="Times New Roman"/>
          <w:color w:val="000000" w:themeColor="text1"/>
        </w:rPr>
        <w:t>was defined as granular cytoplasmatic</w:t>
      </w:r>
      <w:r w:rsidR="002944A3">
        <w:rPr>
          <w:rFonts w:ascii="Times New Roman" w:hAnsi="Times New Roman" w:cs="Times New Roman"/>
          <w:color w:val="000000" w:themeColor="text1"/>
        </w:rPr>
        <w:t xml:space="preserve"> </w:t>
      </w:r>
      <w:r w:rsidR="00BB0D1C" w:rsidRPr="008A20FA">
        <w:rPr>
          <w:rFonts w:ascii="Times New Roman" w:hAnsi="Times New Roman" w:cs="Times New Roman"/>
          <w:color w:val="000000" w:themeColor="text1"/>
        </w:rPr>
        <w:t xml:space="preserve">or cytoplasmatic and membrane staining pattern. </w:t>
      </w:r>
    </w:p>
    <w:p w:rsidR="00BB0D1C" w:rsidRPr="008A20FA" w:rsidRDefault="00BB0D1C" w:rsidP="00BB0D1C">
      <w:pPr>
        <w:spacing w:after="0" w:line="360" w:lineRule="auto"/>
        <w:ind w:right="567"/>
        <w:jc w:val="both"/>
        <w:rPr>
          <w:rFonts w:ascii="Times New Roman" w:hAnsi="Times New Roman" w:cs="Times New Roman"/>
          <w:b/>
          <w:color w:val="000000" w:themeColor="text1"/>
        </w:rPr>
      </w:pPr>
      <w:r w:rsidRPr="008A20FA">
        <w:rPr>
          <w:rFonts w:ascii="Times New Roman" w:hAnsi="Times New Roman" w:cs="Times New Roman"/>
          <w:b/>
        </w:rPr>
        <w:t>Genome-wide</w:t>
      </w:r>
      <w:r w:rsidRPr="008A20FA">
        <w:rPr>
          <w:rFonts w:ascii="Times New Roman" w:hAnsi="Times New Roman" w:cs="Times New Roman"/>
          <w:b/>
          <w:color w:val="000000" w:themeColor="text1"/>
        </w:rPr>
        <w:t xml:space="preserve"> and gene expression profiles </w:t>
      </w:r>
      <w:r w:rsidR="000A04ED">
        <w:rPr>
          <w:rFonts w:ascii="Times New Roman" w:hAnsi="Times New Roman" w:cs="Times New Roman"/>
          <w:b/>
          <w:color w:val="000000" w:themeColor="text1"/>
        </w:rPr>
        <w:t>analyse</w:t>
      </w:r>
      <w:r w:rsidR="000A04ED" w:rsidRPr="008A20FA">
        <w:rPr>
          <w:rFonts w:ascii="Times New Roman" w:hAnsi="Times New Roman" w:cs="Times New Roman"/>
          <w:b/>
          <w:color w:val="000000" w:themeColor="text1"/>
        </w:rPr>
        <w:t>s</w:t>
      </w:r>
    </w:p>
    <w:p w:rsidR="008052A9" w:rsidRPr="008A20FA" w:rsidRDefault="00BB0D1C" w:rsidP="00BB0D1C">
      <w:pPr>
        <w:spacing w:after="0" w:line="360" w:lineRule="auto"/>
        <w:ind w:right="567"/>
        <w:jc w:val="both"/>
        <w:rPr>
          <w:rFonts w:ascii="Times New Roman" w:hAnsi="Times New Roman" w:cs="Times New Roman"/>
        </w:rPr>
      </w:pPr>
      <w:r w:rsidRPr="008A20FA">
        <w:rPr>
          <w:rFonts w:ascii="Times New Roman" w:hAnsi="Times New Roman" w:cs="Times New Roman"/>
        </w:rPr>
        <w:t>A total of 436 patients  from three public CRC data sets were analyzed to establish genome-wide mRNA expression profiles  and  provide a consistent molecular classification</w:t>
      </w:r>
      <w:r w:rsidR="008D6E24">
        <w:rPr>
          <w:rFonts w:ascii="Times New Roman" w:hAnsi="Times New Roman" w:cs="Times New Roman"/>
        </w:rPr>
        <w:t xml:space="preserve"> </w:t>
      </w:r>
      <w:r w:rsidR="008D6E24">
        <w:rPr>
          <w:rFonts w:ascii="Times New Roman" w:eastAsia="AdvOT1ef757c0" w:hAnsi="Times New Roman"/>
          <w:color w:val="231F20"/>
        </w:rPr>
        <w:t>[4,5].</w:t>
      </w:r>
      <w:r w:rsidRPr="008A20FA">
        <w:rPr>
          <w:rFonts w:ascii="Times New Roman" w:hAnsi="Times New Roman" w:cs="Times New Roman"/>
        </w:rPr>
        <w:t xml:space="preserve"> The association of </w:t>
      </w:r>
      <w:r w:rsidRPr="008A20FA">
        <w:rPr>
          <w:rFonts w:ascii="Times New Roman" w:hAnsi="Times New Roman" w:cs="Times New Roman"/>
          <w:i/>
        </w:rPr>
        <w:t xml:space="preserve">CD15/FUT4 </w:t>
      </w:r>
      <w:r w:rsidRPr="008A20FA">
        <w:rPr>
          <w:rFonts w:ascii="Times New Roman" w:hAnsi="Times New Roman" w:cs="Times New Roman"/>
        </w:rPr>
        <w:t xml:space="preserve">gene expression profile </w:t>
      </w:r>
      <w:r w:rsidR="00352023" w:rsidRPr="008A20FA">
        <w:rPr>
          <w:rFonts w:ascii="Times New Roman" w:hAnsi="Times New Roman" w:cs="Times New Roman"/>
          <w:i/>
        </w:rPr>
        <w:t>(GEP)</w:t>
      </w:r>
      <w:r w:rsidRPr="008A20FA">
        <w:rPr>
          <w:rFonts w:ascii="Times New Roman" w:hAnsi="Times New Roman" w:cs="Times New Roman"/>
        </w:rPr>
        <w:t xml:space="preserve">with CRC molecular subtypes, clinico-pathological factors and genome-wide DNA alterations was performed by using </w:t>
      </w:r>
      <w:r w:rsidRPr="008A20FA">
        <w:rPr>
          <w:rFonts w:ascii="Times New Roman" w:eastAsia="ArialMT" w:hAnsi="Times New Roman" w:cs="Times New Roman"/>
        </w:rPr>
        <w:t>a two step process</w:t>
      </w:r>
      <w:r w:rsidR="000C717A" w:rsidRPr="008A20FA">
        <w:rPr>
          <w:rFonts w:ascii="Times New Roman" w:eastAsia="ArialMT" w:hAnsi="Times New Roman" w:cs="Times New Roman"/>
        </w:rPr>
        <w:t xml:space="preserve">. </w:t>
      </w:r>
      <w:r w:rsidR="00E031CC" w:rsidRPr="008A20FA">
        <w:rPr>
          <w:rFonts w:ascii="Times New Roman" w:eastAsia="ArialMT" w:hAnsi="Times New Roman" w:cs="Times New Roman"/>
        </w:rPr>
        <w:t>In</w:t>
      </w:r>
      <w:r w:rsidRPr="008A20FA">
        <w:rPr>
          <w:rFonts w:ascii="Times New Roman" w:eastAsia="ArialMT" w:hAnsi="Times New Roman" w:cs="Times New Roman"/>
        </w:rPr>
        <w:t xml:space="preserve"> the first step</w:t>
      </w:r>
      <w:r w:rsidRPr="008A20FA">
        <w:rPr>
          <w:rFonts w:ascii="Times New Roman" w:hAnsi="Times New Roman" w:cs="Times New Roman"/>
        </w:rPr>
        <w:t xml:space="preserve"> we identified CD15/FUT4 as </w:t>
      </w:r>
      <w:r w:rsidRPr="008A20FA">
        <w:rPr>
          <w:rFonts w:ascii="Times New Roman" w:eastAsia="ArialMT" w:hAnsi="Times New Roman" w:cs="Times New Roman"/>
        </w:rPr>
        <w:t xml:space="preserve">a differentially expressed gene and </w:t>
      </w:r>
      <w:r w:rsidR="00E031CC" w:rsidRPr="008A20FA">
        <w:rPr>
          <w:rFonts w:ascii="Times New Roman" w:eastAsia="ArialMT" w:hAnsi="Times New Roman" w:cs="Times New Roman"/>
        </w:rPr>
        <w:t xml:space="preserve">in </w:t>
      </w:r>
      <w:r w:rsidRPr="008A20FA">
        <w:rPr>
          <w:rFonts w:ascii="Times New Roman" w:eastAsia="ArialMT" w:hAnsi="Times New Roman" w:cs="Times New Roman"/>
        </w:rPr>
        <w:t>the se</w:t>
      </w:r>
      <w:r w:rsidR="002547F6" w:rsidRPr="008A20FA">
        <w:rPr>
          <w:rFonts w:ascii="Times New Roman" w:eastAsia="ArialMT" w:hAnsi="Times New Roman" w:cs="Times New Roman"/>
        </w:rPr>
        <w:t xml:space="preserve">cond step </w:t>
      </w:r>
      <w:r w:rsidR="00E031CC" w:rsidRPr="008A20FA">
        <w:rPr>
          <w:rFonts w:ascii="Times New Roman" w:eastAsia="ArialMT" w:hAnsi="Times New Roman" w:cs="Times New Roman"/>
        </w:rPr>
        <w:t xml:space="preserve">we </w:t>
      </w:r>
      <w:r w:rsidR="002547F6" w:rsidRPr="008A20FA">
        <w:rPr>
          <w:rFonts w:ascii="Times New Roman" w:eastAsia="ArialMT" w:hAnsi="Times New Roman" w:cs="Times New Roman"/>
        </w:rPr>
        <w:t>associate</w:t>
      </w:r>
      <w:r w:rsidR="00E031CC" w:rsidRPr="008A20FA">
        <w:rPr>
          <w:rFonts w:ascii="Times New Roman" w:eastAsia="ArialMT" w:hAnsi="Times New Roman" w:cs="Times New Roman"/>
        </w:rPr>
        <w:t>d</w:t>
      </w:r>
      <w:r w:rsidRPr="008A20FA">
        <w:rPr>
          <w:rFonts w:ascii="Times New Roman" w:eastAsia="ArialMT" w:hAnsi="Times New Roman" w:cs="Times New Roman"/>
        </w:rPr>
        <w:t xml:space="preserve"> its expression with</w:t>
      </w:r>
      <w:r w:rsidR="00E031CC" w:rsidRPr="008A20FA">
        <w:rPr>
          <w:rFonts w:ascii="Times New Roman" w:eastAsia="ArialMT" w:hAnsi="Times New Roman" w:cs="Times New Roman"/>
        </w:rPr>
        <w:t xml:space="preserve"> a</w:t>
      </w:r>
      <w:r w:rsidRPr="008A20FA">
        <w:rPr>
          <w:rFonts w:ascii="Times New Roman" w:eastAsia="ArialMT" w:hAnsi="Times New Roman" w:cs="Times New Roman"/>
        </w:rPr>
        <w:t xml:space="preserve"> specific signature or subtypes.</w:t>
      </w:r>
      <w:r w:rsidRPr="008A20FA">
        <w:rPr>
          <w:rFonts w:ascii="Times New Roman" w:hAnsi="Times New Roman" w:cs="Times New Roman"/>
        </w:rPr>
        <w:t xml:space="preserve"> The GEPs were screened separately by using a fold-change of at least 1.5 (p value &lt;0.05). </w:t>
      </w:r>
      <w:r w:rsidRPr="008A20FA">
        <w:rPr>
          <w:rFonts w:ascii="Times New Roman" w:hAnsi="Times New Roman" w:cs="Times New Roman"/>
          <w:color w:val="000000" w:themeColor="text1"/>
        </w:rPr>
        <w:t>The GSE17536 and GSE17537 p</w:t>
      </w:r>
      <w:r w:rsidR="00E031CC" w:rsidRPr="008A20FA">
        <w:rPr>
          <w:rFonts w:ascii="Times New Roman" w:hAnsi="Times New Roman" w:cs="Times New Roman"/>
          <w:color w:val="000000" w:themeColor="text1"/>
        </w:rPr>
        <w:t>ooled series of 226 patients were</w:t>
      </w:r>
      <w:r w:rsidRPr="008A20FA">
        <w:rPr>
          <w:rFonts w:ascii="Times New Roman" w:hAnsi="Times New Roman" w:cs="Times New Roman"/>
          <w:color w:val="000000" w:themeColor="text1"/>
        </w:rPr>
        <w:t xml:space="preserve"> analyzed as previously reported.</w:t>
      </w:r>
      <w:r w:rsidR="008D6E24">
        <w:rPr>
          <w:rFonts w:ascii="Times New Roman" w:hAnsi="Times New Roman" w:cs="Times New Roman"/>
          <w:color w:val="000000" w:themeColor="text1"/>
          <w:vertAlign w:val="superscript"/>
        </w:rPr>
        <w:t xml:space="preserve"> </w:t>
      </w:r>
      <w:r w:rsidR="00E031CC" w:rsidRPr="008A20FA">
        <w:rPr>
          <w:rFonts w:ascii="Times New Roman" w:hAnsi="Times New Roman" w:cs="Times New Roman"/>
        </w:rPr>
        <w:t xml:space="preserve">Within such a </w:t>
      </w:r>
      <w:r w:rsidRPr="008A20FA">
        <w:rPr>
          <w:rFonts w:ascii="Times New Roman" w:hAnsi="Times New Roman" w:cs="Times New Roman"/>
        </w:rPr>
        <w:t>cohort, 220 patients with documented relapse (distant and/ or loco-regional recurrence)</w:t>
      </w:r>
      <w:r w:rsidRPr="008A20FA">
        <w:rPr>
          <w:rFonts w:ascii="Times New Roman" w:hAnsi="Times New Roman" w:cs="Times New Roman"/>
          <w:color w:val="000000"/>
        </w:rPr>
        <w:t>were also avail</w:t>
      </w:r>
      <w:r w:rsidRPr="008A20FA">
        <w:rPr>
          <w:rFonts w:ascii="Times New Roman" w:hAnsi="Times New Roman" w:cs="Times New Roman"/>
          <w:color w:val="000000"/>
        </w:rPr>
        <w:softHyphen/>
        <w:t>able for survival analysis</w:t>
      </w:r>
      <w:r w:rsidRPr="008A20FA">
        <w:rPr>
          <w:rFonts w:ascii="Times New Roman" w:hAnsi="Times New Roman" w:cs="Times New Roman"/>
        </w:rPr>
        <w:t xml:space="preserve">. </w:t>
      </w:r>
      <w:r w:rsidRPr="008A20FA">
        <w:rPr>
          <w:rFonts w:ascii="Times New Roman" w:eastAsia="ArialMT" w:hAnsi="Times New Roman" w:cs="Times New Roman"/>
        </w:rPr>
        <w:t>We examined therelationship between recurrence and other histopathological information such as Dukes’ stage,age, location of tumors (left or right of colon or rectum).  We censored those patients whowere alive without tumor recurrence or dead at last contact.</w:t>
      </w:r>
    </w:p>
    <w:p w:rsidR="008052A9" w:rsidRPr="008A20FA" w:rsidRDefault="008052A9" w:rsidP="00BB0D1C">
      <w:pPr>
        <w:spacing w:after="0" w:line="360" w:lineRule="auto"/>
        <w:ind w:right="567"/>
        <w:jc w:val="both"/>
        <w:rPr>
          <w:rFonts w:ascii="Times New Roman" w:eastAsia="ArialMT" w:hAnsi="Times New Roman" w:cs="Times New Roman"/>
        </w:rPr>
      </w:pPr>
      <w:r w:rsidRPr="008A20FA">
        <w:rPr>
          <w:rFonts w:ascii="Times New Roman" w:hAnsi="Times New Roman" w:cs="Times New Roman"/>
          <w:color w:val="000000" w:themeColor="text1"/>
        </w:rPr>
        <w:t>The</w:t>
      </w:r>
      <w:r w:rsidRPr="008A20FA">
        <w:rPr>
          <w:rFonts w:ascii="Times New Roman" w:hAnsi="Times New Roman" w:cs="Times New Roman"/>
        </w:rPr>
        <w:t xml:space="preserve"> transcriptional regulation network of </w:t>
      </w:r>
      <w:r w:rsidRPr="008A20FA">
        <w:rPr>
          <w:rFonts w:ascii="Times New Roman" w:hAnsi="Times New Roman" w:cs="Times New Roman"/>
          <w:color w:val="000000" w:themeColor="text1"/>
        </w:rPr>
        <w:t xml:space="preserve">this series </w:t>
      </w:r>
      <w:r w:rsidRPr="008A20FA">
        <w:rPr>
          <w:rFonts w:ascii="Times New Roman" w:hAnsi="Times New Roman" w:cs="Times New Roman"/>
        </w:rPr>
        <w:t>was inferred using the ARACNE algorithm which adopts the mutual information measure to infer potential interactions between transcription factors and targets</w:t>
      </w:r>
      <w:r w:rsidR="008D6E24">
        <w:rPr>
          <w:rFonts w:ascii="Times New Roman" w:hAnsi="Times New Roman" w:cs="Times New Roman"/>
        </w:rPr>
        <w:t xml:space="preserve"> </w:t>
      </w:r>
      <w:r w:rsidR="008D6E24">
        <w:rPr>
          <w:rFonts w:ascii="Times New Roman" w:eastAsia="AdvOT1ef757c0" w:hAnsi="Times New Roman"/>
          <w:color w:val="231F20"/>
        </w:rPr>
        <w:t>[6</w:t>
      </w:r>
      <w:r w:rsidR="005558D7">
        <w:rPr>
          <w:rFonts w:ascii="Times New Roman" w:eastAsia="AdvOT1ef757c0" w:hAnsi="Times New Roman"/>
          <w:color w:val="231F20"/>
        </w:rPr>
        <w:t>,7</w:t>
      </w:r>
      <w:r w:rsidR="008D6E24">
        <w:rPr>
          <w:rFonts w:ascii="Times New Roman" w:eastAsia="AdvOT1ef757c0" w:hAnsi="Times New Roman"/>
          <w:color w:val="231F20"/>
        </w:rPr>
        <w:t>]</w:t>
      </w:r>
      <w:r w:rsidR="008D6E24" w:rsidRPr="00597784">
        <w:rPr>
          <w:rFonts w:ascii="Times New Roman" w:eastAsia="AdvOT1ef757c0" w:hAnsi="Times New Roman"/>
          <w:color w:val="231F20"/>
        </w:rPr>
        <w:t xml:space="preserve">. </w:t>
      </w:r>
      <w:r w:rsidR="008D6E24">
        <w:rPr>
          <w:rFonts w:ascii="Times New Roman" w:hAnsi="Times New Roman" w:cs="Times New Roman"/>
        </w:rPr>
        <w:t xml:space="preserve"> </w:t>
      </w:r>
      <w:r w:rsidRPr="008A20FA">
        <w:rPr>
          <w:rFonts w:ascii="Times New Roman" w:hAnsi="Times New Roman" w:cs="Times New Roman"/>
        </w:rPr>
        <w:t xml:space="preserve">Mutual information was estimated by using </w:t>
      </w:r>
      <w:r w:rsidRPr="008A20FA">
        <w:rPr>
          <w:rFonts w:ascii="Times New Roman" w:hAnsi="Times New Roman" w:cs="Times New Roman"/>
          <w:caps/>
        </w:rPr>
        <w:t xml:space="preserve">parmigene </w:t>
      </w:r>
      <w:r w:rsidRPr="008A20FA">
        <w:rPr>
          <w:rFonts w:ascii="Times New Roman" w:hAnsi="Times New Roman" w:cs="Times New Roman"/>
        </w:rPr>
        <w:t xml:space="preserve">(PARallel Mutual Information calculation for GEneNEtwork reconstruction) available as a Bioconductor package.  The optimal mutual information threshold was determined with a permutation test among 1000 runs where </w:t>
      </w:r>
      <w:r w:rsidR="00D37EFA" w:rsidRPr="008A20FA">
        <w:rPr>
          <w:rFonts w:ascii="Times New Roman" w:hAnsi="Times New Roman" w:cs="Times New Roman"/>
        </w:rPr>
        <w:t>samples were</w:t>
      </w:r>
      <w:r w:rsidRPr="008A20FA">
        <w:rPr>
          <w:rFonts w:ascii="Times New Roman" w:hAnsi="Times New Roman" w:cs="Times New Roman"/>
        </w:rPr>
        <w:t xml:space="preserve"> randomly permuted and the inferred network was then pruned with Data Processing Inequality (DPI) analysis in order to limit the presence of indirect relationships.Their specific regulons were then imported into the IPA software (Ingenuity System Inc; </w:t>
      </w:r>
      <w:hyperlink r:id="rId8" w:history="1">
        <w:r w:rsidRPr="008A20FA">
          <w:rPr>
            <w:rStyle w:val="Collegamentoipertestuale"/>
            <w:rFonts w:ascii="Times New Roman" w:hAnsi="Times New Roman" w:cs="Times New Roman"/>
          </w:rPr>
          <w:t>http://www.ingenuity.com/</w:t>
        </w:r>
      </w:hyperlink>
      <w:r w:rsidRPr="008A20FA">
        <w:rPr>
          <w:rFonts w:ascii="Times New Roman" w:hAnsi="Times New Roman" w:cs="Times New Roman"/>
        </w:rPr>
        <w:t xml:space="preserve">) to identify the most enriched canonical pathways, over-represented biological processes and molecular functions associated to candidate genes. In </w:t>
      </w:r>
      <w:r w:rsidRPr="008A20FA">
        <w:rPr>
          <w:rFonts w:ascii="Times New Roman" w:eastAsia="ArialMT" w:hAnsi="Times New Roman" w:cs="Times New Roman"/>
        </w:rPr>
        <w:t xml:space="preserve">order to confirm the role of CD15/FUT4 in specific subtype in additional data sets, </w:t>
      </w:r>
      <w:r w:rsidRPr="008A20FA">
        <w:rPr>
          <w:rFonts w:ascii="Times New Roman" w:hAnsi="Times New Roman" w:cs="Times New Roman"/>
          <w:color w:val="000000" w:themeColor="text1"/>
        </w:rPr>
        <w:t>we analyze the colorectal Cancer Genome Atlas (TCGA) series, Nature 2012, composed of 210 patients. This data set was added because of the extensive DNA alteration annotations and 20 normal colonic mucosa data provided</w:t>
      </w:r>
      <w:r w:rsidR="008D6E24">
        <w:rPr>
          <w:rFonts w:ascii="Times New Roman" w:hAnsi="Times New Roman" w:cs="Times New Roman"/>
          <w:color w:val="000000" w:themeColor="text1"/>
        </w:rPr>
        <w:t xml:space="preserve"> </w:t>
      </w:r>
      <w:r w:rsidR="0070436D" w:rsidRPr="008A20FA">
        <w:rPr>
          <w:rFonts w:ascii="Times New Roman" w:eastAsia="AdvOT1ef757c0" w:hAnsi="Times New Roman" w:cs="Times New Roman"/>
          <w:color w:val="231F20"/>
        </w:rPr>
        <w:t xml:space="preserve">(Cancer Genome Atlas Network, 2012). </w:t>
      </w:r>
      <w:r w:rsidRPr="008A20FA">
        <w:rPr>
          <w:rFonts w:ascii="Times New Roman" w:hAnsi="Times New Roman" w:cs="Times New Roman"/>
          <w:color w:val="000000" w:themeColor="text1"/>
        </w:rPr>
        <w:t>From such a dataset, we</w:t>
      </w:r>
      <w:r w:rsidRPr="008A20FA">
        <w:rPr>
          <w:rFonts w:ascii="Times New Roman" w:eastAsia="ArialMT" w:hAnsi="Times New Roman" w:cs="Times New Roman"/>
        </w:rPr>
        <w:t xml:space="preserve"> also examined the relationship between patients’ </w:t>
      </w:r>
      <w:r w:rsidRPr="008A20FA">
        <w:rPr>
          <w:rFonts w:ascii="Times New Roman" w:eastAsia="ArialMT" w:hAnsi="Times New Roman" w:cs="Times New Roman"/>
        </w:rPr>
        <w:lastRenderedPageBreak/>
        <w:t xml:space="preserve">outcomes, where available, and </w:t>
      </w:r>
      <w:r w:rsidRPr="008A20FA">
        <w:rPr>
          <w:rFonts w:ascii="Times New Roman" w:eastAsia="ArialMT" w:hAnsi="Times New Roman" w:cs="Times New Roman"/>
          <w:i/>
        </w:rPr>
        <w:t>CD15/FUT4</w:t>
      </w:r>
      <w:r w:rsidRPr="008A20FA">
        <w:rPr>
          <w:rFonts w:ascii="Times New Roman" w:eastAsia="ArialMT" w:hAnsi="Times New Roman" w:cs="Times New Roman"/>
        </w:rPr>
        <w:t xml:space="preserve"> transcript in terms of overall survival.</w:t>
      </w:r>
      <w:r w:rsidR="008D6E24">
        <w:rPr>
          <w:rFonts w:ascii="Times New Roman" w:eastAsia="ArialMT" w:hAnsi="Times New Roman" w:cs="Times New Roman"/>
        </w:rPr>
        <w:t xml:space="preserve"> </w:t>
      </w:r>
      <w:r w:rsidRPr="008A20FA">
        <w:rPr>
          <w:rFonts w:ascii="Times New Roman" w:hAnsi="Times New Roman" w:cs="Times New Roman"/>
        </w:rPr>
        <w:t xml:space="preserve">Genome-wide transcription profile CD15/FUT4-correlated genes was estimated through positive or negative Pearson’s coefficient by using a stringent cutoff (at least 0.4 or -0.4). </w:t>
      </w:r>
      <w:r w:rsidRPr="008A20FA">
        <w:rPr>
          <w:rFonts w:ascii="Times New Roman" w:hAnsi="Times New Roman" w:cs="Times New Roman"/>
          <w:color w:val="000000"/>
        </w:rPr>
        <w:t>Gene</w:t>
      </w:r>
      <w:r w:rsidR="008D6E24">
        <w:rPr>
          <w:rFonts w:ascii="Times New Roman" w:hAnsi="Times New Roman" w:cs="Times New Roman"/>
          <w:color w:val="000000"/>
        </w:rPr>
        <w:t xml:space="preserve"> </w:t>
      </w:r>
      <w:r w:rsidRPr="008A20FA">
        <w:rPr>
          <w:rFonts w:ascii="Times New Roman" w:hAnsi="Times New Roman" w:cs="Times New Roman"/>
          <w:color w:val="000000"/>
        </w:rPr>
        <w:t>Ontology (GO)</w:t>
      </w:r>
      <w:r w:rsidRPr="008A20FA">
        <w:rPr>
          <w:rFonts w:ascii="Times New Roman" w:hAnsi="Times New Roman" w:cs="Times New Roman"/>
        </w:rPr>
        <w:t xml:space="preserve"> pathway</w:t>
      </w:r>
      <w:r w:rsidRPr="008A20FA">
        <w:rPr>
          <w:rFonts w:ascii="Times New Roman" w:hAnsi="Times New Roman" w:cs="Times New Roman"/>
          <w:color w:val="000000"/>
        </w:rPr>
        <w:t xml:space="preserve"> enrichment analysis of the resulting differentially expressed genes was conducted with</w:t>
      </w:r>
      <w:r w:rsidR="00D37EFA" w:rsidRPr="008A20FA">
        <w:rPr>
          <w:rFonts w:ascii="Times New Roman" w:hAnsi="Times New Roman" w:cs="Times New Roman"/>
          <w:color w:val="000000"/>
        </w:rPr>
        <w:t xml:space="preserve"> Database for Annotation, </w:t>
      </w:r>
      <w:r w:rsidRPr="008A20FA">
        <w:rPr>
          <w:rFonts w:ascii="Times New Roman" w:hAnsi="Times New Roman" w:cs="Times New Roman"/>
          <w:color w:val="000000"/>
        </w:rPr>
        <w:t>Visualization and Integrated Discovery (DAVID)(http://david.abcc.ncifcrf.gov), while their functional characterization to identify possible enriched</w:t>
      </w:r>
      <w:r w:rsidR="008D6E24">
        <w:rPr>
          <w:rFonts w:ascii="Times New Roman" w:hAnsi="Times New Roman" w:cs="Times New Roman"/>
          <w:color w:val="000000"/>
        </w:rPr>
        <w:t xml:space="preserve"> </w:t>
      </w:r>
      <w:r w:rsidRPr="008A20FA">
        <w:rPr>
          <w:rFonts w:ascii="Times New Roman" w:hAnsi="Times New Roman" w:cs="Times New Roman"/>
          <w:color w:val="000000"/>
        </w:rPr>
        <w:t>molecular networks and canonical pathways was performed using a proprietary software, Ingenuity</w:t>
      </w:r>
      <w:r w:rsidR="008D6E24">
        <w:rPr>
          <w:rFonts w:ascii="Times New Roman" w:hAnsi="Times New Roman" w:cs="Times New Roman"/>
          <w:color w:val="000000"/>
        </w:rPr>
        <w:t xml:space="preserve"> </w:t>
      </w:r>
      <w:r w:rsidRPr="008A20FA">
        <w:rPr>
          <w:rFonts w:ascii="Times New Roman" w:hAnsi="Times New Roman" w:cs="Times New Roman"/>
          <w:color w:val="000000"/>
        </w:rPr>
        <w:t>Pathway Analysis (IPA) from Ingenuity Systems® (</w:t>
      </w:r>
      <w:hyperlink r:id="rId9" w:history="1">
        <w:r w:rsidRPr="008A20FA">
          <w:rPr>
            <w:rStyle w:val="Collegamentoipertestuale"/>
            <w:rFonts w:ascii="Times New Roman" w:hAnsi="Times New Roman" w:cs="Times New Roman"/>
          </w:rPr>
          <w:t>http://www.ingenuity.com</w:t>
        </w:r>
      </w:hyperlink>
      <w:r w:rsidRPr="008A20FA">
        <w:rPr>
          <w:rFonts w:ascii="Times New Roman" w:hAnsi="Times New Roman" w:cs="Times New Roman"/>
          <w:color w:val="000000"/>
        </w:rPr>
        <w:t>).</w:t>
      </w:r>
      <w:r w:rsidRPr="008A20FA">
        <w:rPr>
          <w:rFonts w:ascii="Times New Roman" w:hAnsi="Times New Roman" w:cs="Times New Roman"/>
        </w:rPr>
        <w:t xml:space="preserve"> Statistical analyses were performed by GeneSpring R/bioconductor v.12.5 and </w:t>
      </w:r>
      <w:r w:rsidRPr="008A20FA">
        <w:rPr>
          <w:rFonts w:ascii="Times New Roman" w:eastAsia="ArialMT" w:hAnsi="Times New Roman" w:cs="Times New Roman"/>
        </w:rPr>
        <w:t xml:space="preserve">R based package. </w:t>
      </w:r>
    </w:p>
    <w:p w:rsidR="00BB0D1C" w:rsidRPr="008A20FA" w:rsidRDefault="00BB0D1C" w:rsidP="00BB0D1C">
      <w:pPr>
        <w:spacing w:after="0" w:line="360" w:lineRule="auto"/>
        <w:ind w:right="567"/>
        <w:jc w:val="both"/>
        <w:rPr>
          <w:rFonts w:ascii="Times New Roman" w:hAnsi="Times New Roman" w:cs="Times New Roman"/>
          <w:b/>
          <w:bCs/>
        </w:rPr>
      </w:pPr>
      <w:r w:rsidRPr="008A20FA">
        <w:rPr>
          <w:rFonts w:ascii="Times New Roman" w:hAnsi="Times New Roman" w:cs="Times New Roman"/>
          <w:b/>
          <w:bCs/>
        </w:rPr>
        <w:t xml:space="preserve">Combination of CRC cell line data sets. </w:t>
      </w:r>
    </w:p>
    <w:p w:rsidR="00BB0D1C" w:rsidRPr="008A20FA" w:rsidRDefault="00BB0D1C" w:rsidP="00BB0D1C">
      <w:pPr>
        <w:spacing w:after="0" w:line="360" w:lineRule="auto"/>
        <w:ind w:right="567"/>
        <w:jc w:val="both"/>
        <w:rPr>
          <w:rFonts w:ascii="Times New Roman" w:hAnsi="Times New Roman" w:cs="Times New Roman"/>
          <w:sz w:val="22"/>
          <w:szCs w:val="22"/>
        </w:rPr>
      </w:pPr>
      <w:r w:rsidRPr="008A20FA">
        <w:rPr>
          <w:rFonts w:ascii="Times New Roman" w:eastAsia="ArialMT" w:hAnsi="Times New Roman" w:cs="Times New Roman"/>
          <w:color w:val="000000" w:themeColor="text1"/>
        </w:rPr>
        <w:t xml:space="preserve">To obtain a robust </w:t>
      </w:r>
      <w:r w:rsidR="008052A9" w:rsidRPr="008A20FA">
        <w:rPr>
          <w:rFonts w:ascii="Times New Roman" w:eastAsia="ArialMT" w:hAnsi="Times New Roman" w:cs="Times New Roman"/>
          <w:color w:val="000000" w:themeColor="text1"/>
        </w:rPr>
        <w:t xml:space="preserve">molecular </w:t>
      </w:r>
      <w:r w:rsidRPr="008A20FA">
        <w:rPr>
          <w:rFonts w:ascii="Times New Roman" w:eastAsia="ArialMT" w:hAnsi="Times New Roman" w:cs="Times New Roman"/>
          <w:color w:val="000000" w:themeColor="text1"/>
        </w:rPr>
        <w:t xml:space="preserve">classification of CD15/FTU4, we used a large set  of 60 </w:t>
      </w:r>
      <w:r w:rsidR="000C1688" w:rsidRPr="008A20FA">
        <w:rPr>
          <w:rFonts w:ascii="Times New Roman" w:hAnsi="Times New Roman" w:cs="Times New Roman"/>
          <w:color w:val="000000" w:themeColor="text1"/>
          <w:spacing w:val="-10"/>
        </w:rPr>
        <w:t xml:space="preserve">colon </w:t>
      </w:r>
      <w:r w:rsidRPr="008A20FA">
        <w:rPr>
          <w:rFonts w:ascii="Times New Roman" w:hAnsi="Times New Roman" w:cs="Times New Roman"/>
          <w:color w:val="000000" w:themeColor="text1"/>
          <w:spacing w:val="-10"/>
        </w:rPr>
        <w:t xml:space="preserve"> cancer </w:t>
      </w:r>
      <w:r w:rsidRPr="008A20FA">
        <w:rPr>
          <w:rFonts w:ascii="Times New Roman" w:eastAsia="ArialMT" w:hAnsi="Times New Roman" w:cs="Times New Roman"/>
          <w:color w:val="000000" w:themeColor="text1"/>
        </w:rPr>
        <w:t>cell lines from the “</w:t>
      </w:r>
      <w:r w:rsidRPr="008A20FA">
        <w:rPr>
          <w:rFonts w:ascii="Times New Roman" w:hAnsi="Times New Roman" w:cs="Times New Roman"/>
          <w:color w:val="000000" w:themeColor="text1"/>
        </w:rPr>
        <w:t xml:space="preserve">Cancer Cell Line Encyclopedia from the Broad Institute and Novartis, </w:t>
      </w:r>
      <w:r w:rsidRPr="008A20FA">
        <w:rPr>
          <w:rFonts w:ascii="Times New Roman" w:hAnsi="Times New Roman" w:cs="Times New Roman"/>
          <w:i/>
          <w:color w:val="000000" w:themeColor="text1"/>
        </w:rPr>
        <w:t>Nature</w:t>
      </w:r>
      <w:r w:rsidRPr="008A20FA">
        <w:rPr>
          <w:rFonts w:ascii="Times New Roman" w:hAnsi="Times New Roman" w:cs="Times New Roman"/>
          <w:color w:val="000000" w:themeColor="text1"/>
        </w:rPr>
        <w:t xml:space="preserve"> 2012”</w:t>
      </w:r>
      <w:r w:rsidRPr="008A20FA">
        <w:rPr>
          <w:rFonts w:ascii="Times New Roman" w:eastAsia="ArialMT" w:hAnsi="Times New Roman" w:cs="Times New Roman"/>
          <w:color w:val="000000" w:themeColor="text1"/>
        </w:rPr>
        <w:t xml:space="preserve"> and querying  for annotated genomic profiles (mutations, putative copy-number alteration and mRNA expression microarrays)</w:t>
      </w:r>
      <w:r w:rsidR="008D6E24">
        <w:rPr>
          <w:rFonts w:ascii="Times New Roman" w:eastAsia="ArialMT" w:hAnsi="Times New Roman" w:cs="Times New Roman"/>
          <w:color w:val="000000" w:themeColor="text1"/>
        </w:rPr>
        <w:t xml:space="preserve"> </w:t>
      </w:r>
      <w:r w:rsidR="005558D7">
        <w:rPr>
          <w:rFonts w:ascii="Times New Roman" w:eastAsia="AdvOT1ef757c0" w:hAnsi="Times New Roman"/>
          <w:color w:val="231F20"/>
        </w:rPr>
        <w:t>[8]</w:t>
      </w:r>
      <w:r w:rsidR="005558D7">
        <w:rPr>
          <w:rFonts w:ascii="Times New Roman" w:eastAsia="AdvOT1ef757c0" w:hAnsi="Times New Roman" w:cs="Times New Roman"/>
          <w:color w:val="231F20"/>
        </w:rPr>
        <w:t xml:space="preserve">. </w:t>
      </w:r>
      <w:r w:rsidRPr="008A20FA">
        <w:rPr>
          <w:rFonts w:ascii="Times New Roman" w:eastAsia="ArialMT" w:hAnsi="Times New Roman" w:cs="Times New Roman"/>
          <w:color w:val="000000" w:themeColor="text1"/>
        </w:rPr>
        <w:t xml:space="preserve">By clustering algorithm </w:t>
      </w:r>
      <w:r w:rsidR="00C24D6F" w:rsidRPr="008A20FA">
        <w:rPr>
          <w:rFonts w:ascii="Times New Roman" w:eastAsia="ArialMT" w:hAnsi="Times New Roman" w:cs="Times New Roman"/>
          <w:color w:val="000000" w:themeColor="text1"/>
        </w:rPr>
        <w:t xml:space="preserve">based on </w:t>
      </w:r>
      <w:r w:rsidRPr="008A20FA">
        <w:rPr>
          <w:rFonts w:ascii="Times New Roman" w:eastAsia="ArialMT" w:hAnsi="Times New Roman" w:cs="Times New Roman"/>
          <w:color w:val="000000" w:themeColor="text1"/>
        </w:rPr>
        <w:t>mutational loading and  chromosomal instability (CIN)</w:t>
      </w:r>
      <w:r w:rsidR="00C24D6F" w:rsidRPr="008A20FA">
        <w:rPr>
          <w:rFonts w:ascii="Times New Roman" w:eastAsia="ArialMT" w:hAnsi="Times New Roman" w:cs="Times New Roman"/>
          <w:color w:val="000000" w:themeColor="text1"/>
        </w:rPr>
        <w:t xml:space="preserve"> profiles</w:t>
      </w:r>
      <w:r w:rsidRPr="008A20FA">
        <w:rPr>
          <w:rFonts w:ascii="Times New Roman" w:eastAsia="ArialMT" w:hAnsi="Times New Roman" w:cs="Times New Roman"/>
          <w:color w:val="000000" w:themeColor="text1"/>
        </w:rPr>
        <w:t xml:space="preserve">, </w:t>
      </w:r>
      <w:r w:rsidRPr="008A20FA">
        <w:rPr>
          <w:rFonts w:ascii="Times New Roman" w:eastAsia="ArialMT" w:hAnsi="Times New Roman" w:cs="Times New Roman"/>
        </w:rPr>
        <w:t xml:space="preserve">we determined that </w:t>
      </w:r>
      <w:r w:rsidRPr="008A20FA">
        <w:rPr>
          <w:rFonts w:ascii="Times New Roman" w:eastAsia="ArialMT" w:hAnsi="Times New Roman" w:cs="Times New Roman"/>
          <w:i/>
        </w:rPr>
        <w:t>CD15/FUT4</w:t>
      </w:r>
      <w:r w:rsidR="00F45F14" w:rsidRPr="008A20FA">
        <w:rPr>
          <w:rFonts w:ascii="Times New Roman" w:eastAsia="ArialMT" w:hAnsi="Times New Roman" w:cs="Times New Roman"/>
        </w:rPr>
        <w:t xml:space="preserve">overexpression </w:t>
      </w:r>
      <w:r w:rsidRPr="008A20FA">
        <w:rPr>
          <w:rFonts w:ascii="Times New Roman" w:eastAsia="ArialMT" w:hAnsi="Times New Roman" w:cs="Times New Roman"/>
        </w:rPr>
        <w:t xml:space="preserve">correlated with increased ERBB2, ERBB3 and FGFR4 </w:t>
      </w:r>
      <w:r w:rsidR="00F45F14" w:rsidRPr="008A20FA">
        <w:rPr>
          <w:rFonts w:ascii="Times New Roman" w:eastAsia="ArialMT" w:hAnsi="Times New Roman" w:cs="Times New Roman"/>
        </w:rPr>
        <w:t xml:space="preserve">transcript </w:t>
      </w:r>
      <w:r w:rsidRPr="008A20FA">
        <w:rPr>
          <w:rFonts w:ascii="Times New Roman" w:eastAsia="ArialMT" w:hAnsi="Times New Roman" w:cs="Times New Roman"/>
        </w:rPr>
        <w:t xml:space="preserve">levels. </w:t>
      </w:r>
      <w:r w:rsidR="00F45F14" w:rsidRPr="008A20FA">
        <w:rPr>
          <w:rFonts w:ascii="Times New Roman" w:eastAsia="ArialMT" w:hAnsi="Times New Roman" w:cs="Times New Roman"/>
        </w:rPr>
        <w:t xml:space="preserve">By this approach, </w:t>
      </w:r>
      <w:r w:rsidR="00F45F14" w:rsidRPr="008A20FA">
        <w:rPr>
          <w:rFonts w:ascii="Times New Roman" w:hAnsi="Times New Roman" w:cs="Times New Roman"/>
          <w:bCs/>
          <w:color w:val="000000" w:themeColor="text1"/>
        </w:rPr>
        <w:t>we did not find relationship between CD15/FUT4expression levels</w:t>
      </w:r>
      <w:r w:rsidR="00F45F14" w:rsidRPr="008A20FA">
        <w:rPr>
          <w:rFonts w:ascii="Times New Roman" w:eastAsia="ArialMT" w:hAnsi="Times New Roman" w:cs="Times New Roman"/>
        </w:rPr>
        <w:t xml:space="preserve"> and </w:t>
      </w:r>
      <w:r w:rsidR="00F45F14" w:rsidRPr="008A20FA">
        <w:rPr>
          <w:rFonts w:ascii="Times New Roman" w:hAnsi="Times New Roman" w:cs="Times New Roman"/>
          <w:color w:val="000000"/>
        </w:rPr>
        <w:t xml:space="preserve">copy number alterations (CNAs) or amplifications at the </w:t>
      </w:r>
      <w:r w:rsidR="00352023" w:rsidRPr="008A20FA">
        <w:rPr>
          <w:rFonts w:ascii="Times New Roman" w:hAnsi="Times New Roman" w:cs="Times New Roman"/>
          <w:i/>
          <w:iCs/>
          <w:color w:val="000000"/>
        </w:rPr>
        <w:t>CD15/FUT4</w:t>
      </w:r>
      <w:r w:rsidR="002944A3">
        <w:rPr>
          <w:rFonts w:ascii="Times New Roman" w:hAnsi="Times New Roman" w:cs="Times New Roman"/>
          <w:i/>
          <w:iCs/>
          <w:color w:val="000000"/>
        </w:rPr>
        <w:t xml:space="preserve"> </w:t>
      </w:r>
      <w:r w:rsidR="00F45F14" w:rsidRPr="008A20FA">
        <w:rPr>
          <w:rFonts w:ascii="Times New Roman" w:hAnsi="Times New Roman" w:cs="Times New Roman"/>
          <w:color w:val="000000"/>
        </w:rPr>
        <w:t>locus.</w:t>
      </w:r>
      <w:r w:rsidR="00F45F14" w:rsidRPr="008A20FA">
        <w:rPr>
          <w:rFonts w:ascii="Times New Roman" w:eastAsia="ArialMT" w:hAnsi="Times New Roman" w:cs="Times New Roman"/>
        </w:rPr>
        <w:t xml:space="preserve"> We used a fold change of </w:t>
      </w:r>
      <w:r w:rsidR="00F45F14" w:rsidRPr="008A20FA">
        <w:rPr>
          <w:rFonts w:ascii="Times New Roman" w:hAnsi="Times New Roman" w:cs="Times New Roman"/>
        </w:rPr>
        <w:t xml:space="preserve">1.5 </w:t>
      </w:r>
      <w:r w:rsidR="00F45F14" w:rsidRPr="008A20FA">
        <w:rPr>
          <w:rFonts w:ascii="Times New Roman" w:eastAsia="ArialMT" w:hAnsi="Times New Roman" w:cs="Times New Roman"/>
        </w:rPr>
        <w:t xml:space="preserve">(defined above) to assign differentially expressed genes (DEGs). </w:t>
      </w:r>
      <w:r w:rsidRPr="008A20FA">
        <w:rPr>
          <w:rFonts w:ascii="Times New Roman" w:eastAsia="ArialMT" w:hAnsi="Times New Roman" w:cs="Times New Roman"/>
        </w:rPr>
        <w:t xml:space="preserve">CRC cell lines </w:t>
      </w:r>
      <w:r w:rsidRPr="008A20FA">
        <w:rPr>
          <w:rFonts w:ascii="Times New Roman" w:hAnsi="Times New Roman" w:cs="Times New Roman"/>
          <w:color w:val="000000"/>
        </w:rPr>
        <w:t>were defined as CIN+ (positive) or CIN- (negative) based on weighted genome instability index &gt;0.2 (fraction of genome altered)</w:t>
      </w:r>
      <w:r w:rsidR="002944A3">
        <w:rPr>
          <w:rFonts w:ascii="Times New Roman" w:hAnsi="Times New Roman" w:cs="Times New Roman"/>
          <w:color w:val="000000"/>
        </w:rPr>
        <w:t xml:space="preserve"> </w:t>
      </w:r>
      <w:r w:rsidR="005558D7">
        <w:rPr>
          <w:rFonts w:ascii="Times New Roman" w:eastAsia="AdvOT1ef757c0" w:hAnsi="Times New Roman"/>
          <w:color w:val="231F20"/>
        </w:rPr>
        <w:t>[8-10]</w:t>
      </w:r>
      <w:r w:rsidRPr="008A20FA">
        <w:rPr>
          <w:rFonts w:ascii="Times New Roman" w:hAnsi="Times New Roman" w:cs="Times New Roman"/>
          <w:color w:val="000000"/>
        </w:rPr>
        <w:t>.</w:t>
      </w:r>
      <w:r w:rsidR="005558D7">
        <w:rPr>
          <w:rFonts w:ascii="Times New Roman" w:hAnsi="Times New Roman" w:cs="Times New Roman"/>
          <w:color w:val="000000"/>
        </w:rPr>
        <w:t xml:space="preserve"> </w:t>
      </w:r>
      <w:r w:rsidRPr="008A20FA">
        <w:rPr>
          <w:rFonts w:ascii="Times New Roman" w:eastAsia="ArialMT" w:hAnsi="Times New Roman" w:cs="Times New Roman"/>
        </w:rPr>
        <w:t xml:space="preserve">Microarray data of metastatic CRC cell line </w:t>
      </w:r>
      <w:r w:rsidRPr="008A20FA">
        <w:rPr>
          <w:rFonts w:ascii="Times New Roman" w:eastAsia="TimesNewRoman" w:hAnsi="Times New Roman" w:cs="Times New Roman"/>
        </w:rPr>
        <w:t xml:space="preserve">SW480 </w:t>
      </w:r>
      <w:r w:rsidR="005606C0" w:rsidRPr="008A20FA">
        <w:rPr>
          <w:rFonts w:ascii="Times New Roman" w:eastAsia="TimesNewRoman" w:hAnsi="Times New Roman" w:cs="Times New Roman"/>
        </w:rPr>
        <w:t>displaying</w:t>
      </w:r>
      <w:r w:rsidR="002944A3">
        <w:rPr>
          <w:rFonts w:ascii="Times New Roman" w:eastAsia="TimesNewRoman" w:hAnsi="Times New Roman" w:cs="Times New Roman"/>
        </w:rPr>
        <w:t xml:space="preserve"> </w:t>
      </w:r>
      <w:r w:rsidRPr="008A20FA">
        <w:rPr>
          <w:rFonts w:ascii="Times New Roman" w:eastAsia="TimesNewRoman" w:hAnsi="Times New Roman" w:cs="Times New Roman"/>
        </w:rPr>
        <w:t xml:space="preserve">primary resistance to cetuximab, mutations </w:t>
      </w:r>
      <w:r w:rsidRPr="008A20FA">
        <w:rPr>
          <w:rFonts w:ascii="Times New Roman" w:eastAsia="ArialMT" w:hAnsi="Times New Roman" w:cs="Times New Roman"/>
        </w:rPr>
        <w:t xml:space="preserve">in </w:t>
      </w:r>
      <w:r w:rsidRPr="008A20FA">
        <w:rPr>
          <w:rFonts w:ascii="Times New Roman" w:eastAsia="TimesNewRoman" w:hAnsi="Times New Roman" w:cs="Times New Roman"/>
        </w:rPr>
        <w:t>RAS/RAF/MEK/MAPK pathway</w:t>
      </w:r>
      <w:r w:rsidR="000C1688" w:rsidRPr="008A20FA">
        <w:rPr>
          <w:rFonts w:ascii="Times New Roman" w:eastAsia="TimesNewRoman" w:hAnsi="Times New Roman" w:cs="Times New Roman"/>
        </w:rPr>
        <w:t xml:space="preserve"> and </w:t>
      </w:r>
      <w:r w:rsidRPr="008A20FA">
        <w:rPr>
          <w:rFonts w:ascii="Times New Roman" w:eastAsia="ArialMT" w:hAnsi="Times New Roman" w:cs="Times New Roman"/>
        </w:rPr>
        <w:t xml:space="preserve">treated with the MEK inhibitor </w:t>
      </w:r>
      <w:r w:rsidRPr="008A20FA">
        <w:rPr>
          <w:rFonts w:ascii="Times New Roman" w:eastAsia="ArialMT" w:hAnsi="Times New Roman" w:cs="Times New Roman"/>
          <w:color w:val="000000" w:themeColor="text1"/>
        </w:rPr>
        <w:t>(</w:t>
      </w:r>
      <w:r w:rsidRPr="008A20FA">
        <w:rPr>
          <w:rFonts w:ascii="Times New Roman" w:hAnsi="Times New Roman" w:cs="Times New Roman"/>
          <w:color w:val="000000" w:themeColor="text1"/>
        </w:rPr>
        <w:t xml:space="preserve">AZD6244, </w:t>
      </w:r>
      <w:r w:rsidRPr="008A20FA">
        <w:rPr>
          <w:rStyle w:val="st1"/>
          <w:rFonts w:ascii="Times New Roman" w:hAnsi="Times New Roman" w:cs="Times New Roman"/>
          <w:color w:val="000000" w:themeColor="text1"/>
        </w:rPr>
        <w:t xml:space="preserve">Selumetinib) </w:t>
      </w:r>
      <w:r w:rsidRPr="008A20FA">
        <w:rPr>
          <w:rFonts w:ascii="Times New Roman" w:eastAsia="ArialMT" w:hAnsi="Times New Roman" w:cs="Times New Roman"/>
        </w:rPr>
        <w:t xml:space="preserve">were obtained from GEO Omnibus and were analyzed </w:t>
      </w:r>
      <w:r w:rsidRPr="008A20FA">
        <w:rPr>
          <w:rFonts w:ascii="Times New Roman" w:hAnsi="Times New Roman" w:cs="Times New Roman"/>
        </w:rPr>
        <w:t>using an</w:t>
      </w:r>
      <w:r w:rsidR="002944A3">
        <w:rPr>
          <w:rFonts w:ascii="Times New Roman" w:hAnsi="Times New Roman" w:cs="Times New Roman"/>
        </w:rPr>
        <w:t xml:space="preserve"> </w:t>
      </w:r>
      <w:r w:rsidRPr="008A20FA">
        <w:rPr>
          <w:rFonts w:ascii="Times New Roman" w:hAnsi="Times New Roman" w:cs="Times New Roman"/>
        </w:rPr>
        <w:t>unbiased screening approach</w:t>
      </w:r>
      <w:r w:rsidR="005558D7">
        <w:rPr>
          <w:rFonts w:ascii="Times New Roman" w:hAnsi="Times New Roman" w:cs="Times New Roman"/>
        </w:rPr>
        <w:t xml:space="preserve"> </w:t>
      </w:r>
      <w:r w:rsidR="005558D7">
        <w:rPr>
          <w:rFonts w:ascii="Times New Roman" w:eastAsia="AdvOT1ef757c0" w:hAnsi="Times New Roman"/>
          <w:color w:val="231F20"/>
        </w:rPr>
        <w:t>[10-12].</w:t>
      </w:r>
      <w:r w:rsidR="002944A3" w:rsidRPr="008A20FA">
        <w:rPr>
          <w:rFonts w:ascii="Times New Roman" w:eastAsia="ArialMT" w:hAnsi="Times New Roman" w:cs="Times New Roman"/>
        </w:rPr>
        <w:t xml:space="preserve"> </w:t>
      </w:r>
      <w:r w:rsidRPr="008A20FA">
        <w:rPr>
          <w:rFonts w:ascii="Times New Roman" w:eastAsia="ArialMT" w:hAnsi="Times New Roman" w:cs="Times New Roman"/>
        </w:rPr>
        <w:t>The multiarray average preprocessing and normalization of raw CEL files from AffymetrixGeneChip® arra</w:t>
      </w:r>
      <w:r w:rsidR="00743886" w:rsidRPr="008A20FA">
        <w:rPr>
          <w:rFonts w:ascii="Times New Roman" w:eastAsia="ArialMT" w:hAnsi="Times New Roman" w:cs="Times New Roman"/>
        </w:rPr>
        <w:t xml:space="preserve">ys were performed using R </w:t>
      </w:r>
      <w:r w:rsidRPr="008A20FA">
        <w:rPr>
          <w:rFonts w:ascii="Times New Roman" w:eastAsia="ArialMT" w:hAnsi="Times New Roman" w:cs="Times New Roman"/>
        </w:rPr>
        <w:t>Bioconductor. Median centering of genes and clustering of samples and/or genes from the microarray data sets were performed using Gene Cluster 3.0. The clustering results were viewed using GenePattern based Hierarchical Clustering Viewer.</w:t>
      </w:r>
    </w:p>
    <w:p w:rsidR="00BB0D1C" w:rsidRPr="008A20FA" w:rsidRDefault="00BB0D1C" w:rsidP="00BB0D1C">
      <w:pPr>
        <w:spacing w:after="0" w:line="360" w:lineRule="auto"/>
        <w:ind w:right="567"/>
        <w:jc w:val="both"/>
        <w:rPr>
          <w:rFonts w:ascii="Times New Roman" w:hAnsi="Times New Roman" w:cs="Times New Roman"/>
          <w:b/>
          <w:bCs/>
        </w:rPr>
      </w:pPr>
      <w:r w:rsidRPr="008A20FA">
        <w:rPr>
          <w:rFonts w:ascii="Times New Roman" w:hAnsi="Times New Roman" w:cs="Times New Roman"/>
          <w:b/>
        </w:rPr>
        <w:t>Chemicals</w:t>
      </w:r>
      <w:r w:rsidR="001B0673">
        <w:rPr>
          <w:rFonts w:ascii="Times New Roman" w:hAnsi="Times New Roman" w:cs="Times New Roman"/>
          <w:b/>
          <w:bCs/>
        </w:rPr>
        <w:t xml:space="preserve">, reagents, </w:t>
      </w:r>
      <w:r w:rsidR="001B0673" w:rsidRPr="00A95E90">
        <w:rPr>
          <w:rStyle w:val="Enfasicorsivo"/>
          <w:rFonts w:ascii="Times New Roman" w:hAnsi="Times New Roman" w:cs="Times New Roman"/>
          <w:bCs w:val="0"/>
          <w:color w:val="000000" w:themeColor="text1"/>
          <w:bdr w:val="none" w:sz="0" w:space="0" w:color="auto" w:frame="1"/>
          <w:shd w:val="clear" w:color="auto" w:fill="FFFFFF"/>
        </w:rPr>
        <w:t>immunofluorescent</w:t>
      </w:r>
      <w:r w:rsidR="001B0673" w:rsidRPr="008A20FA">
        <w:rPr>
          <w:rFonts w:ascii="Times New Roman" w:hAnsi="Times New Roman" w:cs="Times New Roman"/>
          <w:b/>
          <w:bCs/>
        </w:rPr>
        <w:t xml:space="preserve"> </w:t>
      </w:r>
      <w:r w:rsidR="001B0673">
        <w:rPr>
          <w:rFonts w:ascii="Times New Roman" w:hAnsi="Times New Roman" w:cs="Times New Roman"/>
          <w:b/>
          <w:bCs/>
        </w:rPr>
        <w:t xml:space="preserve">and </w:t>
      </w:r>
      <w:r w:rsidRPr="008A20FA">
        <w:rPr>
          <w:rFonts w:ascii="Times New Roman" w:hAnsi="Times New Roman" w:cs="Times New Roman"/>
          <w:b/>
          <w:bCs/>
        </w:rPr>
        <w:t>western-blot analysis</w:t>
      </w:r>
    </w:p>
    <w:p w:rsidR="00A95E90" w:rsidRPr="00B646F1" w:rsidRDefault="00BB0D1C" w:rsidP="00BB0D1C">
      <w:pPr>
        <w:spacing w:after="0" w:line="360" w:lineRule="auto"/>
        <w:ind w:right="567"/>
        <w:jc w:val="both"/>
        <w:rPr>
          <w:rFonts w:ascii="Times New Roman" w:eastAsia="Times New Roman" w:hAnsi="Times New Roman" w:cs="Times New Roman"/>
          <w:color w:val="000000" w:themeColor="text1"/>
          <w:spacing w:val="12"/>
          <w:kern w:val="36"/>
          <w:sz w:val="22"/>
          <w:szCs w:val="22"/>
          <w:u w:val="single"/>
          <w:lang w:eastAsia="it-IT"/>
        </w:rPr>
      </w:pPr>
      <w:r w:rsidRPr="008A20FA">
        <w:rPr>
          <w:rFonts w:ascii="Times New Roman" w:hAnsi="Times New Roman" w:cs="Times New Roman"/>
          <w:color w:val="000000" w:themeColor="text1"/>
        </w:rPr>
        <w:t xml:space="preserve">To determine whether </w:t>
      </w:r>
      <w:r w:rsidRPr="008A20FA">
        <w:rPr>
          <w:rFonts w:ascii="Times New Roman" w:hAnsi="Times New Roman" w:cs="Times New Roman"/>
          <w:i/>
          <w:color w:val="000000" w:themeColor="text1"/>
        </w:rPr>
        <w:t>CD15/FUT4</w:t>
      </w:r>
      <w:r w:rsidR="00A22F78" w:rsidRPr="008A20FA">
        <w:rPr>
          <w:rFonts w:ascii="Times New Roman" w:hAnsi="Times New Roman" w:cs="Times New Roman"/>
          <w:color w:val="000000" w:themeColor="text1"/>
        </w:rPr>
        <w:t xml:space="preserve"> expression</w:t>
      </w:r>
      <w:r w:rsidRPr="008A20FA">
        <w:rPr>
          <w:rFonts w:ascii="Times New Roman" w:hAnsi="Times New Roman" w:cs="Times New Roman"/>
          <w:color w:val="000000" w:themeColor="text1"/>
        </w:rPr>
        <w:t xml:space="preserve"> is regulated by </w:t>
      </w:r>
      <w:r w:rsidR="00E641C5" w:rsidRPr="008A20FA">
        <w:rPr>
          <w:rFonts w:ascii="Times New Roman" w:hAnsi="Times New Roman" w:cs="Times New Roman"/>
          <w:color w:val="000000" w:themeColor="text1"/>
        </w:rPr>
        <w:t>MAPK-</w:t>
      </w:r>
      <w:r w:rsidRPr="008A20FA">
        <w:rPr>
          <w:rFonts w:ascii="Times New Roman" w:hAnsi="Times New Roman" w:cs="Times New Roman"/>
          <w:color w:val="000000" w:themeColor="text1"/>
        </w:rPr>
        <w:t>ERK, we evaluated</w:t>
      </w:r>
      <w:r w:rsidR="00E641C5" w:rsidRPr="008A20FA">
        <w:rPr>
          <w:rFonts w:ascii="Times New Roman" w:hAnsi="Times New Roman" w:cs="Times New Roman"/>
          <w:color w:val="000000" w:themeColor="text1"/>
        </w:rPr>
        <w:t xml:space="preserve"> the response to </w:t>
      </w:r>
      <w:r w:rsidRPr="008A20FA">
        <w:rPr>
          <w:rFonts w:ascii="Times New Roman" w:hAnsi="Times New Roman" w:cs="Times New Roman"/>
          <w:color w:val="000000" w:themeColor="text1"/>
        </w:rPr>
        <w:t xml:space="preserve">pro-mitogenic and pro-inflammatory inductors EGF, </w:t>
      </w:r>
      <w:r w:rsidR="00E641C5" w:rsidRPr="008A20FA">
        <w:rPr>
          <w:rFonts w:ascii="Times New Roman" w:hAnsi="Times New Roman" w:cs="Times New Roman"/>
          <w:color w:val="000000" w:themeColor="text1"/>
        </w:rPr>
        <w:t xml:space="preserve">IL1b, </w:t>
      </w:r>
      <w:r w:rsidRPr="008A20FA">
        <w:rPr>
          <w:rFonts w:ascii="Times New Roman" w:hAnsi="Times New Roman" w:cs="Times New Roman"/>
          <w:color w:val="000000" w:themeColor="text1"/>
        </w:rPr>
        <w:t>IL10, IL6 following kinase activation and transcript induction of target genes thro</w:t>
      </w:r>
      <w:r w:rsidR="00D873E2" w:rsidRPr="008A20FA">
        <w:rPr>
          <w:rFonts w:ascii="Times New Roman" w:hAnsi="Times New Roman" w:cs="Times New Roman"/>
          <w:color w:val="000000" w:themeColor="text1"/>
        </w:rPr>
        <w:t>ugh kinase assays and qRT-</w:t>
      </w:r>
      <w:r w:rsidR="00D873E2" w:rsidRPr="008A20FA">
        <w:rPr>
          <w:rFonts w:ascii="Times New Roman" w:hAnsi="Times New Roman" w:cs="Times New Roman"/>
          <w:color w:val="000000" w:themeColor="text1"/>
        </w:rPr>
        <w:lastRenderedPageBreak/>
        <w:t xml:space="preserve">PCR. </w:t>
      </w:r>
      <w:r w:rsidRPr="008A20FA">
        <w:rPr>
          <w:rFonts w:ascii="Times New Roman" w:hAnsi="Times New Roman" w:cs="Times New Roman"/>
          <w:color w:val="000000" w:themeColor="text1"/>
        </w:rPr>
        <w:t>Representat</w:t>
      </w:r>
      <w:r w:rsidR="005606C0" w:rsidRPr="008A20FA">
        <w:rPr>
          <w:rFonts w:ascii="Times New Roman" w:hAnsi="Times New Roman" w:cs="Times New Roman"/>
          <w:color w:val="000000" w:themeColor="text1"/>
        </w:rPr>
        <w:t xml:space="preserve">ive CRC cells </w:t>
      </w:r>
      <w:r w:rsidRPr="008A20FA">
        <w:rPr>
          <w:rFonts w:ascii="Times New Roman" w:hAnsi="Times New Roman" w:cs="Times New Roman"/>
          <w:color w:val="000000" w:themeColor="text1"/>
        </w:rPr>
        <w:t xml:space="preserve">were then grown to 70% of confluence, serum starved for 24h, and stimulated for 8h with </w:t>
      </w:r>
      <w:r w:rsidR="00E641C5" w:rsidRPr="008A20FA">
        <w:rPr>
          <w:rFonts w:ascii="Times New Roman" w:hAnsi="Times New Roman" w:cs="Times New Roman"/>
          <w:color w:val="000000" w:themeColor="text1"/>
        </w:rPr>
        <w:t>10 nM EGF (R&amp;D System), 20U/ml IL-1beta (Peprotech)</w:t>
      </w:r>
      <w:r w:rsidRPr="008A20FA">
        <w:rPr>
          <w:rFonts w:ascii="Times New Roman" w:hAnsi="Times New Roman" w:cs="Times New Roman"/>
          <w:color w:val="000000" w:themeColor="text1"/>
        </w:rPr>
        <w:t xml:space="preserve">. </w:t>
      </w:r>
      <w:r w:rsidR="00FB4D89" w:rsidRPr="008A20FA">
        <w:rPr>
          <w:rFonts w:ascii="Times New Roman" w:hAnsi="Times New Roman" w:cs="Times New Roman"/>
          <w:color w:val="000000" w:themeColor="text1"/>
        </w:rPr>
        <w:t>To assess the role of others factor</w:t>
      </w:r>
      <w:r w:rsidR="005F684D" w:rsidRPr="008A20FA">
        <w:rPr>
          <w:rFonts w:ascii="Times New Roman" w:hAnsi="Times New Roman" w:cs="Times New Roman"/>
          <w:color w:val="000000" w:themeColor="text1"/>
        </w:rPr>
        <w:t xml:space="preserve">s on </w:t>
      </w:r>
      <w:r w:rsidR="005F684D" w:rsidRPr="008A20FA">
        <w:rPr>
          <w:rFonts w:ascii="Times New Roman" w:hAnsi="Times New Roman" w:cs="Times New Roman"/>
          <w:i/>
          <w:color w:val="000000" w:themeColor="text1"/>
        </w:rPr>
        <w:t>CD15/FUT4</w:t>
      </w:r>
      <w:r w:rsidR="005F684D" w:rsidRPr="008A20FA">
        <w:rPr>
          <w:rFonts w:ascii="Times New Roman" w:hAnsi="Times New Roman" w:cs="Times New Roman"/>
          <w:color w:val="000000" w:themeColor="text1"/>
        </w:rPr>
        <w:t xml:space="preserve"> transcript, r</w:t>
      </w:r>
      <w:r w:rsidR="00D873E2" w:rsidRPr="008A20FA">
        <w:rPr>
          <w:rFonts w:ascii="Times New Roman" w:hAnsi="Times New Roman" w:cs="Times New Roman"/>
          <w:color w:val="000000" w:themeColor="text1"/>
        </w:rPr>
        <w:t xml:space="preserve">ecombinant </w:t>
      </w:r>
      <w:r w:rsidRPr="008A20FA">
        <w:rPr>
          <w:rFonts w:ascii="Times New Roman" w:hAnsi="Times New Roman" w:cs="Times New Roman"/>
          <w:bCs/>
          <w:color w:val="000000" w:themeColor="text1"/>
        </w:rPr>
        <w:t>IL-10: 200U/ml</w:t>
      </w:r>
      <w:r w:rsidRPr="008A20FA">
        <w:rPr>
          <w:rFonts w:ascii="Times New Roman" w:hAnsi="Times New Roman" w:cs="Times New Roman"/>
          <w:color w:val="000000" w:themeColor="text1"/>
        </w:rPr>
        <w:t xml:space="preserve"> (R&amp;D System) </w:t>
      </w:r>
      <w:r w:rsidRPr="008A20FA">
        <w:rPr>
          <w:rFonts w:ascii="Times New Roman" w:hAnsi="Times New Roman" w:cs="Times New Roman"/>
          <w:bCs/>
          <w:color w:val="000000" w:themeColor="text1"/>
        </w:rPr>
        <w:t>IL-6: 50ng/ml</w:t>
      </w:r>
      <w:r w:rsidRPr="008A20FA">
        <w:rPr>
          <w:rFonts w:ascii="Times New Roman" w:hAnsi="Times New Roman" w:cs="Times New Roman"/>
          <w:color w:val="000000" w:themeColor="text1"/>
        </w:rPr>
        <w:t xml:space="preserve"> were added for 30 minutes and subsequently the cells were harvested for RNA (qRT-PCR see above) or protein extraction. Western blot was performed according to the published procedures by using antibodies against: ERK 1/2 (MK1) and anti-p-ERK (E-4), dilution 1:100,   Santa Cruz Biotechnology) (STAT1 total and Y701-STAT1, p-STAT1, dilution 1:500, Cell Signaling Technology), (STAT3 total, Y70</w:t>
      </w:r>
      <w:r w:rsidR="0026709D">
        <w:rPr>
          <w:rFonts w:ascii="Times New Roman" w:hAnsi="Times New Roman" w:cs="Times New Roman"/>
          <w:color w:val="000000" w:themeColor="text1"/>
        </w:rPr>
        <w:t>5</w:t>
      </w:r>
      <w:r w:rsidRPr="008A20FA">
        <w:rPr>
          <w:rFonts w:ascii="Times New Roman" w:hAnsi="Times New Roman" w:cs="Times New Roman"/>
          <w:color w:val="000000" w:themeColor="text1"/>
        </w:rPr>
        <w:t>-STAT3, p-STAT3, dilution 1:500, Cell Signaling Technology), (β-actin,  dilution 1:10000, Sigma Aldrich was used as loading control)</w:t>
      </w:r>
      <w:r w:rsidR="000A04ED">
        <w:rPr>
          <w:rFonts w:ascii="Times New Roman" w:hAnsi="Times New Roman" w:cs="Times New Roman"/>
          <w:color w:val="000000" w:themeColor="text1"/>
        </w:rPr>
        <w:t xml:space="preserve"> </w:t>
      </w:r>
      <w:r w:rsidR="005558D7">
        <w:rPr>
          <w:rFonts w:ascii="Times New Roman" w:eastAsia="AdvOT1ef757c0" w:hAnsi="Times New Roman"/>
          <w:color w:val="231F20"/>
        </w:rPr>
        <w:t>[2, 12]</w:t>
      </w:r>
      <w:r w:rsidR="005558D7" w:rsidRPr="00597784">
        <w:rPr>
          <w:rFonts w:ascii="Times New Roman" w:eastAsia="AdvOT1ef757c0" w:hAnsi="Times New Roman"/>
          <w:color w:val="231F20"/>
        </w:rPr>
        <w:t xml:space="preserve">. </w:t>
      </w:r>
      <w:r w:rsidR="00FB4D89" w:rsidRPr="008A20FA">
        <w:rPr>
          <w:rFonts w:ascii="Times New Roman" w:hAnsi="Times New Roman" w:cs="Times New Roman"/>
          <w:color w:val="000000" w:themeColor="text1"/>
        </w:rPr>
        <w:t xml:space="preserve">A ratio of </w:t>
      </w:r>
      <w:r w:rsidR="00FB4D89" w:rsidRPr="008A20FA">
        <w:rPr>
          <w:rStyle w:val="st1"/>
          <w:rFonts w:ascii="Times New Roman" w:hAnsi="Times New Roman" w:cs="Times New Roman"/>
          <w:color w:val="000000" w:themeColor="text1"/>
        </w:rPr>
        <w:t xml:space="preserve">normalized </w:t>
      </w:r>
      <w:r w:rsidR="00FB4D89" w:rsidRPr="008A20FA">
        <w:rPr>
          <w:rFonts w:ascii="Times New Roman" w:hAnsi="Times New Roman" w:cs="Times New Roman"/>
          <w:color w:val="000000" w:themeColor="text1"/>
        </w:rPr>
        <w:t xml:space="preserve">ERK1/2 (pERK/total ERK1/2), </w:t>
      </w:r>
      <w:r w:rsidR="00FB4D89" w:rsidRPr="008A20FA">
        <w:rPr>
          <w:rStyle w:val="Enfasicorsivo"/>
          <w:rFonts w:ascii="Times New Roman" w:hAnsi="Times New Roman" w:cs="Times New Roman"/>
          <w:b w:val="0"/>
          <w:color w:val="000000" w:themeColor="text1"/>
        </w:rPr>
        <w:t>Stat3</w:t>
      </w:r>
      <w:r w:rsidR="00FB4D89" w:rsidRPr="008A20FA">
        <w:rPr>
          <w:rStyle w:val="st1"/>
          <w:rFonts w:ascii="Times New Roman" w:hAnsi="Times New Roman" w:cs="Times New Roman"/>
          <w:color w:val="000000" w:themeColor="text1"/>
        </w:rPr>
        <w:t xml:space="preserve"> (pStat3/</w:t>
      </w:r>
      <w:r w:rsidR="00FB4D89" w:rsidRPr="008A20FA">
        <w:rPr>
          <w:rStyle w:val="Enfasicorsivo"/>
          <w:rFonts w:ascii="Times New Roman" w:hAnsi="Times New Roman" w:cs="Times New Roman"/>
          <w:b w:val="0"/>
          <w:color w:val="000000" w:themeColor="text1"/>
        </w:rPr>
        <w:t>total Stat3</w:t>
      </w:r>
      <w:r w:rsidR="00FB4D89" w:rsidRPr="008A20FA">
        <w:rPr>
          <w:rStyle w:val="st1"/>
          <w:rFonts w:ascii="Times New Roman" w:hAnsi="Times New Roman" w:cs="Times New Roman"/>
          <w:b/>
          <w:color w:val="000000" w:themeColor="text1"/>
        </w:rPr>
        <w:t xml:space="preserve">)  </w:t>
      </w:r>
      <w:r w:rsidR="00FB4D89" w:rsidRPr="008A20FA">
        <w:rPr>
          <w:rStyle w:val="st1"/>
          <w:rFonts w:ascii="Times New Roman" w:hAnsi="Times New Roman" w:cs="Times New Roman"/>
          <w:color w:val="000000" w:themeColor="text1"/>
        </w:rPr>
        <w:t xml:space="preserve">and stat1 (pstat1/total Stat1) was calculated for monitoring expression and </w:t>
      </w:r>
      <w:r w:rsidR="00FB4D89" w:rsidRPr="008A20FA">
        <w:rPr>
          <w:rStyle w:val="Enfasicorsivo"/>
          <w:rFonts w:ascii="Times New Roman" w:hAnsi="Times New Roman" w:cs="Times New Roman"/>
          <w:b w:val="0"/>
          <w:color w:val="000000" w:themeColor="text1"/>
        </w:rPr>
        <w:t>phosphorylation</w:t>
      </w:r>
      <w:r w:rsidR="00FB4D89" w:rsidRPr="008A20FA">
        <w:rPr>
          <w:rStyle w:val="st1"/>
          <w:rFonts w:ascii="Times New Roman" w:hAnsi="Times New Roman" w:cs="Times New Roman"/>
          <w:color w:val="000000" w:themeColor="text1"/>
        </w:rPr>
        <w:t xml:space="preserve">levels.  </w:t>
      </w:r>
      <w:r w:rsidR="00AD34D1" w:rsidRPr="008A20FA">
        <w:rPr>
          <w:rFonts w:ascii="Times New Roman" w:hAnsi="Times New Roman" w:cs="Times New Roman"/>
        </w:rPr>
        <w:t xml:space="preserve">In all experiments </w:t>
      </w:r>
      <w:r w:rsidRPr="008A20FA">
        <w:rPr>
          <w:rFonts w:ascii="Times New Roman" w:hAnsi="Times New Roman" w:cs="Times New Roman"/>
        </w:rPr>
        <w:t>(0.1% DMSO indicated as vehicle</w:t>
      </w:r>
      <w:r w:rsidR="004A6127" w:rsidRPr="008A20FA">
        <w:rPr>
          <w:rFonts w:ascii="Times New Roman" w:hAnsi="Times New Roman" w:cs="Times New Roman"/>
        </w:rPr>
        <w:t>) was used as negative control.</w:t>
      </w:r>
      <w:r w:rsidRPr="008A20FA">
        <w:rPr>
          <w:rFonts w:ascii="Times New Roman" w:hAnsi="Times New Roman" w:cs="Times New Roman"/>
        </w:rPr>
        <w:t xml:space="preserve"> Human polymorphonuclear cells (PMN) and peripheral blood mononuclear cells (PBMC) purified from buffy coats of healthy donors were used as positive control for STAT3 and STAT1 kinase assays</w:t>
      </w:r>
      <w:r w:rsidR="004A73E2">
        <w:rPr>
          <w:rFonts w:ascii="Times New Roman" w:hAnsi="Times New Roman" w:cs="Times New Roman"/>
        </w:rPr>
        <w:t xml:space="preserve"> </w:t>
      </w:r>
      <w:r w:rsidR="005558D7">
        <w:rPr>
          <w:rFonts w:ascii="Times New Roman" w:eastAsia="AdvOT1ef757c0" w:hAnsi="Times New Roman"/>
          <w:color w:val="231F20"/>
        </w:rPr>
        <w:t>[12]</w:t>
      </w:r>
      <w:r w:rsidR="005558D7" w:rsidRPr="00597784">
        <w:rPr>
          <w:rFonts w:ascii="Times New Roman" w:eastAsia="AdvOT1ef757c0" w:hAnsi="Times New Roman"/>
          <w:color w:val="231F20"/>
        </w:rPr>
        <w:t xml:space="preserve">. </w:t>
      </w:r>
      <w:r w:rsidR="001B0673" w:rsidRPr="00B646F1">
        <w:rPr>
          <w:rFonts w:ascii="Times New Roman" w:eastAsia="AdvOT1ef757c0" w:hAnsi="Times New Roman" w:cs="Times New Roman"/>
          <w:color w:val="000000" w:themeColor="text1"/>
          <w:sz w:val="22"/>
          <w:szCs w:val="22"/>
          <w:u w:val="single"/>
        </w:rPr>
        <w:t xml:space="preserve">For </w:t>
      </w:r>
      <w:r w:rsidR="001B0673" w:rsidRPr="00B646F1">
        <w:rPr>
          <w:rStyle w:val="Enfasicorsivo"/>
          <w:rFonts w:ascii="Times New Roman" w:hAnsi="Times New Roman" w:cs="Times New Roman"/>
          <w:b w:val="0"/>
          <w:bCs w:val="0"/>
          <w:color w:val="000000" w:themeColor="text1"/>
          <w:sz w:val="22"/>
          <w:szCs w:val="22"/>
          <w:u w:val="single"/>
          <w:bdr w:val="none" w:sz="0" w:space="0" w:color="auto" w:frame="1"/>
          <w:shd w:val="clear" w:color="auto" w:fill="FFFFFF"/>
        </w:rPr>
        <w:t>c</w:t>
      </w:r>
      <w:r w:rsidR="00A95E90" w:rsidRPr="00B646F1">
        <w:rPr>
          <w:rStyle w:val="Enfasicorsivo"/>
          <w:rFonts w:ascii="Times New Roman" w:hAnsi="Times New Roman" w:cs="Times New Roman"/>
          <w:b w:val="0"/>
          <w:bCs w:val="0"/>
          <w:color w:val="000000" w:themeColor="text1"/>
          <w:sz w:val="22"/>
          <w:szCs w:val="22"/>
          <w:u w:val="single"/>
          <w:bdr w:val="none" w:sz="0" w:space="0" w:color="auto" w:frame="1"/>
          <w:shd w:val="clear" w:color="auto" w:fill="FFFFFF"/>
        </w:rPr>
        <w:t>ell surface immunofluorescent analysis</w:t>
      </w:r>
      <w:r w:rsidR="001B0673" w:rsidRPr="00B646F1">
        <w:rPr>
          <w:rStyle w:val="Enfasicorsivo"/>
          <w:rFonts w:ascii="Times New Roman" w:hAnsi="Times New Roman" w:cs="Times New Roman"/>
          <w:b w:val="0"/>
          <w:bCs w:val="0"/>
          <w:color w:val="000000" w:themeColor="text1"/>
          <w:sz w:val="22"/>
          <w:szCs w:val="22"/>
          <w:u w:val="single"/>
          <w:bdr w:val="none" w:sz="0" w:space="0" w:color="auto" w:frame="1"/>
          <w:shd w:val="clear" w:color="auto" w:fill="FFFFFF"/>
        </w:rPr>
        <w:t>,</w:t>
      </w:r>
      <w:r w:rsidR="001B0673" w:rsidRPr="00B646F1">
        <w:rPr>
          <w:rStyle w:val="Enfasicorsivo"/>
          <w:rFonts w:ascii="Times New Roman" w:hAnsi="Times New Roman" w:cs="Times New Roman"/>
          <w:bCs w:val="0"/>
          <w:color w:val="000000" w:themeColor="text1"/>
          <w:sz w:val="22"/>
          <w:szCs w:val="22"/>
          <w:u w:val="single"/>
          <w:bdr w:val="none" w:sz="0" w:space="0" w:color="auto" w:frame="1"/>
          <w:shd w:val="clear" w:color="auto" w:fill="FFFFFF"/>
        </w:rPr>
        <w:t xml:space="preserve"> </w:t>
      </w:r>
      <w:r w:rsidR="00A95E90" w:rsidRPr="00B646F1">
        <w:rPr>
          <w:rFonts w:ascii="Times New Roman" w:hAnsi="Times New Roman" w:cs="Times New Roman"/>
          <w:color w:val="000000" w:themeColor="text1"/>
          <w:sz w:val="22"/>
          <w:szCs w:val="22"/>
          <w:u w:val="single"/>
          <w:shd w:val="clear" w:color="auto" w:fill="FFFFFF"/>
        </w:rPr>
        <w:t xml:space="preserve">RKO and HT29 cells were cultured on coverslips  until 70% confluent. Next, </w:t>
      </w:r>
      <w:r w:rsidR="00A95E90" w:rsidRPr="00B646F1">
        <w:rPr>
          <w:rFonts w:ascii="Times New Roman" w:hAnsi="Times New Roman" w:cs="Times New Roman"/>
          <w:color w:val="000000" w:themeColor="text1"/>
          <w:sz w:val="22"/>
          <w:szCs w:val="22"/>
          <w:u w:val="single"/>
          <w:lang w:val="en-GB"/>
        </w:rPr>
        <w:t xml:space="preserve">they </w:t>
      </w:r>
      <w:r w:rsidR="00A95E90" w:rsidRPr="00B646F1">
        <w:rPr>
          <w:rFonts w:ascii="Times New Roman" w:eastAsia="Calibri" w:hAnsi="Times New Roman" w:cs="Times New Roman"/>
          <w:color w:val="000000" w:themeColor="text1"/>
          <w:sz w:val="22"/>
          <w:szCs w:val="22"/>
          <w:u w:val="single"/>
          <w:lang w:val="en-GB"/>
        </w:rPr>
        <w:t xml:space="preserve">were fixed with </w:t>
      </w:r>
      <w:r w:rsidR="00B6794C" w:rsidRPr="00B646F1">
        <w:rPr>
          <w:rFonts w:ascii="Times New Roman" w:hAnsi="Times New Roman" w:cs="Times New Roman"/>
          <w:color w:val="000000" w:themeColor="text1"/>
          <w:sz w:val="22"/>
          <w:szCs w:val="22"/>
          <w:u w:val="single"/>
          <w:lang w:val="en-GB"/>
        </w:rPr>
        <w:t xml:space="preserve">100% </w:t>
      </w:r>
      <w:r w:rsidR="00A95E90" w:rsidRPr="00B646F1">
        <w:rPr>
          <w:rFonts w:ascii="Times New Roman" w:hAnsi="Times New Roman" w:cs="Times New Roman"/>
          <w:color w:val="000000" w:themeColor="text1"/>
          <w:sz w:val="22"/>
          <w:szCs w:val="22"/>
          <w:u w:val="single"/>
          <w:lang w:val="en-GB"/>
        </w:rPr>
        <w:t xml:space="preserve">methanol for 15 min, washed with PBS and incubated </w:t>
      </w:r>
      <w:r w:rsidR="00A95E90" w:rsidRPr="00B646F1">
        <w:rPr>
          <w:rFonts w:ascii="Times New Roman" w:eastAsia="Calibri" w:hAnsi="Times New Roman" w:cs="Times New Roman"/>
          <w:color w:val="000000" w:themeColor="text1"/>
          <w:sz w:val="22"/>
          <w:szCs w:val="22"/>
          <w:u w:val="single"/>
          <w:lang w:val="en-GB"/>
        </w:rPr>
        <w:t xml:space="preserve"> </w:t>
      </w:r>
      <w:r w:rsidR="00A95E90" w:rsidRPr="00B646F1">
        <w:rPr>
          <w:rFonts w:ascii="Times New Roman" w:hAnsi="Times New Roman" w:cs="Times New Roman"/>
          <w:color w:val="000000" w:themeColor="text1"/>
          <w:sz w:val="22"/>
          <w:szCs w:val="22"/>
          <w:u w:val="single"/>
          <w:lang w:val="en-GB"/>
        </w:rPr>
        <w:t xml:space="preserve">with </w:t>
      </w:r>
      <w:r w:rsidR="00B646F1" w:rsidRPr="00B646F1">
        <w:rPr>
          <w:rFonts w:ascii="Times New Roman" w:hAnsi="Times New Roman" w:cs="Times New Roman"/>
          <w:color w:val="000000" w:themeColor="text1"/>
          <w:sz w:val="22"/>
          <w:szCs w:val="22"/>
          <w:u w:val="single"/>
          <w:shd w:val="clear" w:color="auto" w:fill="FFFFFF"/>
        </w:rPr>
        <w:t>anti-</w:t>
      </w:r>
      <w:r w:rsidR="00B646F1" w:rsidRPr="00B646F1">
        <w:rPr>
          <w:rFonts w:ascii="Times New Roman" w:hAnsi="Times New Roman" w:cs="Times New Roman"/>
          <w:bCs/>
          <w:color w:val="000000" w:themeColor="text1"/>
          <w:sz w:val="22"/>
          <w:szCs w:val="22"/>
          <w:u w:val="single"/>
        </w:rPr>
        <w:t>CD15</w:t>
      </w:r>
      <w:r w:rsidR="00B646F1" w:rsidRPr="00B646F1">
        <w:rPr>
          <w:rFonts w:ascii="Times New Roman" w:hAnsi="Times New Roman" w:cs="Times New Roman"/>
          <w:color w:val="000000" w:themeColor="text1"/>
          <w:sz w:val="22"/>
          <w:szCs w:val="22"/>
          <w:u w:val="single"/>
        </w:rPr>
        <w:t>-</w:t>
      </w:r>
      <w:r w:rsidR="00B646F1" w:rsidRPr="00B646F1">
        <w:rPr>
          <w:rFonts w:ascii="Times New Roman" w:eastAsia="Times New Roman" w:hAnsi="Times New Roman" w:cs="Times New Roman"/>
          <w:color w:val="000000" w:themeColor="text1"/>
          <w:spacing w:val="12"/>
          <w:kern w:val="36"/>
          <w:sz w:val="22"/>
          <w:szCs w:val="22"/>
          <w:u w:val="single"/>
          <w:lang w:eastAsia="it-IT"/>
        </w:rPr>
        <w:t>FITC</w:t>
      </w:r>
      <w:r w:rsidR="00B646F1" w:rsidRPr="00B646F1">
        <w:rPr>
          <w:rFonts w:ascii="Times New Roman" w:hAnsi="Times New Roman" w:cs="Times New Roman"/>
          <w:color w:val="000000" w:themeColor="text1"/>
          <w:sz w:val="22"/>
          <w:szCs w:val="22"/>
          <w:u w:val="single"/>
          <w:shd w:val="clear" w:color="auto" w:fill="FFFFFF"/>
        </w:rPr>
        <w:t xml:space="preserve"> (</w:t>
      </w:r>
      <w:r w:rsidR="00B646F1" w:rsidRPr="00B646F1">
        <w:rPr>
          <w:rFonts w:ascii="Times New Roman" w:hAnsi="Times New Roman" w:cs="Times New Roman"/>
          <w:bCs/>
          <w:color w:val="000000" w:themeColor="text1"/>
          <w:sz w:val="22"/>
          <w:szCs w:val="22"/>
          <w:u w:val="single"/>
        </w:rPr>
        <w:t>clone MMA</w:t>
      </w:r>
      <w:r w:rsidR="00B646F1" w:rsidRPr="00B646F1">
        <w:rPr>
          <w:rFonts w:ascii="Times New Roman" w:hAnsi="Times New Roman" w:cs="Times New Roman"/>
          <w:color w:val="000000" w:themeColor="text1"/>
          <w:sz w:val="22"/>
          <w:szCs w:val="22"/>
          <w:u w:val="single"/>
          <w:shd w:val="clear" w:color="auto" w:fill="FFFFFF"/>
        </w:rPr>
        <w:t>,</w:t>
      </w:r>
      <w:r w:rsidR="00B646F1" w:rsidRPr="00B646F1">
        <w:rPr>
          <w:rFonts w:ascii="Times New Roman" w:hAnsi="Times New Roman" w:cs="Times New Roman"/>
          <w:color w:val="000000" w:themeColor="text1"/>
          <w:sz w:val="22"/>
          <w:szCs w:val="22"/>
          <w:u w:val="single"/>
        </w:rPr>
        <w:t> </w:t>
      </w:r>
      <w:r w:rsidR="00B646F1" w:rsidRPr="00B646F1">
        <w:rPr>
          <w:rFonts w:ascii="Times New Roman" w:hAnsi="Times New Roman" w:cs="Times New Roman"/>
          <w:bCs/>
          <w:color w:val="000000" w:themeColor="text1"/>
          <w:sz w:val="22"/>
          <w:szCs w:val="22"/>
          <w:u w:val="single"/>
        </w:rPr>
        <w:t xml:space="preserve">Becton Dickinson, </w:t>
      </w:r>
      <w:r w:rsidR="00B646F1" w:rsidRPr="00B646F1">
        <w:rPr>
          <w:rFonts w:ascii="Times New Roman" w:hAnsi="Times New Roman" w:cs="Times New Roman"/>
          <w:color w:val="000000" w:themeColor="text1"/>
          <w:sz w:val="22"/>
          <w:szCs w:val="22"/>
          <w:u w:val="single"/>
          <w:shd w:val="clear" w:color="auto" w:fill="FFFFFF"/>
        </w:rPr>
        <w:t>San Jose, CA),</w:t>
      </w:r>
      <w:r w:rsidR="001B0673" w:rsidRPr="00B646F1">
        <w:rPr>
          <w:rFonts w:ascii="Times New Roman" w:hAnsi="Times New Roman" w:cs="Times New Roman"/>
          <w:color w:val="000000" w:themeColor="text1"/>
          <w:sz w:val="22"/>
          <w:szCs w:val="22"/>
          <w:u w:val="single"/>
          <w:shd w:val="clear" w:color="auto" w:fill="FFFFFF"/>
        </w:rPr>
        <w:t xml:space="preserve"> </w:t>
      </w:r>
      <w:r w:rsidR="001B0673" w:rsidRPr="00B646F1">
        <w:rPr>
          <w:rFonts w:ascii="Times New Roman" w:hAnsi="Times New Roman" w:cs="Times New Roman"/>
          <w:color w:val="000000" w:themeColor="text1"/>
          <w:sz w:val="22"/>
          <w:szCs w:val="22"/>
          <w:u w:val="single"/>
          <w:lang w:val="en-GB"/>
        </w:rPr>
        <w:t>for 60</w:t>
      </w:r>
      <w:r w:rsidR="00A95E90" w:rsidRPr="00B646F1">
        <w:rPr>
          <w:rFonts w:ascii="Times New Roman" w:hAnsi="Times New Roman" w:cs="Times New Roman"/>
          <w:color w:val="000000" w:themeColor="text1"/>
          <w:sz w:val="22"/>
          <w:szCs w:val="22"/>
          <w:u w:val="single"/>
          <w:lang w:val="en-GB"/>
        </w:rPr>
        <w:t xml:space="preserve"> min</w:t>
      </w:r>
      <w:r w:rsidR="001B0673" w:rsidRPr="00B646F1">
        <w:rPr>
          <w:rFonts w:ascii="Times New Roman" w:hAnsi="Times New Roman" w:cs="Times New Roman"/>
          <w:color w:val="000000" w:themeColor="text1"/>
          <w:sz w:val="22"/>
          <w:szCs w:val="22"/>
          <w:u w:val="single"/>
          <w:lang w:val="en-GB"/>
        </w:rPr>
        <w:t xml:space="preserve">. </w:t>
      </w:r>
      <w:r w:rsidR="00A95E90" w:rsidRPr="00B646F1">
        <w:rPr>
          <w:rFonts w:ascii="Times New Roman" w:hAnsi="Times New Roman" w:cs="Times New Roman"/>
          <w:color w:val="000000" w:themeColor="text1"/>
          <w:sz w:val="22"/>
          <w:szCs w:val="22"/>
          <w:u w:val="single"/>
          <w:shd w:val="clear" w:color="auto" w:fill="FFFFFF"/>
        </w:rPr>
        <w:t xml:space="preserve">Nuclear co-stain was performed by using </w:t>
      </w:r>
      <w:r w:rsidR="00A95E90" w:rsidRPr="00B646F1">
        <w:rPr>
          <w:rFonts w:ascii="Times New Roman" w:hAnsi="Times New Roman" w:cs="Times New Roman"/>
          <w:color w:val="000000" w:themeColor="text1"/>
          <w:sz w:val="22"/>
          <w:szCs w:val="22"/>
          <w:u w:val="single"/>
          <w:lang w:val="en-GB"/>
        </w:rPr>
        <w:t>4’6-diamidino-2-phenylindole (Dapi)</w:t>
      </w:r>
      <w:r w:rsidR="005B18C2">
        <w:rPr>
          <w:rFonts w:ascii="Times New Roman" w:hAnsi="Times New Roman" w:cs="Times New Roman"/>
          <w:color w:val="000000" w:themeColor="text1"/>
          <w:sz w:val="22"/>
          <w:szCs w:val="22"/>
          <w:u w:val="single"/>
          <w:lang w:val="en-GB"/>
        </w:rPr>
        <w:t xml:space="preserve"> for 1 min</w:t>
      </w:r>
      <w:r w:rsidR="00A95E90" w:rsidRPr="00B646F1">
        <w:rPr>
          <w:rFonts w:ascii="Times New Roman" w:hAnsi="Times New Roman" w:cs="Times New Roman"/>
          <w:color w:val="000000" w:themeColor="text1"/>
          <w:sz w:val="22"/>
          <w:szCs w:val="22"/>
          <w:u w:val="single"/>
          <w:lang w:val="en-GB"/>
        </w:rPr>
        <w:t xml:space="preserve">. </w:t>
      </w:r>
    </w:p>
    <w:p w:rsidR="00BB0D1C" w:rsidRPr="008A20FA" w:rsidRDefault="00D37EFA" w:rsidP="00BB0D1C">
      <w:pPr>
        <w:spacing w:after="0" w:line="360" w:lineRule="auto"/>
        <w:ind w:right="567"/>
        <w:jc w:val="both"/>
        <w:rPr>
          <w:rFonts w:ascii="Times New Roman" w:hAnsi="Times New Roman" w:cs="Times New Roman"/>
          <w:b/>
        </w:rPr>
      </w:pPr>
      <w:r w:rsidRPr="008A20FA">
        <w:rPr>
          <w:rFonts w:ascii="Times New Roman" w:hAnsi="Times New Roman" w:cs="Times New Roman"/>
          <w:b/>
        </w:rPr>
        <w:t>Statistical analysis</w:t>
      </w:r>
    </w:p>
    <w:p w:rsidR="002D3859" w:rsidRPr="005558D7" w:rsidRDefault="00D37EFA" w:rsidP="005558D7">
      <w:pPr>
        <w:spacing w:after="0" w:line="360" w:lineRule="auto"/>
        <w:ind w:right="567"/>
        <w:jc w:val="both"/>
        <w:rPr>
          <w:rFonts w:ascii="Times New Roman" w:hAnsi="Times New Roman" w:cs="Times New Roman"/>
          <w:color w:val="000000" w:themeColor="text1"/>
        </w:rPr>
      </w:pPr>
      <w:r w:rsidRPr="008A20FA">
        <w:rPr>
          <w:rFonts w:ascii="Times New Roman" w:hAnsi="Times New Roman" w:cs="Times New Roman"/>
        </w:rPr>
        <w:t>Prognostic and predictive effects were assessed using two clinical endpoints (PFS and OS).Kaplan–Meier plots were displayed and survival curves compared using log-rank test analysis</w:t>
      </w:r>
      <w:r w:rsidRPr="008A20FA">
        <w:rPr>
          <w:rFonts w:ascii="Times New Roman" w:hAnsi="Times New Roman" w:cs="Times New Roman"/>
          <w:color w:val="000000" w:themeColor="text1"/>
        </w:rPr>
        <w:t>.</w:t>
      </w:r>
      <w:r w:rsidRPr="008A20FA">
        <w:rPr>
          <w:rFonts w:ascii="Times New Roman" w:hAnsi="Times New Roman" w:cs="Times New Roman"/>
        </w:rPr>
        <w:t>Prognostic analysis was performed in allpatients by using simple Cox proportional hazards model includinggene expression, gene mutation, and inflammatory response on PFS and OS. The Cox model was used to estimate hazard ratios (HRs) with 95% CIs for first-line treatment received Cetuximab or Bevacizumab</w:t>
      </w:r>
      <w:r w:rsidRPr="008A20FA">
        <w:rPr>
          <w:rFonts w:ascii="Times New Roman" w:hAnsi="Times New Roman" w:cs="Times New Roman"/>
          <w:bCs/>
          <w:color w:val="000000"/>
        </w:rPr>
        <w:t xml:space="preserve">plus chemotherapy </w:t>
      </w:r>
      <w:r w:rsidRPr="008A20FA">
        <w:rPr>
          <w:rFonts w:ascii="Times New Roman" w:hAnsi="Times New Roman" w:cs="Times New Roman"/>
        </w:rPr>
        <w:t>based</w:t>
      </w:r>
      <w:r w:rsidRPr="008A20FA">
        <w:rPr>
          <w:rFonts w:ascii="Times New Roman" w:hAnsi="Times New Roman" w:cs="Times New Roman"/>
          <w:bCs/>
          <w:color w:val="000000"/>
        </w:rPr>
        <w:t xml:space="preserve"> schedules (FOLFOX, XELOX or FOLFIRI). Multivariate models were adopted adjusting for factors known to be prognostic in mCRC (KRAS mutations, mucinous histology and therapeutic regime) </w:t>
      </w:r>
      <w:r w:rsidRPr="008A20FA">
        <w:rPr>
          <w:rFonts w:ascii="Times New Roman" w:hAnsi="Times New Roman" w:cs="Times New Roman"/>
        </w:rPr>
        <w:t>or for baseline covariates (sex, age, ECOG, number of metastases, liver-only metastases).</w:t>
      </w:r>
      <w:r w:rsidRPr="008A20FA">
        <w:rPr>
          <w:rFonts w:ascii="Times New Roman" w:eastAsia="AdvOT1ef757c0" w:hAnsi="Times New Roman" w:cs="Times New Roman"/>
        </w:rPr>
        <w:t xml:space="preserve">Receiver operating characteristic (ROC) curveswere applied to calculate the optimal cutoff point for NLR prognostic prediction. </w:t>
      </w:r>
      <w:r w:rsidRPr="008A20FA">
        <w:rPr>
          <w:rFonts w:ascii="Times New Roman" w:hAnsi="Times New Roman" w:cs="Times New Roman"/>
          <w:color w:val="000000" w:themeColor="text1"/>
        </w:rPr>
        <w:t xml:space="preserve">Groups were compared by </w:t>
      </w:r>
      <w:r w:rsidRPr="008A20FA">
        <w:rPr>
          <w:rStyle w:val="Enfasicorsivo"/>
          <w:rFonts w:ascii="Times New Roman" w:hAnsi="Times New Roman" w:cs="Times New Roman"/>
          <w:b w:val="0"/>
          <w:color w:val="000000" w:themeColor="text1"/>
        </w:rPr>
        <w:t xml:space="preserve">analysis </w:t>
      </w:r>
      <w:r w:rsidRPr="008A20FA">
        <w:rPr>
          <w:rStyle w:val="st1"/>
          <w:rFonts w:ascii="Times New Roman" w:hAnsi="Times New Roman" w:cs="Times New Roman"/>
          <w:color w:val="000000" w:themeColor="text1"/>
        </w:rPr>
        <w:t>of variance</w:t>
      </w:r>
      <w:r w:rsidRPr="008A20FA">
        <w:rPr>
          <w:rFonts w:ascii="Times New Roman" w:hAnsi="Times New Roman" w:cs="Times New Roman"/>
          <w:color w:val="000000" w:themeColor="text1"/>
        </w:rPr>
        <w:t xml:space="preserve"> using non-parametric Wilcoxon-</w:t>
      </w:r>
      <w:r w:rsidRPr="008A20FA">
        <w:rPr>
          <w:rFonts w:ascii="Times New Roman" w:hAnsi="Times New Roman" w:cs="Times New Roman"/>
          <w:bCs/>
          <w:color w:val="000000" w:themeColor="text1"/>
        </w:rPr>
        <w:t>Mann</w:t>
      </w:r>
      <w:r w:rsidRPr="008A20FA">
        <w:rPr>
          <w:rFonts w:ascii="Times New Roman" w:hAnsi="Times New Roman" w:cs="Times New Roman"/>
          <w:color w:val="000000" w:themeColor="text1"/>
        </w:rPr>
        <w:t>-</w:t>
      </w:r>
      <w:r w:rsidRPr="008A20FA">
        <w:rPr>
          <w:rFonts w:ascii="Times New Roman" w:hAnsi="Times New Roman" w:cs="Times New Roman"/>
          <w:bCs/>
          <w:color w:val="000000" w:themeColor="text1"/>
        </w:rPr>
        <w:t xml:space="preserve">Whitney and Kruskal-Wallis tests </w:t>
      </w:r>
      <w:r w:rsidRPr="008A20FA">
        <w:rPr>
          <w:rFonts w:ascii="Times New Roman" w:hAnsi="Times New Roman" w:cs="Times New Roman"/>
          <w:color w:val="000000" w:themeColor="text1"/>
        </w:rPr>
        <w:t xml:space="preserve">with </w:t>
      </w:r>
      <w:r w:rsidRPr="008A20FA">
        <w:rPr>
          <w:rFonts w:ascii="Times New Roman" w:hAnsi="Times New Roman" w:cs="Times New Roman"/>
          <w:bCs/>
          <w:color w:val="000000" w:themeColor="text1"/>
        </w:rPr>
        <w:t>median</w:t>
      </w:r>
      <w:r w:rsidRPr="008A20FA">
        <w:rPr>
          <w:rFonts w:ascii="Times New Roman" w:hAnsi="Times New Roman" w:cs="Times New Roman"/>
          <w:color w:val="000000" w:themeColor="text1"/>
        </w:rPr>
        <w:t xml:space="preserve"> differences at 95% </w:t>
      </w:r>
      <w:r w:rsidRPr="008A20FA">
        <w:rPr>
          <w:rFonts w:ascii="Times New Roman" w:hAnsi="Times New Roman" w:cs="Times New Roman"/>
          <w:bCs/>
          <w:color w:val="000000" w:themeColor="text1"/>
        </w:rPr>
        <w:t>confidence interval</w:t>
      </w:r>
      <w:r w:rsidRPr="008A20FA">
        <w:rPr>
          <w:rFonts w:ascii="Times New Roman" w:hAnsi="Times New Roman" w:cs="Times New Roman"/>
          <w:color w:val="000000" w:themeColor="text1"/>
        </w:rPr>
        <w:t xml:space="preserve"> (</w:t>
      </w:r>
      <w:r w:rsidRPr="008A20FA">
        <w:rPr>
          <w:rFonts w:ascii="Times New Roman" w:hAnsi="Times New Roman" w:cs="Times New Roman"/>
          <w:bCs/>
          <w:color w:val="000000" w:themeColor="text1"/>
        </w:rPr>
        <w:t>CI</w:t>
      </w:r>
      <w:r w:rsidR="004A6127" w:rsidRPr="008A20FA">
        <w:rPr>
          <w:rFonts w:ascii="Times New Roman" w:hAnsi="Times New Roman" w:cs="Times New Roman"/>
          <w:color w:val="000000" w:themeColor="text1"/>
        </w:rPr>
        <w:t>).</w:t>
      </w:r>
      <w:r w:rsidRPr="008A20FA">
        <w:rPr>
          <w:rFonts w:ascii="Times New Roman" w:hAnsi="Times New Roman" w:cs="Times New Roman"/>
        </w:rPr>
        <w:t>The Spearman rank test was used to assess the correlation between continuous variables, and the Pearson X</w:t>
      </w:r>
      <w:r w:rsidRPr="008A20FA">
        <w:rPr>
          <w:rFonts w:ascii="Times New Roman" w:hAnsi="Times New Roman" w:cs="Times New Roman"/>
          <w:vertAlign w:val="superscript"/>
        </w:rPr>
        <w:t>2</w:t>
      </w:r>
      <w:r w:rsidRPr="008A20FA">
        <w:rPr>
          <w:rFonts w:ascii="Times New Roman" w:hAnsi="Times New Roman" w:cs="Times New Roman"/>
        </w:rPr>
        <w:t xml:space="preserve"> test for the association between categorical </w:t>
      </w:r>
      <w:r w:rsidRPr="008A20FA">
        <w:rPr>
          <w:rFonts w:ascii="Times New Roman" w:hAnsi="Times New Roman" w:cs="Times New Roman"/>
        </w:rPr>
        <w:lastRenderedPageBreak/>
        <w:t xml:space="preserve">variables. </w:t>
      </w:r>
      <w:r w:rsidRPr="008A20FA">
        <w:rPr>
          <w:rFonts w:ascii="Times New Roman" w:eastAsia="AdvOT1ef757c0" w:hAnsi="Times New Roman" w:cs="Times New Roman"/>
          <w:color w:val="231F20"/>
        </w:rPr>
        <w:t xml:space="preserve">Data are presented with medians and ranges. </w:t>
      </w:r>
      <w:r w:rsidRPr="008A20FA">
        <w:rPr>
          <w:rFonts w:ascii="Times New Roman" w:eastAsia="AdvOT1ef757c0" w:hAnsi="Times New Roman" w:cs="Times New Roman"/>
        </w:rPr>
        <w:t xml:space="preserve">The </w:t>
      </w:r>
      <w:r w:rsidRPr="008A20FA">
        <w:rPr>
          <w:rFonts w:ascii="Times New Roman" w:eastAsia="AdvOT1ef757c0" w:hAnsi="Times New Roman" w:cs="Times New Roman"/>
          <w:i/>
        </w:rPr>
        <w:t xml:space="preserve">P </w:t>
      </w:r>
      <w:r w:rsidRPr="008A20FA">
        <w:rPr>
          <w:rFonts w:ascii="Times New Roman" w:eastAsia="AdvOT1ef757c0" w:hAnsi="Times New Roman" w:cs="Times New Roman"/>
        </w:rPr>
        <w:t xml:space="preserve">values were calculated two sided and considered as significant when ≤0.05. </w:t>
      </w:r>
      <w:r w:rsidRPr="008A20FA">
        <w:rPr>
          <w:rFonts w:ascii="Times New Roman" w:hAnsi="Times New Roman" w:cs="Times New Roman"/>
        </w:rPr>
        <w:t xml:space="preserve">Statistical analyses were conducted by using </w:t>
      </w:r>
      <w:r w:rsidRPr="008A20FA">
        <w:rPr>
          <w:rFonts w:ascii="Times New Roman" w:hAnsi="Times New Roman" w:cs="Times New Roman"/>
          <w:color w:val="000000" w:themeColor="text1"/>
        </w:rPr>
        <w:t xml:space="preserve">R </w:t>
      </w:r>
      <w:r w:rsidRPr="008A20FA">
        <w:rPr>
          <w:rFonts w:ascii="Times New Roman" w:hAnsi="Times New Roman" w:cs="Times New Roman"/>
        </w:rPr>
        <w:t xml:space="preserve">statistical software and SPSS (version 15 </w:t>
      </w:r>
      <w:r w:rsidRPr="008A20FA">
        <w:rPr>
          <w:rFonts w:ascii="Times New Roman" w:hAnsi="Times New Roman" w:cs="Times New Roman"/>
          <w:color w:val="000000" w:themeColor="text1"/>
        </w:rPr>
        <w:t>Windows, SPSS Inc, Chicago, IL),</w:t>
      </w:r>
      <w:r w:rsidRPr="008A20FA">
        <w:rPr>
          <w:rFonts w:ascii="Times New Roman" w:eastAsia="AdvOT1ef757c0" w:hAnsi="Times New Roman" w:cs="Times New Roman"/>
          <w:color w:val="231F20"/>
        </w:rPr>
        <w:t xml:space="preserve"> and </w:t>
      </w:r>
      <w:r w:rsidR="005558D7">
        <w:rPr>
          <w:rFonts w:ascii="Times New Roman" w:hAnsi="Times New Roman" w:cs="Times New Roman"/>
          <w:color w:val="000000" w:themeColor="text1"/>
        </w:rPr>
        <w:t xml:space="preserve">GraphPad Prism 5. </w:t>
      </w:r>
    </w:p>
    <w:p w:rsidR="002D3859" w:rsidRPr="008A20FA" w:rsidRDefault="002D3859" w:rsidP="00D37EFA">
      <w:pPr>
        <w:rPr>
          <w:rFonts w:ascii="Times New Roman" w:hAnsi="Times New Roman" w:cs="Times New Roman"/>
          <w:b/>
        </w:rPr>
      </w:pPr>
    </w:p>
    <w:p w:rsidR="00AD34D1" w:rsidRPr="008A20FA" w:rsidRDefault="00AD34D1" w:rsidP="00D37EFA">
      <w:pPr>
        <w:rPr>
          <w:rFonts w:ascii="Times New Roman" w:hAnsi="Times New Roman" w:cs="Times New Roman"/>
          <w:b/>
        </w:rPr>
      </w:pPr>
    </w:p>
    <w:p w:rsidR="00D56FF6" w:rsidRPr="00EA2469" w:rsidRDefault="00D56FF6" w:rsidP="00D56FF6">
      <w:pPr>
        <w:rPr>
          <w:rFonts w:ascii="Times New Roman" w:hAnsi="Times New Roman" w:cs="Times New Roman"/>
          <w:b/>
        </w:rPr>
      </w:pPr>
      <w:r>
        <w:rPr>
          <w:rFonts w:ascii="Times New Roman" w:hAnsi="Times New Roman" w:cs="Times New Roman"/>
          <w:b/>
        </w:rPr>
        <w:t xml:space="preserve">          </w:t>
      </w:r>
      <w:r w:rsidRPr="00EA2469">
        <w:rPr>
          <w:rFonts w:ascii="Times New Roman" w:hAnsi="Times New Roman" w:cs="Times New Roman"/>
          <w:b/>
        </w:rPr>
        <w:t>References</w:t>
      </w:r>
    </w:p>
    <w:p w:rsidR="00D56FF6" w:rsidRDefault="00D56FF6" w:rsidP="00D56FF6">
      <w:pPr>
        <w:rPr>
          <w:rFonts w:ascii="Times New Roman" w:hAnsi="Times New Roman" w:cs="Times New Roman"/>
        </w:rPr>
      </w:pPr>
    </w:p>
    <w:p w:rsidR="00D56FF6" w:rsidRPr="00D56FF6" w:rsidRDefault="00D56FF6" w:rsidP="00D56FF6">
      <w:pPr>
        <w:pStyle w:val="Paragrafoelenco"/>
        <w:numPr>
          <w:ilvl w:val="0"/>
          <w:numId w:val="4"/>
        </w:numPr>
        <w:shd w:val="clear" w:color="auto" w:fill="FFFFFF"/>
        <w:spacing w:line="360" w:lineRule="auto"/>
        <w:ind w:right="567"/>
        <w:jc w:val="both"/>
        <w:rPr>
          <w:color w:val="000000"/>
          <w:sz w:val="22"/>
          <w:szCs w:val="22"/>
        </w:rPr>
      </w:pPr>
      <w:r w:rsidRPr="00D56FF6">
        <w:rPr>
          <w:color w:val="000000" w:themeColor="text1"/>
          <w:sz w:val="22"/>
          <w:szCs w:val="22"/>
          <w:lang w:val="es-ES"/>
        </w:rPr>
        <w:t>Malietzis G, Giacometti M, Kennedy RH et al:</w:t>
      </w:r>
      <w:hyperlink r:id="rId10" w:history="1">
        <w:r w:rsidRPr="00BB740F">
          <w:rPr>
            <w:color w:val="000000" w:themeColor="text1"/>
            <w:sz w:val="22"/>
            <w:szCs w:val="22"/>
            <w:lang w:val="en-US"/>
          </w:rPr>
          <w:t>The emerging role of neutrophil to lymphocyte ratio in determining colorectal cancer treatment outcomes: a systematic review and meta-analysis.</w:t>
        </w:r>
      </w:hyperlink>
      <w:r w:rsidRPr="00D56FF6">
        <w:rPr>
          <w:color w:val="000000" w:themeColor="text1"/>
          <w:sz w:val="22"/>
          <w:szCs w:val="22"/>
        </w:rPr>
        <w:t>Ann Surg Oncol 21(12):3938-46, 2014.</w:t>
      </w:r>
    </w:p>
    <w:p w:rsidR="00D56FF6" w:rsidRPr="00D56FF6" w:rsidRDefault="00D56FF6" w:rsidP="00D56FF6">
      <w:pPr>
        <w:pStyle w:val="Paragrafoelenco"/>
        <w:numPr>
          <w:ilvl w:val="0"/>
          <w:numId w:val="4"/>
        </w:numPr>
        <w:tabs>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right="560"/>
        <w:jc w:val="both"/>
        <w:rPr>
          <w:rFonts w:eastAsia="ヒラギノ角ゴ Pro W3"/>
          <w:color w:val="000000" w:themeColor="text1"/>
          <w:sz w:val="22"/>
          <w:szCs w:val="22"/>
          <w:lang w:val="en-US"/>
        </w:rPr>
      </w:pPr>
      <w:r w:rsidRPr="00D56FF6">
        <w:rPr>
          <w:bCs/>
          <w:color w:val="000000" w:themeColor="text1"/>
          <w:sz w:val="22"/>
          <w:szCs w:val="22"/>
          <w:lang w:val="en-GB"/>
        </w:rPr>
        <w:t>Pancione M</w:t>
      </w:r>
      <w:r w:rsidRPr="00D56FF6">
        <w:rPr>
          <w:color w:val="000000" w:themeColor="text1"/>
          <w:sz w:val="22"/>
          <w:szCs w:val="22"/>
          <w:lang w:val="en-GB"/>
        </w:rPr>
        <w:t>, Remo A, Zanella C et al:</w:t>
      </w:r>
      <w:hyperlink r:id="rId11" w:history="1">
        <w:r w:rsidRPr="00D56FF6">
          <w:rPr>
            <w:color w:val="000000" w:themeColor="text1"/>
            <w:sz w:val="22"/>
            <w:szCs w:val="22"/>
            <w:lang w:val="en-US"/>
          </w:rPr>
          <w:t>The chromatin remodelling component SMARCB1/INI1 influences the metastatic behavior of colorectal cancer through a gene signature mapping to chromosome 22.</w:t>
        </w:r>
      </w:hyperlink>
      <w:r w:rsidRPr="00D56FF6">
        <w:rPr>
          <w:color w:val="000000" w:themeColor="text1"/>
          <w:sz w:val="22"/>
          <w:szCs w:val="22"/>
          <w:lang w:val="en-US"/>
        </w:rPr>
        <w:t xml:space="preserve"> J Transl Med 11:297</w:t>
      </w:r>
      <w:r w:rsidRPr="00D56FF6">
        <w:rPr>
          <w:color w:val="2E2E2E"/>
          <w:sz w:val="22"/>
          <w:szCs w:val="22"/>
          <w:lang w:val="en-US"/>
        </w:rPr>
        <w:t>S, 2013.</w:t>
      </w:r>
    </w:p>
    <w:p w:rsidR="00D56FF6" w:rsidRPr="00BB740F" w:rsidRDefault="00D56FF6" w:rsidP="00D56FF6">
      <w:pPr>
        <w:pStyle w:val="Paragrafoelenco"/>
        <w:numPr>
          <w:ilvl w:val="0"/>
          <w:numId w:val="4"/>
        </w:numPr>
        <w:tabs>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right="560"/>
        <w:jc w:val="both"/>
        <w:rPr>
          <w:rFonts w:eastAsia="ヒラギノ角ゴ Pro W3"/>
          <w:color w:val="000000" w:themeColor="text1"/>
          <w:sz w:val="22"/>
          <w:szCs w:val="22"/>
          <w:lang w:val="en-US"/>
        </w:rPr>
      </w:pPr>
      <w:r w:rsidRPr="00D56FF6">
        <w:rPr>
          <w:rFonts w:eastAsia="MinionPro-Regular"/>
          <w:sz w:val="22"/>
          <w:szCs w:val="22"/>
          <w:lang w:val="en-GB"/>
        </w:rPr>
        <w:t>Pagnotta SM, Laudanna C, Pancione M et al:</w:t>
      </w:r>
      <w:r w:rsidRPr="00BB740F">
        <w:rPr>
          <w:rFonts w:eastAsia="MinionPro-Regular"/>
          <w:sz w:val="22"/>
          <w:szCs w:val="22"/>
          <w:lang w:val="en-US"/>
        </w:rPr>
        <w:t>Ensemble of gene signatures identifies novel biomarkers in colorectal Cancer activated through PPAR</w:t>
      </w:r>
      <w:r w:rsidRPr="00D56FF6">
        <w:rPr>
          <w:rFonts w:ascii="Cambria Math" w:eastAsia="MinionPro-Regular" w:hAnsi="Cambria Math"/>
          <w:sz w:val="22"/>
          <w:szCs w:val="22"/>
        </w:rPr>
        <w:t>𝛾</w:t>
      </w:r>
      <w:r w:rsidRPr="00BB740F">
        <w:rPr>
          <w:rFonts w:eastAsia="MinionPro-Regular"/>
          <w:sz w:val="22"/>
          <w:szCs w:val="22"/>
          <w:lang w:val="en-US"/>
        </w:rPr>
        <w:t xml:space="preserve"> and TNF</w:t>
      </w:r>
      <w:r w:rsidRPr="00D56FF6">
        <w:rPr>
          <w:rFonts w:ascii="Cambria Math" w:eastAsia="MinionPro-Regular" w:hAnsi="Cambria Math"/>
          <w:sz w:val="22"/>
          <w:szCs w:val="22"/>
        </w:rPr>
        <w:t>𝛼</w:t>
      </w:r>
      <w:r w:rsidRPr="00BB740F">
        <w:rPr>
          <w:rFonts w:eastAsia="MinionPro-Regular"/>
          <w:sz w:val="22"/>
          <w:szCs w:val="22"/>
          <w:lang w:val="en-US"/>
        </w:rPr>
        <w:t xml:space="preserve"> signaling.</w:t>
      </w:r>
      <w:r w:rsidRPr="00BB740F">
        <w:rPr>
          <w:rFonts w:eastAsia="MinionPro-Regular"/>
          <w:iCs/>
          <w:sz w:val="22"/>
          <w:szCs w:val="22"/>
          <w:lang w:val="en-US"/>
        </w:rPr>
        <w:t>PLoSOne</w:t>
      </w:r>
      <w:r w:rsidRPr="00BB740F">
        <w:rPr>
          <w:rFonts w:eastAsia="MinionPro-Regular"/>
          <w:sz w:val="22"/>
          <w:szCs w:val="22"/>
          <w:lang w:val="en-US"/>
        </w:rPr>
        <w:t>8(8):  e72638, 2013.</w:t>
      </w:r>
    </w:p>
    <w:p w:rsidR="00D56FF6" w:rsidRPr="00D56FF6" w:rsidRDefault="00D56FF6" w:rsidP="00D56FF6">
      <w:pPr>
        <w:pStyle w:val="Paragrafoelenco"/>
        <w:numPr>
          <w:ilvl w:val="0"/>
          <w:numId w:val="4"/>
        </w:numPr>
        <w:spacing w:line="360" w:lineRule="auto"/>
        <w:ind w:right="567"/>
        <w:jc w:val="both"/>
        <w:rPr>
          <w:sz w:val="22"/>
          <w:szCs w:val="22"/>
          <w:lang w:val="es-ES"/>
        </w:rPr>
      </w:pPr>
      <w:r w:rsidRPr="00BB740F">
        <w:rPr>
          <w:color w:val="000000"/>
          <w:sz w:val="22"/>
          <w:szCs w:val="22"/>
          <w:lang w:val="en-US"/>
        </w:rPr>
        <w:t>Cancer Genome Atlas Network. Comprehensive Molecular Characterization of Human Colon and Rectal Cancer.</w:t>
      </w:r>
      <w:r w:rsidRPr="00D56FF6">
        <w:rPr>
          <w:color w:val="000000"/>
          <w:sz w:val="22"/>
          <w:szCs w:val="22"/>
          <w:lang w:val="en-GB"/>
        </w:rPr>
        <w:t>Nature 487: 330–37, 2012.</w:t>
      </w:r>
    </w:p>
    <w:p w:rsidR="00D56FF6" w:rsidRPr="00D56FF6" w:rsidRDefault="00D56FF6" w:rsidP="00D56FF6">
      <w:pPr>
        <w:pStyle w:val="Paragrafoelenco"/>
        <w:numPr>
          <w:ilvl w:val="0"/>
          <w:numId w:val="4"/>
        </w:numPr>
        <w:tabs>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right="560"/>
        <w:jc w:val="both"/>
        <w:rPr>
          <w:rFonts w:eastAsia="ヒラギノ角ゴ Pro W3"/>
          <w:color w:val="000000" w:themeColor="text1"/>
          <w:sz w:val="22"/>
          <w:szCs w:val="22"/>
        </w:rPr>
      </w:pPr>
      <w:r w:rsidRPr="00BB740F">
        <w:rPr>
          <w:rFonts w:eastAsia="ArialMT"/>
          <w:sz w:val="22"/>
          <w:szCs w:val="22"/>
          <w:lang w:val="en-US"/>
        </w:rPr>
        <w:t xml:space="preserve">Smith JJ, Deane NG, Wu F et al: Experimentally derived metastasis gene expression profile predicts recurrence and death in patients with colon cancer. </w:t>
      </w:r>
      <w:r w:rsidRPr="00D56FF6">
        <w:rPr>
          <w:rFonts w:eastAsia="ArialMT"/>
          <w:sz w:val="22"/>
          <w:szCs w:val="22"/>
        </w:rPr>
        <w:t>Gastroenterology 138: 958–968, 2010</w:t>
      </w:r>
      <w:bookmarkStart w:id="0" w:name="_Ref265927641"/>
    </w:p>
    <w:p w:rsidR="00D56FF6" w:rsidRPr="00D56FF6" w:rsidRDefault="00D56FF6" w:rsidP="00D56FF6">
      <w:pPr>
        <w:pStyle w:val="Paragrafoelenco"/>
        <w:numPr>
          <w:ilvl w:val="0"/>
          <w:numId w:val="4"/>
        </w:numPr>
        <w:tabs>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right="560"/>
        <w:jc w:val="both"/>
        <w:rPr>
          <w:rFonts w:eastAsia="ヒラギノ角ゴ Pro W3"/>
          <w:color w:val="000000" w:themeColor="text1"/>
          <w:sz w:val="22"/>
          <w:szCs w:val="22"/>
        </w:rPr>
      </w:pPr>
      <w:r w:rsidRPr="00BB740F">
        <w:rPr>
          <w:color w:val="000000" w:themeColor="text1"/>
          <w:shd w:val="clear" w:color="auto" w:fill="FFFFFF"/>
          <w:lang w:val="en-US"/>
        </w:rPr>
        <w:t xml:space="preserve">Cerulo L, Elkan C, Ceccarelli M: Learning gene regulatory networks from only positive and unlabeled data. </w:t>
      </w:r>
      <w:r w:rsidRPr="00D56FF6">
        <w:rPr>
          <w:i/>
          <w:color w:val="000000" w:themeColor="text1"/>
          <w:shd w:val="clear" w:color="auto" w:fill="FFFFFF"/>
        </w:rPr>
        <w:t>BMC Bioinformatics</w:t>
      </w:r>
      <w:r w:rsidRPr="00D56FF6">
        <w:rPr>
          <w:color w:val="000000" w:themeColor="text1"/>
          <w:shd w:val="clear" w:color="auto" w:fill="FFFFFF"/>
        </w:rPr>
        <w:t xml:space="preserve"> 2010,11:</w:t>
      </w:r>
      <w:bookmarkEnd w:id="0"/>
      <w:r w:rsidRPr="00D56FF6">
        <w:rPr>
          <w:color w:val="000000" w:themeColor="text1"/>
          <w:shd w:val="clear" w:color="auto" w:fill="FFFFFF"/>
        </w:rPr>
        <w:t>228.</w:t>
      </w:r>
    </w:p>
    <w:p w:rsidR="005558D7" w:rsidRPr="00D56FF6" w:rsidRDefault="005558D7" w:rsidP="005558D7">
      <w:pPr>
        <w:pStyle w:val="Paragrafoelenco"/>
        <w:numPr>
          <w:ilvl w:val="0"/>
          <w:numId w:val="4"/>
        </w:numPr>
        <w:tabs>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right="560"/>
        <w:jc w:val="both"/>
        <w:rPr>
          <w:rFonts w:eastAsia="ヒラギノ角ゴ Pro W3"/>
          <w:color w:val="000000" w:themeColor="text1"/>
          <w:sz w:val="22"/>
          <w:szCs w:val="22"/>
          <w:lang w:val="en-GB"/>
        </w:rPr>
      </w:pPr>
      <w:r w:rsidRPr="005558D7">
        <w:rPr>
          <w:rFonts w:eastAsia="ヒラギノ角ゴ Pro W3"/>
          <w:bCs/>
          <w:color w:val="000000" w:themeColor="text1"/>
          <w:sz w:val="22"/>
          <w:szCs w:val="22"/>
          <w:lang w:val="en-US"/>
        </w:rPr>
        <w:t xml:space="preserve">Margolin Adam A et al: ARACNE: An Algorithm for the Reconstruction of Gene Regulatory Networks in a Mammalian Cellular Context. </w:t>
      </w:r>
      <w:r w:rsidRPr="00D56FF6">
        <w:rPr>
          <w:rFonts w:eastAsia="ヒラギノ角ゴ Pro W3"/>
          <w:color w:val="000000" w:themeColor="text1"/>
          <w:sz w:val="22"/>
          <w:szCs w:val="22"/>
          <w:lang w:val="en-GB"/>
        </w:rPr>
        <w:t>BMC Bioinformatics 2006, 7(Suppl 1):S7</w:t>
      </w:r>
    </w:p>
    <w:p w:rsidR="00D56FF6" w:rsidRPr="005558D7" w:rsidRDefault="00D56FF6" w:rsidP="00D56FF6">
      <w:pPr>
        <w:pStyle w:val="Paragrafoelenco"/>
        <w:numPr>
          <w:ilvl w:val="0"/>
          <w:numId w:val="4"/>
        </w:numPr>
        <w:tabs>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right="560"/>
        <w:jc w:val="both"/>
        <w:rPr>
          <w:rFonts w:eastAsia="ヒラギノ角ゴ Pro W3"/>
          <w:color w:val="000000" w:themeColor="text1"/>
          <w:sz w:val="22"/>
          <w:szCs w:val="22"/>
          <w:lang w:val="en-US"/>
        </w:rPr>
      </w:pPr>
      <w:r w:rsidRPr="005558D7">
        <w:rPr>
          <w:color w:val="000000" w:themeColor="text1"/>
          <w:sz w:val="22"/>
          <w:szCs w:val="22"/>
          <w:lang w:val="en-US"/>
        </w:rPr>
        <w:t xml:space="preserve">Barretina J, Caponigro G, Stransky N et al: The Cancer Cell Line Encyclopedia enables predictive modelling of anticancer drug sensitivity. </w:t>
      </w:r>
      <w:r w:rsidRPr="00D56FF6">
        <w:rPr>
          <w:sz w:val="22"/>
          <w:szCs w:val="22"/>
          <w:lang w:val="en-GB"/>
        </w:rPr>
        <w:t xml:space="preserve">Nature </w:t>
      </w:r>
      <w:r w:rsidRPr="005558D7">
        <w:rPr>
          <w:color w:val="000000" w:themeColor="text1"/>
          <w:sz w:val="22"/>
          <w:szCs w:val="22"/>
          <w:lang w:val="en-US"/>
        </w:rPr>
        <w:t>483(7391):603-7, 2012.</w:t>
      </w:r>
    </w:p>
    <w:p w:rsidR="00D56FF6" w:rsidRPr="00D56FF6" w:rsidRDefault="00D56FF6" w:rsidP="00D56FF6">
      <w:pPr>
        <w:pStyle w:val="Paragrafoelenco"/>
        <w:numPr>
          <w:ilvl w:val="0"/>
          <w:numId w:val="4"/>
        </w:numPr>
        <w:spacing w:line="360" w:lineRule="auto"/>
        <w:ind w:right="567"/>
        <w:jc w:val="both"/>
        <w:rPr>
          <w:sz w:val="22"/>
          <w:szCs w:val="22"/>
          <w:lang w:val="es-ES"/>
        </w:rPr>
      </w:pPr>
      <w:r w:rsidRPr="00BB740F">
        <w:rPr>
          <w:sz w:val="22"/>
          <w:szCs w:val="22"/>
          <w:lang w:val="en-US"/>
        </w:rPr>
        <w:t>Sadanandam A, Lyssiotis CA, Homicsko K</w:t>
      </w:r>
      <w:r w:rsidRPr="00BB740F">
        <w:rPr>
          <w:iCs/>
          <w:sz w:val="22"/>
          <w:szCs w:val="22"/>
          <w:lang w:val="en-US"/>
        </w:rPr>
        <w:t>et al:</w:t>
      </w:r>
      <w:r w:rsidRPr="00BB740F">
        <w:rPr>
          <w:sz w:val="22"/>
          <w:szCs w:val="22"/>
          <w:lang w:val="en-US"/>
        </w:rPr>
        <w:t xml:space="preserve">A colorectal cancer classification system that associates cellular phenotype and responses to therapy. </w:t>
      </w:r>
      <w:r w:rsidRPr="00D56FF6">
        <w:rPr>
          <w:iCs/>
          <w:sz w:val="22"/>
          <w:szCs w:val="22"/>
        </w:rPr>
        <w:t>Nat</w:t>
      </w:r>
      <w:r w:rsidRPr="00D56FF6">
        <w:rPr>
          <w:iCs/>
          <w:sz w:val="22"/>
          <w:szCs w:val="22"/>
          <w:lang w:val="en-GB"/>
        </w:rPr>
        <w:t>ure Med</w:t>
      </w:r>
      <w:r w:rsidRPr="00D56FF6">
        <w:rPr>
          <w:sz w:val="22"/>
          <w:szCs w:val="22"/>
          <w:lang w:val="en-GB"/>
        </w:rPr>
        <w:t>19(5): 619-25, 2013</w:t>
      </w:r>
    </w:p>
    <w:p w:rsidR="00D56FF6" w:rsidRPr="00D56FF6" w:rsidRDefault="00CE2EED" w:rsidP="00D56FF6">
      <w:pPr>
        <w:pStyle w:val="Paragrafoelenco"/>
        <w:numPr>
          <w:ilvl w:val="0"/>
          <w:numId w:val="4"/>
        </w:numPr>
        <w:tabs>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right="560"/>
        <w:jc w:val="both"/>
        <w:rPr>
          <w:rFonts w:eastAsia="ヒラギノ角ゴ Pro W3"/>
          <w:color w:val="000000" w:themeColor="text1"/>
          <w:sz w:val="22"/>
          <w:szCs w:val="22"/>
        </w:rPr>
      </w:pPr>
      <w:hyperlink r:id="rId12" w:history="1">
        <w:r w:rsidR="00D56FF6" w:rsidRPr="00BB740F">
          <w:rPr>
            <w:color w:val="000000" w:themeColor="text1"/>
            <w:sz w:val="22"/>
            <w:szCs w:val="22"/>
            <w:lang w:val="en-US"/>
          </w:rPr>
          <w:t>Schoumacher M</w:t>
        </w:r>
      </w:hyperlink>
      <w:r w:rsidR="00D56FF6" w:rsidRPr="00BB740F">
        <w:rPr>
          <w:color w:val="000000" w:themeColor="text1"/>
          <w:sz w:val="22"/>
          <w:szCs w:val="22"/>
          <w:lang w:val="en-US"/>
        </w:rPr>
        <w:t xml:space="preserve">, Hurov KE, Lehár et al: Inhibiting Tankyrases sensitizes KRAS-mutant cancer cells to MEK inhibitors via FGFR2 feedback signaling. </w:t>
      </w:r>
      <w:hyperlink r:id="rId13" w:tooltip="Cancer research." w:history="1"/>
      <w:r w:rsidR="00D56FF6" w:rsidRPr="00BB740F">
        <w:rPr>
          <w:color w:val="000000" w:themeColor="text1"/>
          <w:sz w:val="22"/>
          <w:szCs w:val="22"/>
          <w:lang w:val="en-US"/>
        </w:rPr>
        <w:t xml:space="preserve"> </w:t>
      </w:r>
      <w:r w:rsidR="00D56FF6" w:rsidRPr="00D56FF6">
        <w:rPr>
          <w:color w:val="000000" w:themeColor="text1"/>
          <w:sz w:val="22"/>
          <w:szCs w:val="22"/>
        </w:rPr>
        <w:t>Cancer Res 74(12): 3294-305, 2014.</w:t>
      </w:r>
    </w:p>
    <w:p w:rsidR="00D56FF6" w:rsidRPr="00D56FF6" w:rsidRDefault="00D56FF6" w:rsidP="00D56FF6">
      <w:pPr>
        <w:pStyle w:val="Paragrafoelenco"/>
        <w:numPr>
          <w:ilvl w:val="0"/>
          <w:numId w:val="4"/>
        </w:numPr>
        <w:tabs>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right="560"/>
        <w:jc w:val="both"/>
        <w:rPr>
          <w:rFonts w:eastAsia="ヒラギノ角ゴ Pro W3"/>
          <w:color w:val="000000" w:themeColor="text1"/>
          <w:sz w:val="22"/>
          <w:szCs w:val="22"/>
        </w:rPr>
      </w:pPr>
      <w:r w:rsidRPr="00D56FF6">
        <w:rPr>
          <w:rFonts w:eastAsia="TimesNewRoman"/>
          <w:sz w:val="22"/>
          <w:szCs w:val="22"/>
          <w:lang w:val="en-GB"/>
        </w:rPr>
        <w:lastRenderedPageBreak/>
        <w:t>Troiani T, Napolitano S, Vitagliano D et al:</w:t>
      </w:r>
      <w:r w:rsidRPr="00BB740F">
        <w:rPr>
          <w:rFonts w:eastAsiaTheme="minorHAnsi"/>
          <w:bCs/>
          <w:sz w:val="22"/>
          <w:szCs w:val="22"/>
          <w:lang w:val="en-US"/>
        </w:rPr>
        <w:t xml:space="preserve">Primary and acquired resistance of colorectal cancer cells to anti-EGFR antibodies converge on MEK/ERK pathway activation and can be overcome by combined MEK/EGFR inhibition. </w:t>
      </w:r>
      <w:r w:rsidRPr="00D56FF6">
        <w:rPr>
          <w:rFonts w:eastAsiaTheme="minorHAnsi"/>
          <w:bCs/>
          <w:sz w:val="22"/>
          <w:szCs w:val="22"/>
        </w:rPr>
        <w:t xml:space="preserve">Clin </w:t>
      </w:r>
      <w:r w:rsidRPr="00D56FF6">
        <w:rPr>
          <w:rFonts w:eastAsiaTheme="minorHAnsi"/>
          <w:color w:val="000000" w:themeColor="text1"/>
          <w:sz w:val="22"/>
          <w:szCs w:val="22"/>
        </w:rPr>
        <w:t>Cancer Res 20(14): 3775-86,  2014.</w:t>
      </w:r>
    </w:p>
    <w:p w:rsidR="00D56FF6" w:rsidRPr="00D56FF6" w:rsidRDefault="00D56FF6" w:rsidP="00D56FF6">
      <w:pPr>
        <w:pStyle w:val="Paragrafoelenco"/>
        <w:numPr>
          <w:ilvl w:val="0"/>
          <w:numId w:val="4"/>
        </w:numPr>
        <w:tabs>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right="560"/>
        <w:jc w:val="both"/>
        <w:rPr>
          <w:rFonts w:eastAsia="ヒラギノ角ゴ Pro W3"/>
          <w:color w:val="000000" w:themeColor="text1"/>
          <w:sz w:val="22"/>
          <w:szCs w:val="22"/>
          <w:lang w:val="en-GB"/>
        </w:rPr>
      </w:pPr>
      <w:r w:rsidRPr="00D56FF6">
        <w:rPr>
          <w:color w:val="000000" w:themeColor="text1"/>
          <w:sz w:val="22"/>
          <w:szCs w:val="22"/>
          <w:lang w:val="en-GB"/>
        </w:rPr>
        <w:t>Curtale G, Mirolo M, Renzi TA et al:</w:t>
      </w:r>
      <w:hyperlink r:id="rId14" w:history="1">
        <w:r w:rsidRPr="00D56FF6">
          <w:rPr>
            <w:color w:val="000000" w:themeColor="text1"/>
            <w:sz w:val="22"/>
            <w:szCs w:val="22"/>
            <w:lang w:val="en-US"/>
          </w:rPr>
          <w:t>Negative regulation of Toll-like receptor 4 signaling by IL-10-dependent microRNA-146b.</w:t>
        </w:r>
      </w:hyperlink>
      <w:r w:rsidRPr="00D56FF6">
        <w:rPr>
          <w:color w:val="000000" w:themeColor="text1"/>
          <w:sz w:val="22"/>
          <w:szCs w:val="22"/>
          <w:lang w:val="en-GB"/>
        </w:rPr>
        <w:t>Proc Natl Acad Sci USA 110(28): 11499-504, 2013</w:t>
      </w:r>
    </w:p>
    <w:p w:rsidR="003F221A" w:rsidRPr="00EA2469" w:rsidRDefault="003F221A" w:rsidP="00D56FF6">
      <w:pPr>
        <w:rPr>
          <w:rFonts w:ascii="Times New Roman" w:hAnsi="Times New Roman" w:cs="Times New Roman"/>
        </w:rPr>
      </w:pPr>
    </w:p>
    <w:sectPr w:rsidR="003F221A" w:rsidRPr="00EA2469" w:rsidSect="003F221A">
      <w:footerReference w:type="default" r:id="rId15"/>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3B6E" w:rsidRDefault="00E23B6E" w:rsidP="005F684D">
      <w:pPr>
        <w:spacing w:after="0"/>
      </w:pPr>
      <w:r>
        <w:separator/>
      </w:r>
    </w:p>
  </w:endnote>
  <w:endnote w:type="continuationSeparator" w:id="1">
    <w:p w:rsidR="00E23B6E" w:rsidRDefault="00E23B6E" w:rsidP="005F684D">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dvOT1ef757c0">
    <w:altName w:val="MS Mincho"/>
    <w:panose1 w:val="00000000000000000000"/>
    <w:charset w:val="80"/>
    <w:family w:val="auto"/>
    <w:notTrueType/>
    <w:pitch w:val="default"/>
    <w:sig w:usb0="00000003" w:usb1="08070000" w:usb2="00000010" w:usb3="00000000" w:csb0="00020001" w:csb1="00000000"/>
  </w:font>
  <w:font w:name="MinionPro-Regular">
    <w:altName w:val="Batang"/>
    <w:panose1 w:val="00000000000000000000"/>
    <w:charset w:val="81"/>
    <w:family w:val="auto"/>
    <w:notTrueType/>
    <w:pitch w:val="default"/>
    <w:sig w:usb0="00000001" w:usb1="09060000" w:usb2="00000010" w:usb3="00000000" w:csb0="00080000" w:csb1="00000000"/>
  </w:font>
  <w:font w:name="ArialMT">
    <w:altName w:val="MS Mincho"/>
    <w:panose1 w:val="00000000000000000000"/>
    <w:charset w:val="80"/>
    <w:family w:val="auto"/>
    <w:notTrueType/>
    <w:pitch w:val="default"/>
    <w:sig w:usb0="00000001" w:usb1="08070000" w:usb2="00000010" w:usb3="00000000" w:csb0="00020000" w:csb1="00000000"/>
  </w:font>
  <w:font w:name="TimesNewRoman">
    <w:altName w:val="MS Mincho"/>
    <w:panose1 w:val="00000000000000000000"/>
    <w:charset w:val="80"/>
    <w:family w:val="auto"/>
    <w:notTrueType/>
    <w:pitch w:val="default"/>
    <w:sig w:usb0="00000001" w:usb1="08070000" w:usb2="00000010" w:usb3="00000000" w:csb0="00020000" w:csb1="00000000"/>
  </w:font>
  <w:font w:name="ヒラギノ角ゴ Pro W3">
    <w:altName w:val="MS Mincho"/>
    <w:charset w:val="4E"/>
    <w:family w:val="auto"/>
    <w:pitch w:val="variable"/>
    <w:sig w:usb0="00000000"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5613143"/>
      <w:docPartObj>
        <w:docPartGallery w:val="Page Numbers (Bottom of Page)"/>
        <w:docPartUnique/>
      </w:docPartObj>
    </w:sdtPr>
    <w:sdtContent>
      <w:p w:rsidR="005F684D" w:rsidRDefault="00CE2EED">
        <w:pPr>
          <w:pStyle w:val="Pidipagina"/>
          <w:jc w:val="center"/>
        </w:pPr>
        <w:r>
          <w:fldChar w:fldCharType="begin"/>
        </w:r>
        <w:r w:rsidR="00F202EC">
          <w:instrText xml:space="preserve"> PAGE   \* MERGEFORMAT </w:instrText>
        </w:r>
        <w:r>
          <w:fldChar w:fldCharType="separate"/>
        </w:r>
        <w:r w:rsidR="005B18C2">
          <w:rPr>
            <w:noProof/>
          </w:rPr>
          <w:t>6</w:t>
        </w:r>
        <w:r>
          <w:rPr>
            <w:noProof/>
          </w:rPr>
          <w:fldChar w:fldCharType="end"/>
        </w:r>
      </w:p>
    </w:sdtContent>
  </w:sdt>
  <w:p w:rsidR="005F684D" w:rsidRDefault="005F684D">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3B6E" w:rsidRDefault="00E23B6E" w:rsidP="005F684D">
      <w:pPr>
        <w:spacing w:after="0"/>
      </w:pPr>
      <w:r>
        <w:separator/>
      </w:r>
    </w:p>
  </w:footnote>
  <w:footnote w:type="continuationSeparator" w:id="1">
    <w:p w:rsidR="00E23B6E" w:rsidRDefault="00E23B6E" w:rsidP="005F684D">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8F3F4A"/>
    <w:multiLevelType w:val="multilevel"/>
    <w:tmpl w:val="5E544406"/>
    <w:lvl w:ilvl="0">
      <w:start w:val="1"/>
      <w:numFmt w:val="decimal"/>
      <w:lvlText w:val="%1."/>
      <w:lvlJc w:val="left"/>
      <w:pPr>
        <w:ind w:left="720" w:hanging="360"/>
      </w:pPr>
      <w:rPr>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55921369"/>
    <w:multiLevelType w:val="hybridMultilevel"/>
    <w:tmpl w:val="96CC98E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6F0607D1"/>
    <w:multiLevelType w:val="hybridMultilevel"/>
    <w:tmpl w:val="2D0A5592"/>
    <w:lvl w:ilvl="0" w:tplc="D3C24D76">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761269FA"/>
    <w:multiLevelType w:val="hybridMultilevel"/>
    <w:tmpl w:val="0E5093EA"/>
    <w:lvl w:ilvl="0" w:tplc="2550F642">
      <w:start w:val="12"/>
      <w:numFmt w:val="decimal"/>
      <w:lvlText w:val="%1."/>
      <w:lvlJc w:val="left"/>
      <w:pPr>
        <w:ind w:left="360" w:hanging="360"/>
      </w:pPr>
      <w:rPr>
        <w:rFonts w:hint="default"/>
        <w:b w:val="0"/>
      </w:rPr>
    </w:lvl>
    <w:lvl w:ilvl="1" w:tplc="04100019">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footnotePr>
    <w:footnote w:id="0"/>
    <w:footnote w:id="1"/>
  </w:footnotePr>
  <w:endnotePr>
    <w:endnote w:id="0"/>
    <w:endnote w:id="1"/>
  </w:endnotePr>
  <w:compat/>
  <w:rsids>
    <w:rsidRoot w:val="00BB0D1C"/>
    <w:rsid w:val="00011D6F"/>
    <w:rsid w:val="000339C5"/>
    <w:rsid w:val="000847A5"/>
    <w:rsid w:val="000A04ED"/>
    <w:rsid w:val="000C1688"/>
    <w:rsid w:val="000C717A"/>
    <w:rsid w:val="000F2473"/>
    <w:rsid w:val="000F6BF3"/>
    <w:rsid w:val="0010266B"/>
    <w:rsid w:val="00127631"/>
    <w:rsid w:val="00187347"/>
    <w:rsid w:val="001B0673"/>
    <w:rsid w:val="001D2D14"/>
    <w:rsid w:val="001F73FA"/>
    <w:rsid w:val="00213748"/>
    <w:rsid w:val="002363C0"/>
    <w:rsid w:val="00247937"/>
    <w:rsid w:val="002547F6"/>
    <w:rsid w:val="0026709D"/>
    <w:rsid w:val="002944A3"/>
    <w:rsid w:val="002C499F"/>
    <w:rsid w:val="002D3859"/>
    <w:rsid w:val="002D3B0A"/>
    <w:rsid w:val="00336F06"/>
    <w:rsid w:val="00352023"/>
    <w:rsid w:val="0035737E"/>
    <w:rsid w:val="003A2526"/>
    <w:rsid w:val="003D2FC5"/>
    <w:rsid w:val="003E5FD1"/>
    <w:rsid w:val="003F221A"/>
    <w:rsid w:val="00404AF8"/>
    <w:rsid w:val="0040521A"/>
    <w:rsid w:val="004131BD"/>
    <w:rsid w:val="00414E8D"/>
    <w:rsid w:val="0048010D"/>
    <w:rsid w:val="00487E76"/>
    <w:rsid w:val="004A6127"/>
    <w:rsid w:val="004A73E2"/>
    <w:rsid w:val="004B5B67"/>
    <w:rsid w:val="004B7ED7"/>
    <w:rsid w:val="00504EEB"/>
    <w:rsid w:val="00505EE3"/>
    <w:rsid w:val="00512823"/>
    <w:rsid w:val="00540A7A"/>
    <w:rsid w:val="005558D7"/>
    <w:rsid w:val="00557384"/>
    <w:rsid w:val="005606C0"/>
    <w:rsid w:val="0056097C"/>
    <w:rsid w:val="0056189E"/>
    <w:rsid w:val="00563C35"/>
    <w:rsid w:val="00576E31"/>
    <w:rsid w:val="00593D3A"/>
    <w:rsid w:val="005B18C2"/>
    <w:rsid w:val="005B1D61"/>
    <w:rsid w:val="005D0848"/>
    <w:rsid w:val="005F684D"/>
    <w:rsid w:val="00630760"/>
    <w:rsid w:val="00635E64"/>
    <w:rsid w:val="0065012E"/>
    <w:rsid w:val="00657E20"/>
    <w:rsid w:val="00673151"/>
    <w:rsid w:val="006C78D7"/>
    <w:rsid w:val="006F1E31"/>
    <w:rsid w:val="0070436D"/>
    <w:rsid w:val="00723C04"/>
    <w:rsid w:val="00743886"/>
    <w:rsid w:val="007463D0"/>
    <w:rsid w:val="00746A29"/>
    <w:rsid w:val="007B59FF"/>
    <w:rsid w:val="007C46B3"/>
    <w:rsid w:val="007F759F"/>
    <w:rsid w:val="008052A9"/>
    <w:rsid w:val="008A20FA"/>
    <w:rsid w:val="008D6E24"/>
    <w:rsid w:val="008F3251"/>
    <w:rsid w:val="008F71AC"/>
    <w:rsid w:val="009049FE"/>
    <w:rsid w:val="009064FC"/>
    <w:rsid w:val="00940A64"/>
    <w:rsid w:val="009523F6"/>
    <w:rsid w:val="00955B69"/>
    <w:rsid w:val="009679A8"/>
    <w:rsid w:val="009B0369"/>
    <w:rsid w:val="009B4E92"/>
    <w:rsid w:val="009F2294"/>
    <w:rsid w:val="00A1470D"/>
    <w:rsid w:val="00A22F78"/>
    <w:rsid w:val="00A23AE0"/>
    <w:rsid w:val="00A60755"/>
    <w:rsid w:val="00A647B9"/>
    <w:rsid w:val="00A951A5"/>
    <w:rsid w:val="00A95E90"/>
    <w:rsid w:val="00AD34D1"/>
    <w:rsid w:val="00B26D98"/>
    <w:rsid w:val="00B455FF"/>
    <w:rsid w:val="00B60E01"/>
    <w:rsid w:val="00B646F1"/>
    <w:rsid w:val="00B6794C"/>
    <w:rsid w:val="00BA53B4"/>
    <w:rsid w:val="00BB0C44"/>
    <w:rsid w:val="00BB0D1C"/>
    <w:rsid w:val="00BB740F"/>
    <w:rsid w:val="00BF46B4"/>
    <w:rsid w:val="00C0143F"/>
    <w:rsid w:val="00C0340A"/>
    <w:rsid w:val="00C24D6F"/>
    <w:rsid w:val="00C31B22"/>
    <w:rsid w:val="00C369AD"/>
    <w:rsid w:val="00CC15C6"/>
    <w:rsid w:val="00CE10A5"/>
    <w:rsid w:val="00CE2C97"/>
    <w:rsid w:val="00CE2EED"/>
    <w:rsid w:val="00CE3F54"/>
    <w:rsid w:val="00D2741B"/>
    <w:rsid w:val="00D27F29"/>
    <w:rsid w:val="00D37EFA"/>
    <w:rsid w:val="00D54D5F"/>
    <w:rsid w:val="00D56FF6"/>
    <w:rsid w:val="00D6219F"/>
    <w:rsid w:val="00D873E2"/>
    <w:rsid w:val="00DE32C3"/>
    <w:rsid w:val="00DE4447"/>
    <w:rsid w:val="00E031CC"/>
    <w:rsid w:val="00E223A2"/>
    <w:rsid w:val="00E23B6E"/>
    <w:rsid w:val="00E509FB"/>
    <w:rsid w:val="00E55C8B"/>
    <w:rsid w:val="00E6394A"/>
    <w:rsid w:val="00E641C5"/>
    <w:rsid w:val="00E85FC7"/>
    <w:rsid w:val="00E87746"/>
    <w:rsid w:val="00EA2469"/>
    <w:rsid w:val="00EB2700"/>
    <w:rsid w:val="00ED1823"/>
    <w:rsid w:val="00F202EC"/>
    <w:rsid w:val="00F41C34"/>
    <w:rsid w:val="00F45F14"/>
    <w:rsid w:val="00F9368D"/>
    <w:rsid w:val="00FB4D89"/>
    <w:rsid w:val="00FD499E"/>
    <w:rsid w:val="00FE5F01"/>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B0D1C"/>
    <w:pPr>
      <w:spacing w:line="240" w:lineRule="auto"/>
    </w:pPr>
    <w:rPr>
      <w:sz w:val="24"/>
      <w:szCs w:val="24"/>
      <w:lang w:val="en-US"/>
    </w:rPr>
  </w:style>
  <w:style w:type="paragraph" w:styleId="Titolo1">
    <w:name w:val="heading 1"/>
    <w:basedOn w:val="Normale"/>
    <w:link w:val="Titolo1Carattere"/>
    <w:uiPriority w:val="9"/>
    <w:qFormat/>
    <w:rsid w:val="00B6794C"/>
    <w:pPr>
      <w:spacing w:before="100" w:beforeAutospacing="1" w:after="100" w:afterAutospacing="1"/>
      <w:outlineLvl w:val="0"/>
    </w:pPr>
    <w:rPr>
      <w:rFonts w:ascii="Times New Roman" w:eastAsia="Times New Roman" w:hAnsi="Times New Roman" w:cs="Times New Roman"/>
      <w:b/>
      <w:bCs/>
      <w:kern w:val="36"/>
      <w:sz w:val="48"/>
      <w:szCs w:val="48"/>
      <w:lang w:val="it-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corsivo">
    <w:name w:val="Emphasis"/>
    <w:basedOn w:val="Carpredefinitoparagrafo"/>
    <w:uiPriority w:val="20"/>
    <w:qFormat/>
    <w:rsid w:val="00BB0D1C"/>
    <w:rPr>
      <w:b/>
      <w:bCs/>
      <w:i w:val="0"/>
      <w:iCs w:val="0"/>
    </w:rPr>
  </w:style>
  <w:style w:type="character" w:customStyle="1" w:styleId="st1">
    <w:name w:val="st1"/>
    <w:basedOn w:val="Carpredefinitoparagrafo"/>
    <w:rsid w:val="00BB0D1C"/>
  </w:style>
  <w:style w:type="character" w:styleId="Collegamentoipertestuale">
    <w:name w:val="Hyperlink"/>
    <w:basedOn w:val="Carpredefinitoparagrafo"/>
    <w:uiPriority w:val="99"/>
    <w:unhideWhenUsed/>
    <w:rsid w:val="00BB0D1C"/>
    <w:rPr>
      <w:strike w:val="0"/>
      <w:dstrike w:val="0"/>
      <w:color w:val="3C63AF"/>
      <w:u w:val="none"/>
      <w:effect w:val="none"/>
    </w:rPr>
  </w:style>
  <w:style w:type="paragraph" w:styleId="Intestazione">
    <w:name w:val="header"/>
    <w:basedOn w:val="Normale"/>
    <w:link w:val="IntestazioneCarattere"/>
    <w:uiPriority w:val="99"/>
    <w:semiHidden/>
    <w:unhideWhenUsed/>
    <w:rsid w:val="005F684D"/>
    <w:pPr>
      <w:tabs>
        <w:tab w:val="center" w:pos="4819"/>
        <w:tab w:val="right" w:pos="9638"/>
      </w:tabs>
      <w:spacing w:after="0"/>
    </w:pPr>
  </w:style>
  <w:style w:type="character" w:customStyle="1" w:styleId="IntestazioneCarattere">
    <w:name w:val="Intestazione Carattere"/>
    <w:basedOn w:val="Carpredefinitoparagrafo"/>
    <w:link w:val="Intestazione"/>
    <w:uiPriority w:val="99"/>
    <w:semiHidden/>
    <w:rsid w:val="005F684D"/>
    <w:rPr>
      <w:sz w:val="24"/>
      <w:szCs w:val="24"/>
      <w:lang w:val="en-US"/>
    </w:rPr>
  </w:style>
  <w:style w:type="paragraph" w:styleId="Pidipagina">
    <w:name w:val="footer"/>
    <w:basedOn w:val="Normale"/>
    <w:link w:val="PidipaginaCarattere"/>
    <w:uiPriority w:val="99"/>
    <w:unhideWhenUsed/>
    <w:rsid w:val="005F684D"/>
    <w:pPr>
      <w:tabs>
        <w:tab w:val="center" w:pos="4819"/>
        <w:tab w:val="right" w:pos="9638"/>
      </w:tabs>
      <w:spacing w:after="0"/>
    </w:pPr>
  </w:style>
  <w:style w:type="character" w:customStyle="1" w:styleId="PidipaginaCarattere">
    <w:name w:val="Piè di pagina Carattere"/>
    <w:basedOn w:val="Carpredefinitoparagrafo"/>
    <w:link w:val="Pidipagina"/>
    <w:uiPriority w:val="99"/>
    <w:rsid w:val="005F684D"/>
    <w:rPr>
      <w:sz w:val="24"/>
      <w:szCs w:val="24"/>
      <w:lang w:val="en-US"/>
    </w:rPr>
  </w:style>
  <w:style w:type="paragraph" w:styleId="Paragrafoelenco">
    <w:name w:val="List Paragraph"/>
    <w:basedOn w:val="Normale"/>
    <w:uiPriority w:val="34"/>
    <w:qFormat/>
    <w:rsid w:val="00EA2469"/>
    <w:pPr>
      <w:spacing w:after="0"/>
      <w:ind w:left="720"/>
      <w:contextualSpacing/>
    </w:pPr>
    <w:rPr>
      <w:rFonts w:ascii="Times New Roman" w:eastAsia="Times New Roman" w:hAnsi="Times New Roman" w:cs="Times New Roman"/>
      <w:lang w:val="it-IT" w:eastAsia="it-IT"/>
    </w:rPr>
  </w:style>
  <w:style w:type="character" w:styleId="Rimandocommento">
    <w:name w:val="annotation reference"/>
    <w:basedOn w:val="Carpredefinitoparagrafo"/>
    <w:uiPriority w:val="99"/>
    <w:semiHidden/>
    <w:unhideWhenUsed/>
    <w:rsid w:val="00D37EFA"/>
    <w:rPr>
      <w:sz w:val="18"/>
      <w:szCs w:val="18"/>
    </w:rPr>
  </w:style>
  <w:style w:type="paragraph" w:styleId="Testocommento">
    <w:name w:val="annotation text"/>
    <w:basedOn w:val="Normale"/>
    <w:link w:val="TestocommentoCarattere"/>
    <w:uiPriority w:val="99"/>
    <w:semiHidden/>
    <w:unhideWhenUsed/>
    <w:rsid w:val="00D37EFA"/>
  </w:style>
  <w:style w:type="character" w:customStyle="1" w:styleId="TestocommentoCarattere">
    <w:name w:val="Testo commento Carattere"/>
    <w:basedOn w:val="Carpredefinitoparagrafo"/>
    <w:link w:val="Testocommento"/>
    <w:uiPriority w:val="99"/>
    <w:semiHidden/>
    <w:rsid w:val="00D37EFA"/>
    <w:rPr>
      <w:sz w:val="24"/>
      <w:szCs w:val="24"/>
      <w:lang w:val="en-US"/>
    </w:rPr>
  </w:style>
  <w:style w:type="character" w:customStyle="1" w:styleId="apple-converted-space">
    <w:name w:val="apple-converted-space"/>
    <w:basedOn w:val="Carpredefinitoparagrafo"/>
    <w:rsid w:val="00A95E90"/>
  </w:style>
  <w:style w:type="character" w:customStyle="1" w:styleId="Titolo1Carattere">
    <w:name w:val="Titolo 1 Carattere"/>
    <w:basedOn w:val="Carpredefinitoparagrafo"/>
    <w:link w:val="Titolo1"/>
    <w:uiPriority w:val="9"/>
    <w:rsid w:val="00B6794C"/>
    <w:rPr>
      <w:rFonts w:ascii="Times New Roman" w:eastAsia="Times New Roman" w:hAnsi="Times New Roman" w:cs="Times New Roman"/>
      <w:b/>
      <w:bCs/>
      <w:kern w:val="36"/>
      <w:sz w:val="48"/>
      <w:szCs w:val="48"/>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84383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genuity.com/" TargetMode="External"/><Relationship Id="rId13" Type="http://schemas.openxmlformats.org/officeDocument/2006/relationships/hyperlink" Target="http://www.ncbi.nlm.nih.gov/pubmed/24747911" TargetMode="Externa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cbi.nlm.nih.gov/pubmed/?term=Schoumacher%20M%5BAuthor%5D&amp;cauthor=true&amp;cauthor_uid=2474791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cbi.nlm.nih.gov/pubmed/24286138"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ncbi.nlm.nih.gov/pubmed/24866438" TargetMode="External"/><Relationship Id="rId4" Type="http://schemas.openxmlformats.org/officeDocument/2006/relationships/settings" Target="settings.xml"/><Relationship Id="rId9" Type="http://schemas.openxmlformats.org/officeDocument/2006/relationships/hyperlink" Target="http://www.ingenuity.com" TargetMode="External"/><Relationship Id="rId14" Type="http://schemas.openxmlformats.org/officeDocument/2006/relationships/hyperlink" Target="http://www.ncbi.nlm.nih.gov/pubmed/23798430"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594868-170F-46A4-A304-358A7DEAB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627</TotalTime>
  <Pages>8</Pages>
  <Words>2951</Words>
  <Characters>16826</Characters>
  <Application>Microsoft Office Word</Application>
  <DocSecurity>0</DocSecurity>
  <Lines>140</Lines>
  <Paragraphs>39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19738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Postazione4</dc:creator>
  <cp:lastModifiedBy>Postazione4</cp:lastModifiedBy>
  <cp:revision>63</cp:revision>
  <dcterms:created xsi:type="dcterms:W3CDTF">2015-04-28T05:36:00Z</dcterms:created>
  <dcterms:modified xsi:type="dcterms:W3CDTF">2015-09-21T08:38:00Z</dcterms:modified>
</cp:coreProperties>
</file>