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947" w:rsidRPr="00C15947" w:rsidRDefault="00C15947" w:rsidP="00C15947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C15947">
        <w:rPr>
          <w:rFonts w:ascii="Times New Roman" w:hAnsi="Times New Roman" w:cs="Times New Roman"/>
          <w:b/>
          <w:sz w:val="32"/>
          <w:szCs w:val="32"/>
        </w:rPr>
        <w:t>Sulfasalazine attenuates</w:t>
      </w:r>
      <w:r w:rsidRPr="00C15947">
        <w:t xml:space="preserve"> </w:t>
      </w:r>
      <w:r w:rsidRPr="00C15947">
        <w:rPr>
          <w:rFonts w:ascii="Times New Roman" w:hAnsi="Times New Roman" w:cs="Times New Roman"/>
          <w:b/>
          <w:sz w:val="32"/>
          <w:szCs w:val="32"/>
        </w:rPr>
        <w:t xml:space="preserve">evading anticancer </w:t>
      </w:r>
      <w:r w:rsidRPr="00C15947">
        <w:rPr>
          <w:rFonts w:ascii="Times New Roman" w:hAnsi="Times New Roman" w:cs="Times New Roman" w:hint="eastAsia"/>
          <w:b/>
          <w:sz w:val="32"/>
          <w:szCs w:val="32"/>
        </w:rPr>
        <w:t>response</w:t>
      </w:r>
      <w:r w:rsidRPr="00C15947">
        <w:rPr>
          <w:rFonts w:ascii="Times New Roman" w:hAnsi="Times New Roman" w:cs="Times New Roman"/>
          <w:b/>
          <w:sz w:val="32"/>
          <w:szCs w:val="32"/>
        </w:rPr>
        <w:t xml:space="preserve"> of CD133</w:t>
      </w:r>
      <w:r w:rsidRPr="00C15947">
        <w:rPr>
          <w:rFonts w:ascii="Times New Roman" w:hAnsi="Times New Roman" w:cs="Times New Roman" w:hint="eastAsia"/>
          <w:b/>
          <w:sz w:val="32"/>
          <w:szCs w:val="32"/>
        </w:rPr>
        <w:t>-positive</w:t>
      </w:r>
      <w:r w:rsidRPr="00C15947">
        <w:rPr>
          <w:rFonts w:ascii="Times New Roman" w:hAnsi="Times New Roman" w:cs="Times New Roman"/>
          <w:b/>
          <w:sz w:val="32"/>
          <w:szCs w:val="32"/>
          <w:vertAlign w:val="superscript"/>
        </w:rPr>
        <w:t xml:space="preserve"> </w:t>
      </w:r>
      <w:r w:rsidRPr="00C15947">
        <w:rPr>
          <w:rFonts w:ascii="Times New Roman" w:hAnsi="Times New Roman" w:cs="Times New Roman"/>
          <w:b/>
          <w:sz w:val="32"/>
          <w:szCs w:val="32"/>
        </w:rPr>
        <w:t xml:space="preserve">hepatocellular carcinoma </w:t>
      </w:r>
      <w:r w:rsidRPr="00C15947">
        <w:rPr>
          <w:rFonts w:ascii="Times New Roman" w:hAnsi="Times New Roman" w:cs="Times New Roman" w:hint="eastAsia"/>
          <w:b/>
          <w:sz w:val="32"/>
          <w:szCs w:val="32"/>
        </w:rPr>
        <w:t>cells</w:t>
      </w:r>
    </w:p>
    <w:p w:rsidR="00B92CDE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  <w:r w:rsidRPr="00780846"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  <w:t xml:space="preserve">SUPPLEMENTARY FIGURE AND TABLE </w:t>
      </w:r>
    </w:p>
    <w:p w:rsidR="00B92CDE" w:rsidRDefault="00B92CDE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927100</wp:posOffset>
            </wp:positionH>
            <wp:positionV relativeFrom="paragraph">
              <wp:posOffset>310515</wp:posOffset>
            </wp:positionV>
            <wp:extent cx="4359596" cy="2196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596" cy="21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  <w:r w:rsidRPr="007B4C9D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 w:rsidR="00B92CD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Liver cancer stem cell (LCSC) spheroids express a lower level of hepatocyte-related mRNA and higher level of stem cell-related mRNA compared to hepatocellular carcinoma cell (HCC) spheroids. </w:t>
      </w:r>
      <w:r>
        <w:rPr>
          <w:rFonts w:ascii="Times New Roman" w:hAnsi="Times New Roman" w:cs="Times New Roman"/>
          <w:sz w:val="24"/>
          <w:szCs w:val="24"/>
        </w:rPr>
        <w:t xml:space="preserve">Expression of hepatocyte-related genes (ALB, HNF1a) and stem cell-related genes (OCT4, TERT) in HCC spheroids and LCSC spheroids using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realtime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PCR. Values were normalized to GAPDH. Data are shown as means ± SD from two independent experiments with duplicates. *P&lt;0.05.</w:t>
      </w: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C15947" w:rsidRDefault="00B92CDE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  <w:r w:rsidRPr="00B92C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552BC2" wp14:editId="762E265C">
            <wp:extent cx="5943600" cy="2188210"/>
            <wp:effectExtent l="0" t="0" r="0" b="2540"/>
            <wp:docPr id="3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CDE" w:rsidRPr="00B92CDE" w:rsidRDefault="00B92CDE" w:rsidP="00C15947">
      <w:pPr>
        <w:spacing w:after="0" w:line="360" w:lineRule="auto"/>
        <w:ind w:rightChars="100" w:right="200"/>
        <w:rPr>
          <w:rFonts w:ascii="Times New Roman" w:hAnsi="Times New Roman" w:cs="Times New Roman"/>
          <w:b/>
          <w:sz w:val="24"/>
          <w:szCs w:val="24"/>
        </w:rPr>
      </w:pPr>
    </w:p>
    <w:p w:rsidR="00B92CDE" w:rsidRDefault="00B92CDE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  <w:r w:rsidRPr="00B92CDE">
        <w:rPr>
          <w:rFonts w:ascii="Times New Roman" w:hAnsi="Times New Roman" w:cs="Times New Roman"/>
          <w:b/>
          <w:sz w:val="24"/>
          <w:szCs w:val="24"/>
        </w:rPr>
        <w:t xml:space="preserve">Supplementary Figure 2. LCSC spheroids have strong resistance to anti-cancer drugs compared to HCC spheroid. </w:t>
      </w:r>
      <w:r>
        <w:rPr>
          <w:rFonts w:ascii="Times New Roman" w:hAnsi="Times New Roman" w:cs="Times New Roman"/>
          <w:sz w:val="24"/>
          <w:szCs w:val="24"/>
        </w:rPr>
        <w:t>LCSC spheroid and HCC spheroid were treated with 100nM of Taxol (left) and 1µM of Etoposide (ri</w:t>
      </w:r>
      <w:r w:rsidR="00C8438E">
        <w:rPr>
          <w:rFonts w:ascii="Times New Roman" w:hAnsi="Times New Roman" w:cs="Times New Roman"/>
          <w:sz w:val="24"/>
          <w:szCs w:val="24"/>
        </w:rPr>
        <w:t>ght). Images were taken on day 8</w:t>
      </w:r>
      <w:r>
        <w:rPr>
          <w:rFonts w:ascii="Times New Roman" w:hAnsi="Times New Roman" w:cs="Times New Roman"/>
          <w:sz w:val="24"/>
          <w:szCs w:val="24"/>
        </w:rPr>
        <w:t xml:space="preserve"> of drug treatment. Scale bar = 200µm.</w:t>
      </w:r>
    </w:p>
    <w:p w:rsidR="00B92CDE" w:rsidRDefault="00B92CDE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B92CDE" w:rsidRDefault="00B92CDE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B92CDE" w:rsidRDefault="00B92CDE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B92CDE" w:rsidRPr="00B92CDE" w:rsidRDefault="00B92CDE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B92CDE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Malgun Gothic" w:hAnsi="Times New Roman" w:cs="Times New Roman"/>
          <w:b/>
          <w:noProof/>
          <w:color w:val="000000" w:themeColor="text1"/>
          <w:sz w:val="24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295275</wp:posOffset>
            </wp:positionV>
            <wp:extent cx="2061859" cy="3600000"/>
            <wp:effectExtent l="0" t="0" r="0" b="635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59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2CDE" w:rsidRDefault="00B92CDE" w:rsidP="00C15947">
      <w:pPr>
        <w:spacing w:after="0" w:line="360" w:lineRule="auto"/>
        <w:ind w:rightChars="100" w:right="200"/>
        <w:rPr>
          <w:rFonts w:ascii="Times New Roman" w:hAnsi="Times New Roman" w:cs="Times New Roman"/>
          <w:b/>
          <w:sz w:val="24"/>
          <w:szCs w:val="24"/>
        </w:rPr>
      </w:pP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  <w:r w:rsidRPr="006E0EDD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 w:rsidR="00B92CDE">
        <w:rPr>
          <w:rFonts w:ascii="Times New Roman" w:hAnsi="Times New Roman" w:cs="Times New Roman"/>
          <w:b/>
          <w:sz w:val="24"/>
          <w:szCs w:val="24"/>
        </w:rPr>
        <w:t>3</w:t>
      </w:r>
      <w:r w:rsidRPr="006E0ED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9D">
        <w:rPr>
          <w:rFonts w:ascii="Times New Roman" w:hAnsi="Times New Roman" w:cs="Times New Roman"/>
          <w:b/>
          <w:sz w:val="24"/>
          <w:szCs w:val="24"/>
        </w:rPr>
        <w:t xml:space="preserve">Knockdown of CD133 (Depletion of CD133) </w:t>
      </w:r>
      <w:r>
        <w:rPr>
          <w:rFonts w:ascii="Times New Roman" w:hAnsi="Times New Roman" w:cs="Times New Roman"/>
          <w:b/>
          <w:sz w:val="24"/>
          <w:szCs w:val="24"/>
        </w:rPr>
        <w:t>does</w:t>
      </w:r>
      <w:r w:rsidRPr="007B4C9D">
        <w:rPr>
          <w:rFonts w:ascii="Times New Roman" w:hAnsi="Times New Roman" w:cs="Times New Roman"/>
          <w:b/>
          <w:sz w:val="24"/>
          <w:szCs w:val="24"/>
        </w:rPr>
        <w:t xml:space="preserve"> not affect the antioxidant gene in </w:t>
      </w:r>
      <w:r>
        <w:rPr>
          <w:rFonts w:ascii="Times New Roman" w:hAnsi="Times New Roman" w:cs="Times New Roman"/>
          <w:b/>
          <w:sz w:val="24"/>
          <w:szCs w:val="24"/>
        </w:rPr>
        <w:t>HCC</w:t>
      </w:r>
      <w:r w:rsidRPr="007B4C9D">
        <w:rPr>
          <w:rFonts w:ascii="Times New Roman" w:hAnsi="Times New Roman" w:cs="Times New Roman"/>
          <w:sz w:val="24"/>
          <w:szCs w:val="24"/>
        </w:rPr>
        <w:t>. Expression of the indicated antioxidant enzyme genes in Hu</w:t>
      </w:r>
      <w:r>
        <w:rPr>
          <w:rFonts w:ascii="Times New Roman" w:hAnsi="Times New Roman" w:cs="Times New Roman"/>
          <w:sz w:val="24"/>
          <w:szCs w:val="24"/>
        </w:rPr>
        <w:t xml:space="preserve">h7 cells transfected with </w:t>
      </w:r>
      <w:r w:rsidRPr="007B4C9D">
        <w:rPr>
          <w:rFonts w:ascii="Times New Roman" w:hAnsi="Times New Roman" w:cs="Times New Roman"/>
          <w:sz w:val="24"/>
          <w:szCs w:val="24"/>
        </w:rPr>
        <w:t>siRNA (</w:t>
      </w:r>
      <w:proofErr w:type="spellStart"/>
      <w:r w:rsidRPr="007B4C9D">
        <w:rPr>
          <w:rFonts w:ascii="Times New Roman" w:hAnsi="Times New Roman" w:cs="Times New Roman"/>
          <w:sz w:val="24"/>
          <w:szCs w:val="24"/>
        </w:rPr>
        <w:t>siCont</w:t>
      </w:r>
      <w:proofErr w:type="spellEnd"/>
      <w:r w:rsidRPr="007B4C9D">
        <w:rPr>
          <w:rFonts w:ascii="Times New Roman" w:hAnsi="Times New Roman" w:cs="Times New Roman"/>
          <w:sz w:val="24"/>
          <w:szCs w:val="24"/>
        </w:rPr>
        <w:t xml:space="preserve">, siCD133). Total RNA isolated from the Huh7-siCont and Huh7-siCD133 cells was subjected to RT-PCR analysis with primers related to antioxidant enzymes. Expression of the gene for </w:t>
      </w:r>
      <w:r>
        <w:rPr>
          <w:rFonts w:ascii="Times New Roman" w:hAnsi="Times New Roman" w:cs="Times New Roman"/>
          <w:sz w:val="24"/>
          <w:szCs w:val="24"/>
        </w:rPr>
        <w:t xml:space="preserve">GAPDH </w:t>
      </w:r>
      <w:r w:rsidRPr="007B4C9D">
        <w:rPr>
          <w:rFonts w:ascii="Times New Roman" w:hAnsi="Times New Roman" w:cs="Times New Roman"/>
          <w:sz w:val="24"/>
          <w:szCs w:val="24"/>
        </w:rPr>
        <w:t>was examined as a control.</w:t>
      </w:r>
    </w:p>
    <w:p w:rsidR="00C15947" w:rsidRDefault="00C15947" w:rsidP="00C15947">
      <w:pPr>
        <w:spacing w:after="0" w:line="360" w:lineRule="auto"/>
        <w:ind w:rightChars="100" w:right="200"/>
        <w:rPr>
          <w:rFonts w:ascii="Times New Roman" w:hAnsi="Times New Roman" w:cs="Times New Roman"/>
          <w:sz w:val="24"/>
          <w:szCs w:val="24"/>
        </w:rPr>
      </w:pP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44489A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eastAsia="Malgun Gothic" w:hAnsi="Times New Roman" w:cs="Times New Roman"/>
          <w:b/>
          <w:noProof/>
          <w:color w:val="000000" w:themeColor="text1"/>
          <w:sz w:val="24"/>
          <w:szCs w:val="32"/>
        </w:rPr>
        <w:lastRenderedPageBreak/>
        <w:drawing>
          <wp:inline distT="0" distB="0" distL="0" distR="0" wp14:anchorId="52AD24EA">
            <wp:extent cx="5900120" cy="2520000"/>
            <wp:effectExtent l="0" t="0" r="5715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12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  <w:t xml:space="preserve">Supplementary Figure </w:t>
      </w:r>
      <w:r w:rsidR="000F12A9"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  <w:t>4</w:t>
      </w:r>
      <w:r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  <w:t xml:space="preserve">. </w:t>
      </w:r>
      <w:r w:rsidR="0044489A"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  <w:t>Sulfasalazine (</w:t>
      </w:r>
      <w:r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  <w:t>SASP</w:t>
      </w:r>
      <w:r w:rsidR="0044489A"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  <w:t>)</w:t>
      </w:r>
      <w:r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  <w:t xml:space="preserve"> inhibits activity of GSH in CD133-positive cells specifically.</w:t>
      </w:r>
      <w:r w:rsidR="0044489A"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  <w:t xml:space="preserve"> </w:t>
      </w:r>
      <w:r w:rsidR="0044489A">
        <w:rPr>
          <w:rFonts w:ascii="Times New Roman" w:eastAsia="Malgun Gothic" w:hAnsi="Times New Roman" w:cs="Times New Roman"/>
          <w:color w:val="000000" w:themeColor="text1"/>
          <w:sz w:val="24"/>
          <w:szCs w:val="32"/>
        </w:rPr>
        <w:t xml:space="preserve">GSH activity was measured by treating with the indicated concentration of (A) </w:t>
      </w:r>
      <w:proofErr w:type="spellStart"/>
      <w:r w:rsidR="0044489A">
        <w:rPr>
          <w:rFonts w:ascii="Times New Roman" w:eastAsia="Malgun Gothic" w:hAnsi="Times New Roman" w:cs="Times New Roman"/>
          <w:color w:val="000000" w:themeColor="text1"/>
          <w:sz w:val="24"/>
          <w:szCs w:val="32"/>
        </w:rPr>
        <w:t>guthionine</w:t>
      </w:r>
      <w:proofErr w:type="spellEnd"/>
      <w:r w:rsidR="0044489A">
        <w:rPr>
          <w:rFonts w:ascii="Times New Roman" w:eastAsia="Malgun Gothic" w:hAnsi="Times New Roman" w:cs="Times New Roman"/>
          <w:color w:val="000000" w:themeColor="text1"/>
          <w:sz w:val="24"/>
          <w:szCs w:val="32"/>
        </w:rPr>
        <w:t xml:space="preserve"> </w:t>
      </w:r>
      <w:proofErr w:type="spellStart"/>
      <w:r w:rsidR="0044489A">
        <w:rPr>
          <w:rFonts w:ascii="Times New Roman" w:eastAsia="Malgun Gothic" w:hAnsi="Times New Roman" w:cs="Times New Roman"/>
          <w:color w:val="000000" w:themeColor="text1"/>
          <w:sz w:val="24"/>
          <w:szCs w:val="32"/>
        </w:rPr>
        <w:t>sulphoximine</w:t>
      </w:r>
      <w:proofErr w:type="spellEnd"/>
      <w:r w:rsidR="0044489A">
        <w:rPr>
          <w:rFonts w:ascii="Times New Roman" w:eastAsia="Malgun Gothic" w:hAnsi="Times New Roman" w:cs="Times New Roman"/>
          <w:color w:val="000000" w:themeColor="text1"/>
          <w:sz w:val="24"/>
          <w:szCs w:val="32"/>
        </w:rPr>
        <w:t xml:space="preserve"> (BSO), and (B) SASP for 24hr in CD133-negative and CD133-positive HCC cells. </w:t>
      </w:r>
      <w:r w:rsidR="0044489A" w:rsidRPr="00F552C7">
        <w:rPr>
          <w:rFonts w:ascii="Times New Roman" w:hAnsi="Times New Roman" w:cs="Times New Roman"/>
          <w:sz w:val="24"/>
          <w:szCs w:val="24"/>
        </w:rPr>
        <w:t>All data are mean values ± SD from two independent experiments. *p&lt;0.05, **p&lt;0.005.</w:t>
      </w:r>
      <w:r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  <w:t xml:space="preserve"> </w:t>
      </w:r>
    </w:p>
    <w:p w:rsidR="00C15947" w:rsidRDefault="00C15947" w:rsidP="00C15947">
      <w:pPr>
        <w:spacing w:line="360" w:lineRule="auto"/>
        <w:rPr>
          <w:rFonts w:ascii="Times New Roman" w:eastAsia="Malgun Gothic" w:hAnsi="Times New Roman" w:cs="Times New Roman"/>
          <w:b/>
          <w:color w:val="000000" w:themeColor="text1"/>
          <w:sz w:val="24"/>
          <w:szCs w:val="32"/>
        </w:rPr>
      </w:pPr>
    </w:p>
    <w:p w:rsidR="00C15947" w:rsidRDefault="00C15947">
      <w:pPr>
        <w:rPr>
          <w:rFonts w:ascii="Times New Roman" w:hAnsi="Times New Roman" w:cs="Times New Roman"/>
          <w:b/>
          <w:sz w:val="32"/>
        </w:rPr>
      </w:pPr>
    </w:p>
    <w:p w:rsidR="0086355C" w:rsidRPr="00C15947" w:rsidRDefault="0086355C">
      <w:pPr>
        <w:rPr>
          <w:rFonts w:ascii="Times New Roman" w:hAnsi="Times New Roman" w:cs="Times New Roman"/>
          <w:b/>
          <w:sz w:val="32"/>
        </w:rPr>
      </w:pPr>
    </w:p>
    <w:sectPr w:rsidR="0086355C" w:rsidRPr="00C159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947"/>
    <w:rsid w:val="000F12A9"/>
    <w:rsid w:val="0044489A"/>
    <w:rsid w:val="0086355C"/>
    <w:rsid w:val="00B92CDE"/>
    <w:rsid w:val="00C15947"/>
    <w:rsid w:val="00C8438E"/>
    <w:rsid w:val="00E4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C9681-4971-4C41-9896-B83D87E4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947"/>
    <w:pPr>
      <w:widowControl w:val="0"/>
      <w:wordWrap w:val="0"/>
      <w:autoSpaceDE w:val="0"/>
      <w:autoSpaceDN w:val="0"/>
      <w:jc w:val="both"/>
    </w:pPr>
    <w:rPr>
      <w:kern w:val="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594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yhsong</dc:creator>
  <cp:keywords/>
  <dc:description/>
  <cp:lastModifiedBy>yhsong</cp:lastModifiedBy>
  <cp:revision>5</cp:revision>
  <dcterms:created xsi:type="dcterms:W3CDTF">2017-02-02T00:35:00Z</dcterms:created>
  <dcterms:modified xsi:type="dcterms:W3CDTF">2017-02-02T05:19:00Z</dcterms:modified>
</cp:coreProperties>
</file>