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76D" w:rsidRPr="00E53C8C" w:rsidRDefault="0054276D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231F20"/>
          <w:sz w:val="24"/>
          <w:szCs w:val="24"/>
          <w:lang w:val="en-US"/>
        </w:rPr>
      </w:pPr>
      <w:r w:rsidRPr="00E53C8C">
        <w:rPr>
          <w:rFonts w:ascii="Times New Roman" w:hAnsi="Times New Roman"/>
          <w:b/>
          <w:color w:val="231F20"/>
          <w:sz w:val="24"/>
          <w:szCs w:val="24"/>
          <w:lang w:val="en-US"/>
        </w:rPr>
        <w:t xml:space="preserve">Additional </w:t>
      </w:r>
      <w:r w:rsidR="00D21E50" w:rsidRPr="00E53C8C">
        <w:rPr>
          <w:rFonts w:ascii="Times New Roman" w:hAnsi="Times New Roman"/>
          <w:b/>
          <w:color w:val="231F20"/>
          <w:sz w:val="24"/>
          <w:szCs w:val="24"/>
          <w:lang w:val="en-US"/>
        </w:rPr>
        <w:t>F</w:t>
      </w:r>
      <w:r w:rsidRPr="00E53C8C">
        <w:rPr>
          <w:rFonts w:ascii="Times New Roman" w:hAnsi="Times New Roman"/>
          <w:b/>
          <w:color w:val="231F20"/>
          <w:sz w:val="24"/>
          <w:szCs w:val="24"/>
          <w:lang w:val="en-US"/>
        </w:rPr>
        <w:t>ile 2</w:t>
      </w:r>
      <w:r w:rsidR="006C58AD" w:rsidRPr="00E53C8C">
        <w:rPr>
          <w:rFonts w:ascii="Times New Roman" w:hAnsi="Times New Roman"/>
          <w:b/>
          <w:color w:val="231F20"/>
          <w:sz w:val="24"/>
          <w:szCs w:val="24"/>
          <w:lang w:val="en-US"/>
        </w:rPr>
        <w:t xml:space="preserve">. </w:t>
      </w:r>
      <w:r w:rsidRPr="00E53C8C">
        <w:rPr>
          <w:rFonts w:ascii="Times New Roman" w:hAnsi="Times New Roman"/>
          <w:b/>
          <w:color w:val="231F20"/>
          <w:sz w:val="24"/>
          <w:szCs w:val="24"/>
          <w:lang w:val="en-US"/>
        </w:rPr>
        <w:t>Microarray processing</w:t>
      </w:r>
    </w:p>
    <w:p w:rsidR="00AD4C44" w:rsidRPr="00E53C8C" w:rsidRDefault="00AD4C44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231F20"/>
          <w:sz w:val="24"/>
          <w:szCs w:val="24"/>
          <w:u w:val="single"/>
          <w:lang w:val="en-US"/>
        </w:rPr>
      </w:pPr>
    </w:p>
    <w:p w:rsidR="00A85025" w:rsidRPr="00E53C8C" w:rsidRDefault="0054276D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231F20"/>
          <w:sz w:val="24"/>
          <w:szCs w:val="24"/>
          <w:lang w:val="en-US"/>
        </w:rPr>
      </w:pPr>
      <w:r w:rsidRPr="00E53C8C">
        <w:rPr>
          <w:rFonts w:ascii="Times New Roman" w:hAnsi="Times New Roman"/>
          <w:b/>
          <w:color w:val="231F20"/>
          <w:sz w:val="24"/>
          <w:szCs w:val="24"/>
          <w:lang w:val="en-US"/>
        </w:rPr>
        <w:t>Gene chip analysis on EOC tissue specimens</w:t>
      </w:r>
      <w:r w:rsidR="00D92FC4" w:rsidRPr="00E53C8C">
        <w:rPr>
          <w:rFonts w:ascii="Times New Roman" w:hAnsi="Times New Roman"/>
          <w:b/>
          <w:color w:val="231F20"/>
          <w:sz w:val="24"/>
          <w:szCs w:val="24"/>
          <w:lang w:val="en-US"/>
        </w:rPr>
        <w:t xml:space="preserve"> </w:t>
      </w:r>
    </w:p>
    <w:p w:rsidR="00A85025" w:rsidRPr="00E53C8C" w:rsidRDefault="00A85025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231F20"/>
          <w:sz w:val="24"/>
          <w:szCs w:val="24"/>
          <w:lang w:val="en-GB"/>
        </w:rPr>
      </w:pPr>
      <w:r w:rsidRPr="00E53C8C">
        <w:rPr>
          <w:rFonts w:ascii="Times New Roman" w:hAnsi="Times New Roman"/>
          <w:color w:val="231F20"/>
          <w:sz w:val="24"/>
          <w:szCs w:val="24"/>
          <w:lang w:val="en-GB"/>
        </w:rPr>
        <w:t>Gene expression “signal” values obtained from Affymetrix Human HG-U133 plus 2.0 were computed via Affymetrix 5.0 software using the GeneChip 5.0 algorithm with arrays scaled to a median signal of 1500 [1], and transformed to their base-2 logarithms. Arrays were then normalized by standardizing them to their grand mean and average standard deviation. In order to select highly differentially expressed genes between tumor and normal groups, a non-statistical filtering was first applied. Genes were retained for analysis if the higher-expressing group had (a) an average normalized log2 (signal) of at least 6, and (b) 75% or more of its samples called Present by the GeneChip 5.0 algorithm. The comparison between tumor and normal samples was performed by means of Welch’s unequal-variance t-tests using SAS v9.4 software (The SAS Institute, Cary, NC, USA), and resulting p-values were adjusted for multiple comparisons using the false discovery rate (FDR) procedure [2]. Genes were considered of interest if the FDR q-value was 5% or smaller, and if the absolute value of the estimated fold change was 4.0 or greater.</w:t>
      </w:r>
    </w:p>
    <w:p w:rsidR="00AD4C44" w:rsidRPr="00E53C8C" w:rsidRDefault="00AD4C44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231F20"/>
          <w:sz w:val="24"/>
          <w:szCs w:val="24"/>
          <w:u w:val="single"/>
          <w:lang w:val="en-US"/>
        </w:rPr>
      </w:pPr>
    </w:p>
    <w:p w:rsidR="0054276D" w:rsidRPr="00E53C8C" w:rsidRDefault="0054276D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231F20"/>
          <w:sz w:val="24"/>
          <w:szCs w:val="24"/>
          <w:lang w:val="en-GB"/>
        </w:rPr>
      </w:pPr>
      <w:r w:rsidRPr="00E53C8C">
        <w:rPr>
          <w:rFonts w:ascii="Times New Roman" w:hAnsi="Times New Roman"/>
          <w:b/>
          <w:color w:val="231F20"/>
          <w:sz w:val="24"/>
          <w:szCs w:val="24"/>
          <w:lang w:val="en-GB"/>
        </w:rPr>
        <w:t>Genechip analysis on EOC cell lines</w:t>
      </w:r>
    </w:p>
    <w:p w:rsidR="0054276D" w:rsidRPr="00E53C8C" w:rsidRDefault="0054276D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auto"/>
          <w:sz w:val="24"/>
          <w:szCs w:val="24"/>
          <w:lang w:val="en-GB"/>
        </w:rPr>
      </w:pP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>Gene expression “gProcessedSignal” values were computed via Agilent’s Feature Extraction 11.5 software using standard default settings, and transformed to their base-2 logarithms. Arrays were then normalized by standardizing them to their grand mean and average standard deviation. In order to select highly differentially expressed “features” between siFOXM1 and si</w:t>
      </w:r>
      <w:r w:rsidR="00C62E5A" w:rsidRPr="00E53C8C">
        <w:rPr>
          <w:rFonts w:ascii="Times New Roman" w:hAnsi="Times New Roman"/>
          <w:color w:val="auto"/>
          <w:sz w:val="24"/>
          <w:szCs w:val="24"/>
          <w:lang w:val="en-GB"/>
        </w:rPr>
        <w:t>Control</w:t>
      </w: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 xml:space="preserve"> groups, a non-statistical filtering was first applied. Features were retained for analysis if at least one group had (a) an average adjusted log2 (signal) greater than 6, and (b) more than 50% scored as “well above background” by Agilent’s feature-extraction software, and the results were analyzed using SAS v9.3 software. Data for each feature were analyzed via two-way ANOVA with post-hoc analysis comparing siFOXM1-treated cultures to control-treated cultures within each cell line. Fold changes </w:t>
      </w: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lastRenderedPageBreak/>
        <w:t>in feature expression between siFOXM1-treated and control-treated cultures were calculated as 2^|expression|, where |expression| is the absolute value of the adjusted log2-(signal) difference between groups. Features were considered noteworthy in volcano plots if they had both a fold change greater than 2 and an unadjusted p-value &lt;0.001.</w:t>
      </w:r>
    </w:p>
    <w:p w:rsidR="00A85025" w:rsidRPr="00E53C8C" w:rsidRDefault="00A85025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auto"/>
          <w:sz w:val="24"/>
          <w:szCs w:val="24"/>
          <w:lang w:val="en-GB"/>
        </w:rPr>
      </w:pPr>
    </w:p>
    <w:p w:rsidR="00FE34EC" w:rsidRDefault="0048201D" w:rsidP="00250C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C8C">
        <w:rPr>
          <w:rFonts w:ascii="Times New Roman" w:hAnsi="Times New Roman"/>
          <w:b/>
          <w:color w:val="auto"/>
          <w:sz w:val="24"/>
          <w:szCs w:val="24"/>
          <w:lang w:val="en-US"/>
        </w:rPr>
        <w:t>T</w:t>
      </w:r>
      <w:r w:rsidR="00E94091" w:rsidRPr="00E53C8C">
        <w:rPr>
          <w:rFonts w:ascii="Times New Roman" w:hAnsi="Times New Roman"/>
          <w:b/>
          <w:color w:val="auto"/>
          <w:sz w:val="24"/>
          <w:szCs w:val="24"/>
          <w:lang w:val="en-US"/>
        </w:rPr>
        <w:t>able</w:t>
      </w:r>
      <w:r w:rsidRPr="00E53C8C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S3</w:t>
      </w:r>
      <w:r w:rsidR="00250CBB" w:rsidRPr="00E53C8C">
        <w:rPr>
          <w:rFonts w:ascii="Times New Roman" w:hAnsi="Times New Roman"/>
          <w:color w:val="auto"/>
          <w:sz w:val="24"/>
          <w:szCs w:val="24"/>
          <w:lang w:val="en-US"/>
        </w:rPr>
        <w:t xml:space="preserve"> Genes related to tumor invasion/metastasis. </w:t>
      </w:r>
      <w:r w:rsidR="00250CBB" w:rsidRPr="00E53C8C">
        <w:rPr>
          <w:rFonts w:ascii="Times New Roman" w:hAnsi="Times New Roman" w:cs="Times New Roman"/>
          <w:sz w:val="24"/>
          <w:szCs w:val="24"/>
          <w:lang w:val="en-US"/>
        </w:rPr>
        <w:t>List was previously</w:t>
      </w:r>
      <w:r w:rsidR="00D21E50" w:rsidRPr="00E53C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0CBB" w:rsidRPr="00E53C8C">
        <w:rPr>
          <w:rFonts w:ascii="Times New Roman" w:hAnsi="Times New Roman" w:cs="Times New Roman"/>
          <w:sz w:val="24"/>
          <w:szCs w:val="24"/>
          <w:lang w:val="en-US"/>
        </w:rPr>
        <w:t>compiled by SA biosciences (</w:t>
      </w:r>
      <w:hyperlink r:id="rId7" w:history="1">
        <w:r w:rsidR="00250CBB" w:rsidRPr="00E53C8C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http://www.sabiosciences.com/rt_pcr_product/HTML/PAHS-028Z.html</w:t>
        </w:r>
      </w:hyperlink>
      <w:r w:rsidR="00250CBB" w:rsidRPr="00E53C8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C5320" w:rsidRPr="00E53C8C">
        <w:rPr>
          <w:rFonts w:ascii="Times New Roman" w:hAnsi="Times New Roman" w:cs="Times New Roman"/>
          <w:sz w:val="24"/>
          <w:szCs w:val="24"/>
          <w:lang w:val="en-US"/>
        </w:rPr>
        <w:t xml:space="preserve"> and by Applied Biosystems (TaqMan® Array 96-well Human Tumor Metastasis Plate targets genes)</w:t>
      </w:r>
      <w:r w:rsidR="00250CBB" w:rsidRPr="00E53C8C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E53C8C" w:rsidRPr="00E53C8C" w:rsidRDefault="00E53C8C" w:rsidP="00250CB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0"/>
      </w:tblGrid>
      <w:tr w:rsidR="0058128E" w:rsidRPr="00E53C8C" w:rsidTr="0058128E">
        <w:trPr>
          <w:trHeight w:val="183"/>
        </w:trPr>
        <w:tc>
          <w:tcPr>
            <w:tcW w:w="9850" w:type="dxa"/>
          </w:tcPr>
          <w:p w:rsidR="0058128E" w:rsidRPr="00E53C8C" w:rsidRDefault="00D21E50" w:rsidP="009561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53C8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G</w:t>
            </w:r>
            <w:r w:rsidR="0058128E" w:rsidRPr="00E53C8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ene symbol</w:t>
            </w:r>
            <w:r w:rsidRPr="00E53C8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</w:t>
            </w:r>
          </w:p>
        </w:tc>
      </w:tr>
      <w:tr w:rsidR="0058128E" w:rsidRPr="00E53C8C" w:rsidTr="0058128E">
        <w:trPr>
          <w:trHeight w:val="2635"/>
        </w:trPr>
        <w:tc>
          <w:tcPr>
            <w:tcW w:w="9850" w:type="dxa"/>
          </w:tcPr>
          <w:p w:rsidR="0058128E" w:rsidRPr="00E53C8C" w:rsidRDefault="0058128E" w:rsidP="00D21E50">
            <w:pPr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53C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APC, BRMS1, CASP8, CCL7, CD44, CD82, CDH1, CDH11, CDH6, CHD4, CDKN2A, CEACAM1, COL4A2, CST7, CTBP1, CTNNA1, CTSL, CTSK, CXCL12, CXCR2, CXCR4, DAPK1, DCC, DENR, EPHB2, ERBB2, ETV4, EWSR1, FAT, FGF2, FGFR4, FLT4, FN1, FXYD5, GNRH1, HGF, HPSE, HRAS, HTATIP2, IGF1, IL18, IL1B, IL1B1, ITGA7, ITGB3, KISS1, KISS1R, KRAS, LAMB1, LYPD3, MCAM, MET, MDM2, METAP2, MGAT5, MMP1, MMP2, MMP3, MMP7, MMP9, MMP10, MMP11, MMP13, MMP14, MTA1, MTA2, MTSS1, MYC, MYCL, NCAM1, NF2, NME1, NME4, NR4A3, PECAM1, PLAUR, PNN, PSCA, PTEN, PTGS2, RB1, RBL1, RBL2, RET, RHOC, RORB, RPSA, S100A4, SERPINB5, SERPINE1, SET, SMAD2, SMAD4, SNCG, SRC, SSTR2, SYK, TACSTD1, TCF20, TGFB1, TGFBR2, TIAM1, TIMP1, TIMP2, TIMP3, TIMP4, TMPRSS4, TNFSF10, TP53, TPBG, TRPM1, TSHR, TWIST1, VEGFA, VEGFC, WISP1</w:t>
            </w:r>
          </w:p>
        </w:tc>
      </w:tr>
    </w:tbl>
    <w:p w:rsidR="002F1781" w:rsidRPr="00E53C8C" w:rsidRDefault="002F1781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F1781" w:rsidRPr="00E53C8C" w:rsidRDefault="002F1781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61E8C" w:rsidRPr="00E53C8C" w:rsidRDefault="00F61E8C" w:rsidP="005427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auto"/>
          <w:sz w:val="24"/>
          <w:szCs w:val="24"/>
          <w:lang w:val="en-GB"/>
        </w:rPr>
      </w:pPr>
      <w:r w:rsidRPr="00E53C8C">
        <w:rPr>
          <w:rFonts w:ascii="Times New Roman" w:hAnsi="Times New Roman"/>
          <w:b/>
          <w:color w:val="auto"/>
          <w:sz w:val="24"/>
          <w:szCs w:val="24"/>
          <w:lang w:val="en-GB"/>
        </w:rPr>
        <w:t>REFERENCE</w:t>
      </w:r>
      <w:r w:rsidR="00A85025" w:rsidRPr="00E53C8C">
        <w:rPr>
          <w:rFonts w:ascii="Times New Roman" w:hAnsi="Times New Roman"/>
          <w:b/>
          <w:color w:val="auto"/>
          <w:sz w:val="24"/>
          <w:szCs w:val="24"/>
          <w:lang w:val="en-GB"/>
        </w:rPr>
        <w:t>S</w:t>
      </w:r>
    </w:p>
    <w:p w:rsidR="00A85025" w:rsidRPr="00E53C8C" w:rsidRDefault="00A85025" w:rsidP="00A8502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auto"/>
          <w:sz w:val="24"/>
          <w:szCs w:val="24"/>
          <w:lang w:val="en-GB"/>
        </w:rPr>
      </w:pP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>1.</w:t>
      </w: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ab/>
        <w:t>Bellone S, Tassi R, Betti M, English D, Cocco E, Gasparrini S,</w:t>
      </w:r>
      <w:r w:rsidR="00FB06B8" w:rsidRPr="00E53C8C">
        <w:rPr>
          <w:rFonts w:ascii="Times New Roman" w:hAnsi="Times New Roman"/>
          <w:color w:val="auto"/>
          <w:sz w:val="24"/>
          <w:szCs w:val="24"/>
          <w:lang w:val="en-GB"/>
        </w:rPr>
        <w:t xml:space="preserve"> et al</w:t>
      </w: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>. Mammaglobin B (SCGB2A1) is a novel tumour antigen highly differentially expressed in all major histological types of ovarian cancer: implications for ovarian cancer immunotherapy. Br J Cancer</w:t>
      </w:r>
      <w:r w:rsidR="00FB06B8" w:rsidRPr="00E53C8C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r w:rsidR="00586474" w:rsidRPr="00E53C8C">
        <w:rPr>
          <w:rFonts w:ascii="Times New Roman" w:hAnsi="Times New Roman"/>
          <w:color w:val="auto"/>
          <w:sz w:val="24"/>
          <w:szCs w:val="24"/>
          <w:lang w:val="en-GB"/>
        </w:rPr>
        <w:t>2013;109:</w:t>
      </w: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>462–471.</w:t>
      </w:r>
    </w:p>
    <w:p w:rsidR="00A85025" w:rsidRPr="00A85025" w:rsidRDefault="00A85025" w:rsidP="00A8502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auto"/>
          <w:sz w:val="24"/>
          <w:szCs w:val="24"/>
          <w:lang w:val="en-GB"/>
        </w:rPr>
      </w:pP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>2.</w:t>
      </w: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ab/>
        <w:t xml:space="preserve">BenjaminiY, and HochbergY. Controlling the false discovery rate: a practical and powerful approach to multiple testing. J. Roy. Stat. Soc. B. </w:t>
      </w:r>
      <w:r w:rsidR="00FB06B8" w:rsidRPr="00E53C8C">
        <w:rPr>
          <w:rFonts w:ascii="Times New Roman" w:hAnsi="Times New Roman"/>
          <w:color w:val="auto"/>
          <w:sz w:val="24"/>
          <w:szCs w:val="24"/>
          <w:lang w:val="en-GB"/>
        </w:rPr>
        <w:t>1995</w:t>
      </w:r>
      <w:r w:rsidR="00586474" w:rsidRPr="00E53C8C">
        <w:rPr>
          <w:rFonts w:ascii="Times New Roman" w:hAnsi="Times New Roman"/>
          <w:color w:val="auto"/>
          <w:sz w:val="24"/>
          <w:szCs w:val="24"/>
          <w:lang w:val="en-GB"/>
        </w:rPr>
        <w:t>;</w:t>
      </w: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>57</w:t>
      </w:r>
      <w:r w:rsidR="00FB06B8" w:rsidRPr="00E53C8C">
        <w:rPr>
          <w:rFonts w:ascii="Times New Roman" w:hAnsi="Times New Roman"/>
          <w:color w:val="auto"/>
          <w:sz w:val="24"/>
          <w:szCs w:val="24"/>
          <w:lang w:val="en-GB"/>
        </w:rPr>
        <w:t>:</w:t>
      </w:r>
      <w:r w:rsidRPr="00E53C8C">
        <w:rPr>
          <w:rFonts w:ascii="Times New Roman" w:hAnsi="Times New Roman"/>
          <w:color w:val="auto"/>
          <w:sz w:val="24"/>
          <w:szCs w:val="24"/>
          <w:lang w:val="en-GB"/>
        </w:rPr>
        <w:t>289–300.</w:t>
      </w:r>
      <w:r w:rsidRPr="00A85025">
        <w:rPr>
          <w:rFonts w:ascii="Times New Roman" w:hAnsi="Times New Roman"/>
          <w:color w:val="auto"/>
          <w:sz w:val="24"/>
          <w:szCs w:val="24"/>
          <w:lang w:val="en-GB"/>
        </w:rPr>
        <w:t xml:space="preserve">  </w:t>
      </w:r>
    </w:p>
    <w:p w:rsidR="00C849A9" w:rsidRPr="00F61E8C" w:rsidRDefault="00C849A9" w:rsidP="00A85025">
      <w:pPr>
        <w:pStyle w:val="Paragrafoelenco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auto"/>
          <w:sz w:val="24"/>
          <w:szCs w:val="24"/>
          <w:lang w:val="en-GB"/>
        </w:rPr>
      </w:pPr>
      <w:bookmarkStart w:id="0" w:name="_GoBack"/>
      <w:bookmarkEnd w:id="0"/>
    </w:p>
    <w:sectPr w:rsidR="00C849A9" w:rsidRPr="00F61E8C" w:rsidSect="00E53C8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D16" w:rsidRDefault="00D41D16" w:rsidP="00AD4C44">
      <w:pPr>
        <w:spacing w:after="0" w:line="240" w:lineRule="auto"/>
      </w:pPr>
      <w:r>
        <w:separator/>
      </w:r>
    </w:p>
  </w:endnote>
  <w:endnote w:type="continuationSeparator" w:id="0">
    <w:p w:rsidR="00D41D16" w:rsidRDefault="00D41D16" w:rsidP="00A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1958295"/>
      <w:docPartObj>
        <w:docPartGallery w:val="Page Numbers (Bottom of Page)"/>
        <w:docPartUnique/>
      </w:docPartObj>
    </w:sdtPr>
    <w:sdtEndPr/>
    <w:sdtContent>
      <w:p w:rsidR="00AD4C44" w:rsidRDefault="001A4AF5">
        <w:pPr>
          <w:pStyle w:val="Pidipagina"/>
          <w:jc w:val="right"/>
        </w:pPr>
        <w:r>
          <w:fldChar w:fldCharType="begin"/>
        </w:r>
        <w:r w:rsidR="00AD4C44">
          <w:instrText>PAGE   \* MERGEFORMAT</w:instrText>
        </w:r>
        <w:r>
          <w:fldChar w:fldCharType="separate"/>
        </w:r>
        <w:r w:rsidR="00E53C8C">
          <w:rPr>
            <w:noProof/>
          </w:rPr>
          <w:t>1</w:t>
        </w:r>
        <w:r>
          <w:fldChar w:fldCharType="end"/>
        </w:r>
      </w:p>
    </w:sdtContent>
  </w:sdt>
  <w:p w:rsidR="00AD4C44" w:rsidRDefault="00AD4C4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D16" w:rsidRDefault="00D41D16" w:rsidP="00AD4C44">
      <w:pPr>
        <w:spacing w:after="0" w:line="240" w:lineRule="auto"/>
      </w:pPr>
      <w:r>
        <w:separator/>
      </w:r>
    </w:p>
  </w:footnote>
  <w:footnote w:type="continuationSeparator" w:id="0">
    <w:p w:rsidR="00D41D16" w:rsidRDefault="00D41D16" w:rsidP="00A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94813"/>
    <w:multiLevelType w:val="hybridMultilevel"/>
    <w:tmpl w:val="EBF013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76D"/>
    <w:rsid w:val="000E3014"/>
    <w:rsid w:val="000F62A4"/>
    <w:rsid w:val="001845C9"/>
    <w:rsid w:val="001A37C8"/>
    <w:rsid w:val="001A4AF5"/>
    <w:rsid w:val="00214476"/>
    <w:rsid w:val="00250CBB"/>
    <w:rsid w:val="00256D50"/>
    <w:rsid w:val="002F1781"/>
    <w:rsid w:val="003639EB"/>
    <w:rsid w:val="00414A06"/>
    <w:rsid w:val="0048201D"/>
    <w:rsid w:val="004E5058"/>
    <w:rsid w:val="004F5FB5"/>
    <w:rsid w:val="0054276D"/>
    <w:rsid w:val="00550E1B"/>
    <w:rsid w:val="00572F82"/>
    <w:rsid w:val="0058128E"/>
    <w:rsid w:val="00586474"/>
    <w:rsid w:val="005A5857"/>
    <w:rsid w:val="006B53B5"/>
    <w:rsid w:val="006C58AD"/>
    <w:rsid w:val="00790328"/>
    <w:rsid w:val="0082415B"/>
    <w:rsid w:val="008313B5"/>
    <w:rsid w:val="00956114"/>
    <w:rsid w:val="009A5A0C"/>
    <w:rsid w:val="009C3B5F"/>
    <w:rsid w:val="009E655D"/>
    <w:rsid w:val="009F478C"/>
    <w:rsid w:val="00A11B93"/>
    <w:rsid w:val="00A85025"/>
    <w:rsid w:val="00AD4C44"/>
    <w:rsid w:val="00B610C1"/>
    <w:rsid w:val="00BC5320"/>
    <w:rsid w:val="00BE1790"/>
    <w:rsid w:val="00C16351"/>
    <w:rsid w:val="00C62E5A"/>
    <w:rsid w:val="00C849A9"/>
    <w:rsid w:val="00D21E50"/>
    <w:rsid w:val="00D33878"/>
    <w:rsid w:val="00D41D16"/>
    <w:rsid w:val="00D72063"/>
    <w:rsid w:val="00D92FC4"/>
    <w:rsid w:val="00D977B6"/>
    <w:rsid w:val="00DC7F54"/>
    <w:rsid w:val="00E53C8C"/>
    <w:rsid w:val="00E718CF"/>
    <w:rsid w:val="00E92607"/>
    <w:rsid w:val="00E94091"/>
    <w:rsid w:val="00E94770"/>
    <w:rsid w:val="00F61E8C"/>
    <w:rsid w:val="00F65029"/>
    <w:rsid w:val="00F675CC"/>
    <w:rsid w:val="00FB06B8"/>
    <w:rsid w:val="00FE2F87"/>
    <w:rsid w:val="00FE34EC"/>
    <w:rsid w:val="00FE353C"/>
    <w:rsid w:val="00FF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01DDB6-D6C0-4BB6-BDB1-32560130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54276D"/>
    <w:pPr>
      <w:spacing w:after="200" w:line="276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4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C44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C44"/>
    <w:rPr>
      <w:rFonts w:ascii="Calibri" w:eastAsia="Calibri" w:hAnsi="Calibri" w:cs="Calibri"/>
      <w:color w:val="000000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9F478C"/>
  </w:style>
  <w:style w:type="paragraph" w:styleId="Paragrafoelenco">
    <w:name w:val="List Paragraph"/>
    <w:basedOn w:val="Normale"/>
    <w:uiPriority w:val="34"/>
    <w:qFormat/>
    <w:rsid w:val="00F61E8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FC4"/>
    <w:rPr>
      <w:rFonts w:ascii="Tahoma" w:eastAsia="Calibri" w:hAnsi="Tahoma" w:cs="Tahoma"/>
      <w:color w:val="000000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250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50CBB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56114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BC5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0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abiosciences.com/rt_pcr_product/HTML/PAHS-028Z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Ravaggi</dc:creator>
  <cp:lastModifiedBy>Ravaggi</cp:lastModifiedBy>
  <cp:revision>2</cp:revision>
  <dcterms:created xsi:type="dcterms:W3CDTF">2017-06-05T08:43:00Z</dcterms:created>
  <dcterms:modified xsi:type="dcterms:W3CDTF">2017-06-05T08:43:00Z</dcterms:modified>
</cp:coreProperties>
</file>