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4C0" w:rsidRPr="001D74C0" w:rsidRDefault="001D74C0" w:rsidP="001D74C0">
      <w:pPr>
        <w:spacing w:after="0" w:line="480" w:lineRule="auto"/>
        <w:jc w:val="center"/>
        <w:rPr>
          <w:rFonts w:ascii="Arial" w:hAnsi="Arial" w:cs="Arial"/>
          <w:b/>
          <w:color w:val="000000" w:themeColor="text1"/>
        </w:rPr>
      </w:pPr>
      <w:r w:rsidRPr="001D74C0">
        <w:rPr>
          <w:rFonts w:ascii="Arial" w:hAnsi="Arial" w:cs="Arial"/>
          <w:b/>
          <w:color w:val="000000" w:themeColor="text1"/>
        </w:rPr>
        <w:t>CRISPR/Cas9 targeting of GPRC6A suppresses prostate cancer tumorigenesis in a human xenograft model</w:t>
      </w:r>
    </w:p>
    <w:p w:rsidR="001D74C0" w:rsidRPr="001D74C0" w:rsidRDefault="001D74C0" w:rsidP="001D74C0">
      <w:pPr>
        <w:spacing w:after="0" w:line="480" w:lineRule="auto"/>
        <w:jc w:val="center"/>
        <w:rPr>
          <w:rFonts w:ascii="Arial" w:eastAsia="Arial" w:hAnsi="Arial" w:cs="Arial"/>
          <w:b/>
          <w:bCs/>
          <w:color w:val="000000" w:themeColor="text1"/>
        </w:rPr>
      </w:pPr>
    </w:p>
    <w:p w:rsidR="001D74C0" w:rsidRPr="001D74C0" w:rsidRDefault="001D74C0" w:rsidP="001D74C0">
      <w:pPr>
        <w:spacing w:after="0" w:line="480" w:lineRule="auto"/>
        <w:jc w:val="center"/>
        <w:rPr>
          <w:rFonts w:ascii="Arial" w:hAnsi="Arial" w:cs="Arial"/>
          <w:b/>
          <w:color w:val="000000" w:themeColor="text1"/>
        </w:rPr>
      </w:pPr>
      <w:r w:rsidRPr="001D74C0">
        <w:rPr>
          <w:rFonts w:ascii="Arial" w:eastAsia="Arial" w:hAnsi="Arial" w:cs="Arial"/>
          <w:b/>
          <w:bCs/>
          <w:color w:val="000000" w:themeColor="text1"/>
        </w:rPr>
        <w:t>Ruisong Ye</w:t>
      </w:r>
      <w:r w:rsidRPr="001D74C0">
        <w:rPr>
          <w:rFonts w:ascii="Arial" w:eastAsia="Arial" w:hAnsi="Arial" w:cs="Arial"/>
          <w:b/>
          <w:bCs/>
          <w:color w:val="000000" w:themeColor="text1"/>
          <w:vertAlign w:val="superscript"/>
        </w:rPr>
        <w:t>1</w:t>
      </w:r>
      <w:r w:rsidRPr="001D74C0">
        <w:rPr>
          <w:rFonts w:ascii="Arial" w:eastAsia="Arial" w:hAnsi="Arial" w:cs="Arial"/>
          <w:b/>
          <w:bCs/>
          <w:color w:val="000000" w:themeColor="text1"/>
        </w:rPr>
        <w:t>, Min Pi</w:t>
      </w:r>
      <w:r w:rsidRPr="001D74C0">
        <w:rPr>
          <w:rFonts w:ascii="Arial" w:eastAsia="Arial" w:hAnsi="Arial" w:cs="Arial"/>
          <w:b/>
          <w:bCs/>
          <w:color w:val="000000" w:themeColor="text1"/>
          <w:vertAlign w:val="superscript"/>
        </w:rPr>
        <w:t>1</w:t>
      </w:r>
      <w:r w:rsidRPr="001D74C0">
        <w:rPr>
          <w:rFonts w:ascii="Arial" w:eastAsia="Arial" w:hAnsi="Arial" w:cs="Arial"/>
          <w:b/>
          <w:bCs/>
          <w:color w:val="000000" w:themeColor="text1"/>
        </w:rPr>
        <w:t>, John V Cox</w:t>
      </w:r>
      <w:r w:rsidRPr="001D74C0">
        <w:rPr>
          <w:rFonts w:ascii="Arial" w:eastAsia="Arial" w:hAnsi="Arial" w:cs="Arial"/>
          <w:b/>
          <w:bCs/>
          <w:color w:val="000000" w:themeColor="text1"/>
          <w:vertAlign w:val="superscript"/>
        </w:rPr>
        <w:t>2</w:t>
      </w:r>
      <w:r w:rsidRPr="001D74C0">
        <w:rPr>
          <w:rFonts w:ascii="Arial" w:eastAsia="Arial" w:hAnsi="Arial" w:cs="Arial"/>
          <w:b/>
          <w:bCs/>
          <w:color w:val="000000" w:themeColor="text1"/>
        </w:rPr>
        <w:t>, Satoru K Nishimoto</w:t>
      </w:r>
      <w:r w:rsidRPr="001D74C0">
        <w:rPr>
          <w:rFonts w:ascii="Arial" w:eastAsia="Arial" w:hAnsi="Arial" w:cs="Arial"/>
          <w:b/>
          <w:bCs/>
          <w:color w:val="000000" w:themeColor="text1"/>
          <w:vertAlign w:val="superscript"/>
        </w:rPr>
        <w:t>2</w:t>
      </w:r>
      <w:r w:rsidRPr="001D74C0">
        <w:rPr>
          <w:rFonts w:ascii="Arial" w:eastAsia="Arial" w:hAnsi="Arial" w:cs="Arial"/>
          <w:b/>
          <w:bCs/>
          <w:color w:val="000000" w:themeColor="text1"/>
        </w:rPr>
        <w:t>, L Darryl Quarles</w:t>
      </w:r>
      <w:r w:rsidRPr="001D74C0">
        <w:rPr>
          <w:rFonts w:ascii="Arial" w:eastAsia="Arial" w:hAnsi="Arial" w:cs="Arial"/>
          <w:b/>
          <w:bCs/>
          <w:color w:val="000000" w:themeColor="text1"/>
          <w:vertAlign w:val="superscript"/>
        </w:rPr>
        <w:t>1</w:t>
      </w:r>
    </w:p>
    <w:p w:rsidR="001D74C0" w:rsidRPr="001D74C0" w:rsidRDefault="001D74C0" w:rsidP="001D74C0">
      <w:pPr>
        <w:spacing w:after="0" w:line="480" w:lineRule="auto"/>
        <w:rPr>
          <w:rFonts w:ascii="Arial" w:eastAsia="Arial" w:hAnsi="Arial" w:cs="Arial"/>
          <w:color w:val="000000" w:themeColor="text1"/>
        </w:rPr>
      </w:pPr>
      <w:r w:rsidRPr="001D74C0">
        <w:rPr>
          <w:rFonts w:ascii="Arial" w:eastAsia="Arial" w:hAnsi="Arial" w:cs="Arial"/>
          <w:color w:val="000000" w:themeColor="text1"/>
        </w:rPr>
        <w:t xml:space="preserve">Department of </w:t>
      </w:r>
      <w:r w:rsidRPr="001D74C0">
        <w:rPr>
          <w:rFonts w:ascii="Arial" w:eastAsia="Arial" w:hAnsi="Arial" w:cs="Arial"/>
          <w:color w:val="000000" w:themeColor="text1"/>
          <w:vertAlign w:val="superscript"/>
        </w:rPr>
        <w:t>1</w:t>
      </w:r>
      <w:r w:rsidRPr="001D74C0">
        <w:rPr>
          <w:rFonts w:ascii="Arial" w:eastAsia="Arial" w:hAnsi="Arial" w:cs="Arial"/>
          <w:color w:val="000000" w:themeColor="text1"/>
        </w:rPr>
        <w:t xml:space="preserve">Medicine and </w:t>
      </w:r>
      <w:r w:rsidRPr="001D74C0">
        <w:rPr>
          <w:rFonts w:ascii="Arial" w:eastAsia="Arial" w:hAnsi="Arial" w:cs="Arial"/>
          <w:color w:val="000000" w:themeColor="text1"/>
          <w:vertAlign w:val="superscript"/>
        </w:rPr>
        <w:t>2</w:t>
      </w:r>
      <w:r w:rsidRPr="001D74C0">
        <w:rPr>
          <w:rFonts w:ascii="Arial" w:eastAsia="Arial" w:hAnsi="Arial" w:cs="Arial"/>
          <w:color w:val="000000" w:themeColor="text1"/>
        </w:rPr>
        <w:t>Microbiology, Immunology and Biochemistry, University of Tennessee Health Science Center, 19 S Manassas St. Memphis, TN 38163</w:t>
      </w:r>
    </w:p>
    <w:p w:rsidR="001D74C0" w:rsidRDefault="001D74C0" w:rsidP="001D74C0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bCs/>
        </w:rPr>
      </w:pPr>
    </w:p>
    <w:p w:rsidR="001D74C0" w:rsidRDefault="00A14FAE" w:rsidP="001D74C0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>
            <wp:extent cx="5943600" cy="32194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147E" w:rsidRPr="004E7385" w:rsidRDefault="001D74C0" w:rsidP="004E7385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</w:rPr>
      </w:pPr>
      <w:r w:rsidRPr="004E7385">
        <w:rPr>
          <w:rFonts w:ascii="Arial" w:hAnsi="Arial" w:cs="Arial"/>
          <w:b/>
          <w:bCs/>
        </w:rPr>
        <w:t xml:space="preserve">Supplemental Figure 1. </w:t>
      </w:r>
      <w:r w:rsidR="004E7385" w:rsidRPr="004E7385">
        <w:rPr>
          <w:rFonts w:ascii="Arial" w:eastAsiaTheme="minorEastAsia" w:hAnsi="Arial" w:cs="Arial"/>
          <w:b/>
          <w:color w:val="000000" w:themeColor="text1"/>
          <w:kern w:val="24"/>
        </w:rPr>
        <w:t>Targeting GPRC6A gene in PC-3 cells using CRIPR/Cas9 system.</w:t>
      </w:r>
      <w:r w:rsidR="004E7385" w:rsidRPr="004E7385">
        <w:rPr>
          <w:rFonts w:ascii="Arial" w:eastAsiaTheme="minorEastAsia" w:hAnsi="Arial" w:cs="Arial"/>
          <w:color w:val="000000" w:themeColor="text1"/>
          <w:kern w:val="24"/>
        </w:rPr>
        <w:t xml:space="preserve"> </w:t>
      </w:r>
      <w:r w:rsidR="004E7385" w:rsidRPr="00E64983">
        <w:rPr>
          <w:rFonts w:ascii="Arial" w:eastAsiaTheme="minorEastAsia" w:hAnsi="Arial" w:cs="Arial"/>
          <w:kern w:val="24"/>
        </w:rPr>
        <w:t xml:space="preserve">(A) The structure of GPRC6A gene, and location and sequences of GPRC6A.sgRNA1 (purple short bar) and GPRC6A.sgRNA3 (red short bar). (B and C) The sequence of GPRC6A in PC-3 cells </w:t>
      </w:r>
      <w:r w:rsidR="00F164B9" w:rsidRPr="00E64983">
        <w:rPr>
          <w:rFonts w:ascii="Arial" w:eastAsiaTheme="minorEastAsia" w:hAnsi="Arial" w:cs="Arial"/>
          <w:kern w:val="24"/>
        </w:rPr>
        <w:t xml:space="preserve">targeted </w:t>
      </w:r>
      <w:r w:rsidR="004E7385" w:rsidRPr="00E64983">
        <w:rPr>
          <w:rFonts w:ascii="Arial" w:eastAsiaTheme="minorEastAsia" w:hAnsi="Arial" w:cs="Arial"/>
          <w:kern w:val="24"/>
        </w:rPr>
        <w:t>with GPRC6A.sgRNA1 (B) and GPRC6A.sgRNA3 (C). PCR products from PC-3 cells targeted by GPRC6A.sgRNA1 and GPRC6A.sgRNA3</w:t>
      </w:r>
      <w:r w:rsidR="00F164B9" w:rsidRPr="00E64983">
        <w:rPr>
          <w:rFonts w:ascii="Arial" w:eastAsiaTheme="minorEastAsia" w:hAnsi="Arial" w:cs="Arial"/>
          <w:kern w:val="24"/>
        </w:rPr>
        <w:t xml:space="preserve"> were cloned and sequenced</w:t>
      </w:r>
      <w:r w:rsidR="004E7385" w:rsidRPr="00E64983">
        <w:rPr>
          <w:rFonts w:ascii="Arial" w:eastAsiaTheme="minorEastAsia" w:hAnsi="Arial" w:cs="Arial"/>
          <w:kern w:val="24"/>
        </w:rPr>
        <w:t xml:space="preserve">. </w:t>
      </w:r>
      <w:r w:rsidR="00B44414" w:rsidRPr="00E64983">
        <w:rPr>
          <w:rFonts w:ascii="Arial" w:hAnsi="Arial" w:cs="Arial"/>
        </w:rPr>
        <w:t xml:space="preserve">In </w:t>
      </w:r>
      <w:r w:rsidR="0082007F" w:rsidRPr="00E64983">
        <w:rPr>
          <w:rFonts w:ascii="Arial" w:hAnsi="Arial" w:cs="Arial"/>
        </w:rPr>
        <w:t xml:space="preserve">DNA isolated from PC-3 cells with the </w:t>
      </w:r>
      <w:r w:rsidR="00B44414" w:rsidRPr="00E64983">
        <w:rPr>
          <w:rFonts w:ascii="Arial" w:hAnsi="Arial" w:cs="Arial"/>
        </w:rPr>
        <w:t>GPRC6A.sgRNA1 muta</w:t>
      </w:r>
      <w:r w:rsidR="0082007F" w:rsidRPr="00E64983">
        <w:rPr>
          <w:rFonts w:ascii="Arial" w:hAnsi="Arial" w:cs="Arial"/>
        </w:rPr>
        <w:t xml:space="preserve">tion, we cloned and sequenced 5 PCR fragments. We found 4 out of 5 </w:t>
      </w:r>
      <w:r w:rsidR="00B44414" w:rsidRPr="00E64983">
        <w:rPr>
          <w:rFonts w:ascii="Arial" w:hAnsi="Arial" w:cs="Arial"/>
        </w:rPr>
        <w:t xml:space="preserve">clones </w:t>
      </w:r>
      <w:r w:rsidR="0082007F" w:rsidRPr="00E64983">
        <w:rPr>
          <w:rFonts w:ascii="Arial" w:hAnsi="Arial" w:cs="Arial"/>
        </w:rPr>
        <w:t xml:space="preserve">had either insertions </w:t>
      </w:r>
      <w:r w:rsidR="00B44414" w:rsidRPr="00E64983">
        <w:rPr>
          <w:rFonts w:ascii="Arial" w:hAnsi="Arial" w:cs="Arial"/>
        </w:rPr>
        <w:t>or deletion</w:t>
      </w:r>
      <w:r w:rsidR="0082007F" w:rsidRPr="00E64983">
        <w:rPr>
          <w:rFonts w:ascii="Arial" w:hAnsi="Arial" w:cs="Arial"/>
        </w:rPr>
        <w:t>s</w:t>
      </w:r>
      <w:r w:rsidR="00B44414" w:rsidRPr="00E64983">
        <w:rPr>
          <w:rFonts w:ascii="Arial" w:hAnsi="Arial" w:cs="Arial"/>
        </w:rPr>
        <w:t xml:space="preserve"> in targeted region </w:t>
      </w:r>
      <w:r w:rsidR="0082007F" w:rsidRPr="00E64983">
        <w:rPr>
          <w:rFonts w:ascii="Arial" w:hAnsi="Arial" w:cs="Arial"/>
        </w:rPr>
        <w:t xml:space="preserve">that would disrupt gene function </w:t>
      </w:r>
      <w:r w:rsidR="00B44414" w:rsidRPr="00E64983">
        <w:rPr>
          <w:rFonts w:ascii="Arial" w:hAnsi="Arial" w:cs="Arial"/>
        </w:rPr>
        <w:t xml:space="preserve">(Supplementary Figure 1B). In GPRC6A.sgRNA3 mutation, we </w:t>
      </w:r>
      <w:r w:rsidR="0082007F" w:rsidRPr="00E64983">
        <w:rPr>
          <w:rFonts w:ascii="Arial" w:hAnsi="Arial" w:cs="Arial"/>
        </w:rPr>
        <w:lastRenderedPageBreak/>
        <w:t xml:space="preserve">sequenced a </w:t>
      </w:r>
      <w:r w:rsidR="00E64983">
        <w:rPr>
          <w:rFonts w:ascii="Arial" w:hAnsi="Arial" w:cs="Arial"/>
        </w:rPr>
        <w:t>total 28 PCR product clones</w:t>
      </w:r>
      <w:bookmarkStart w:id="0" w:name="_GoBack"/>
      <w:bookmarkEnd w:id="0"/>
      <w:r w:rsidR="0082007F" w:rsidRPr="00E64983">
        <w:rPr>
          <w:rFonts w:ascii="Arial" w:hAnsi="Arial" w:cs="Arial"/>
        </w:rPr>
        <w:t xml:space="preserve">.  We </w:t>
      </w:r>
      <w:r w:rsidR="00B44414" w:rsidRPr="00E64983">
        <w:rPr>
          <w:rFonts w:ascii="Arial" w:hAnsi="Arial" w:cs="Arial"/>
        </w:rPr>
        <w:t>found</w:t>
      </w:r>
      <w:r w:rsidR="0082007F" w:rsidRPr="00E64983">
        <w:rPr>
          <w:rFonts w:ascii="Arial" w:hAnsi="Arial" w:cs="Arial"/>
        </w:rPr>
        <w:t xml:space="preserve"> </w:t>
      </w:r>
      <w:r w:rsidR="00B44414" w:rsidRPr="00E64983">
        <w:rPr>
          <w:rFonts w:ascii="Arial" w:hAnsi="Arial" w:cs="Arial"/>
        </w:rPr>
        <w:t>23</w:t>
      </w:r>
      <w:r w:rsidR="0082007F" w:rsidRPr="00E64983">
        <w:rPr>
          <w:rFonts w:ascii="Arial" w:hAnsi="Arial" w:cs="Arial"/>
        </w:rPr>
        <w:t xml:space="preserve"> out of 28 clones contained mutations consisting of either </w:t>
      </w:r>
      <w:r w:rsidR="00B44414" w:rsidRPr="00E64983">
        <w:rPr>
          <w:rFonts w:ascii="Arial" w:hAnsi="Arial" w:cs="Arial"/>
        </w:rPr>
        <w:t>insertion</w:t>
      </w:r>
      <w:r w:rsidR="0082007F" w:rsidRPr="00E64983">
        <w:rPr>
          <w:rFonts w:ascii="Arial" w:hAnsi="Arial" w:cs="Arial"/>
        </w:rPr>
        <w:t>s</w:t>
      </w:r>
      <w:r w:rsidR="00B44414" w:rsidRPr="00E64983">
        <w:rPr>
          <w:rFonts w:ascii="Arial" w:hAnsi="Arial" w:cs="Arial"/>
        </w:rPr>
        <w:t xml:space="preserve"> or deletion</w:t>
      </w:r>
      <w:r w:rsidR="0082007F" w:rsidRPr="00E64983">
        <w:rPr>
          <w:rFonts w:ascii="Arial" w:hAnsi="Arial" w:cs="Arial"/>
        </w:rPr>
        <w:t>s</w:t>
      </w:r>
      <w:r w:rsidR="00B44414" w:rsidRPr="00E64983">
        <w:rPr>
          <w:rFonts w:ascii="Arial" w:hAnsi="Arial" w:cs="Arial"/>
        </w:rPr>
        <w:t xml:space="preserve"> in targeted region (Supplementary Figure 1C). </w:t>
      </w:r>
      <w:r w:rsidR="004E7385" w:rsidRPr="00E64983">
        <w:rPr>
          <w:rFonts w:ascii="Arial" w:eastAsiaTheme="minorEastAsia" w:hAnsi="Arial" w:cs="Arial"/>
          <w:kern w:val="24"/>
        </w:rPr>
        <w:t>The b</w:t>
      </w:r>
      <w:r w:rsidR="00606E79" w:rsidRPr="00E64983">
        <w:rPr>
          <w:rFonts w:ascii="Arial" w:eastAsiaTheme="minorEastAsia" w:hAnsi="Arial" w:cs="Arial"/>
          <w:kern w:val="24"/>
        </w:rPr>
        <w:t>lue</w:t>
      </w:r>
      <w:r w:rsidR="004E7385" w:rsidRPr="00E64983">
        <w:rPr>
          <w:rFonts w:ascii="Arial" w:eastAsiaTheme="minorEastAsia" w:hAnsi="Arial" w:cs="Arial"/>
          <w:kern w:val="24"/>
        </w:rPr>
        <w:t xml:space="preserve"> letters indicate changed nucleotides. The red letters indicate nucleotide</w:t>
      </w:r>
      <w:r w:rsidR="00F164B9" w:rsidRPr="00E64983">
        <w:rPr>
          <w:rFonts w:ascii="Arial" w:eastAsiaTheme="minorEastAsia" w:hAnsi="Arial" w:cs="Arial"/>
          <w:kern w:val="24"/>
        </w:rPr>
        <w:t xml:space="preserve"> insertion</w:t>
      </w:r>
      <w:r w:rsidR="004E7385" w:rsidRPr="00E64983">
        <w:rPr>
          <w:rFonts w:ascii="Arial" w:eastAsiaTheme="minorEastAsia" w:hAnsi="Arial" w:cs="Arial"/>
          <w:kern w:val="24"/>
        </w:rPr>
        <w:t xml:space="preserve">s. The number in </w:t>
      </w:r>
      <w:r w:rsidR="00F164B9" w:rsidRPr="00E64983">
        <w:rPr>
          <w:rFonts w:ascii="Arial" w:eastAsiaTheme="minorEastAsia" w:hAnsi="Arial" w:cs="Arial"/>
          <w:kern w:val="24"/>
        </w:rPr>
        <w:t xml:space="preserve">parentheses indicates the </w:t>
      </w:r>
      <w:r w:rsidR="004E7385" w:rsidRPr="00E64983">
        <w:rPr>
          <w:rFonts w:ascii="Arial" w:eastAsiaTheme="minorEastAsia" w:hAnsi="Arial" w:cs="Arial"/>
          <w:kern w:val="24"/>
        </w:rPr>
        <w:t xml:space="preserve">number of </w:t>
      </w:r>
      <w:r w:rsidR="00F164B9" w:rsidRPr="00E64983">
        <w:rPr>
          <w:rFonts w:ascii="Arial" w:eastAsiaTheme="minorEastAsia" w:hAnsi="Arial" w:cs="Arial"/>
          <w:kern w:val="24"/>
        </w:rPr>
        <w:t xml:space="preserve">times a particular </w:t>
      </w:r>
      <w:r w:rsidR="004E7385" w:rsidRPr="00E64983">
        <w:rPr>
          <w:rFonts w:ascii="Arial" w:eastAsiaTheme="minorEastAsia" w:hAnsi="Arial" w:cs="Arial"/>
          <w:kern w:val="24"/>
        </w:rPr>
        <w:t>sequence</w:t>
      </w:r>
      <w:r w:rsidR="00F164B9" w:rsidRPr="00E64983">
        <w:rPr>
          <w:rFonts w:ascii="Arial" w:eastAsiaTheme="minorEastAsia" w:hAnsi="Arial" w:cs="Arial"/>
          <w:kern w:val="24"/>
        </w:rPr>
        <w:t xml:space="preserve"> was observed</w:t>
      </w:r>
      <w:r w:rsidR="004E7385" w:rsidRPr="00E64983">
        <w:rPr>
          <w:rFonts w:ascii="Arial" w:eastAsiaTheme="minorEastAsia" w:hAnsi="Arial" w:cs="Arial"/>
          <w:kern w:val="24"/>
        </w:rPr>
        <w:t xml:space="preserve">. The </w:t>
      </w:r>
      <w:r w:rsidR="00F164B9" w:rsidRPr="00E64983">
        <w:rPr>
          <w:rFonts w:ascii="Arial" w:eastAsiaTheme="minorEastAsia" w:hAnsi="Arial" w:cs="Arial"/>
          <w:kern w:val="24"/>
        </w:rPr>
        <w:t>location of the PCR primers used to amplify this region of the GPRC6</w:t>
      </w:r>
      <w:r w:rsidR="00830480" w:rsidRPr="00E64983">
        <w:rPr>
          <w:rFonts w:ascii="Arial" w:eastAsiaTheme="minorEastAsia" w:hAnsi="Arial" w:cs="Arial"/>
          <w:kern w:val="24"/>
        </w:rPr>
        <w:t>A</w:t>
      </w:r>
      <w:r w:rsidR="00F164B9" w:rsidRPr="00E64983">
        <w:rPr>
          <w:rFonts w:ascii="Arial" w:eastAsiaTheme="minorEastAsia" w:hAnsi="Arial" w:cs="Arial"/>
          <w:kern w:val="24"/>
        </w:rPr>
        <w:t xml:space="preserve"> gene is indicated by </w:t>
      </w:r>
      <w:r w:rsidR="004E7385" w:rsidRPr="00E64983">
        <w:rPr>
          <w:rFonts w:ascii="Arial" w:eastAsiaTheme="minorEastAsia" w:hAnsi="Arial" w:cs="Arial"/>
          <w:kern w:val="24"/>
        </w:rPr>
        <w:t>arrows</w:t>
      </w:r>
      <w:r w:rsidR="00830480" w:rsidRPr="00E64983">
        <w:rPr>
          <w:rFonts w:ascii="Arial" w:eastAsiaTheme="minorEastAsia" w:hAnsi="Arial" w:cs="Arial"/>
          <w:kern w:val="24"/>
        </w:rPr>
        <w:t xml:space="preserve"> corresponding to hGPRC6A</w:t>
      </w:r>
      <w:r w:rsidR="00C601C0" w:rsidRPr="00E64983">
        <w:rPr>
          <w:rFonts w:ascii="Arial" w:eastAsiaTheme="minorEastAsia" w:hAnsi="Arial" w:cs="Arial"/>
          <w:kern w:val="24"/>
        </w:rPr>
        <w:t>.</w:t>
      </w:r>
      <w:r w:rsidR="00830480" w:rsidRPr="00E64983">
        <w:rPr>
          <w:rFonts w:ascii="Arial" w:eastAsiaTheme="minorEastAsia" w:hAnsi="Arial" w:cs="Arial"/>
          <w:kern w:val="24"/>
        </w:rPr>
        <w:t>Fmut and hGPRC6A</w:t>
      </w:r>
      <w:r w:rsidR="00C601C0" w:rsidRPr="00E64983">
        <w:rPr>
          <w:rFonts w:ascii="Arial" w:eastAsiaTheme="minorEastAsia" w:hAnsi="Arial" w:cs="Arial"/>
          <w:kern w:val="24"/>
        </w:rPr>
        <w:t>.</w:t>
      </w:r>
      <w:r w:rsidR="00830480" w:rsidRPr="00E64983">
        <w:rPr>
          <w:rFonts w:ascii="Arial" w:eastAsiaTheme="minorEastAsia" w:hAnsi="Arial" w:cs="Arial"/>
          <w:kern w:val="24"/>
        </w:rPr>
        <w:t>Rmut as described in methods</w:t>
      </w:r>
      <w:r w:rsidR="00F164B9" w:rsidRPr="00E64983">
        <w:rPr>
          <w:rFonts w:ascii="Arial" w:eastAsiaTheme="minorEastAsia" w:hAnsi="Arial" w:cs="Arial"/>
          <w:kern w:val="24"/>
        </w:rPr>
        <w:t>.</w:t>
      </w:r>
    </w:p>
    <w:sectPr w:rsidR="0077147E" w:rsidRPr="004E73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4C0"/>
    <w:rsid w:val="001D74C0"/>
    <w:rsid w:val="004E7385"/>
    <w:rsid w:val="00606E79"/>
    <w:rsid w:val="00745EEF"/>
    <w:rsid w:val="0077147E"/>
    <w:rsid w:val="0082007F"/>
    <w:rsid w:val="00830480"/>
    <w:rsid w:val="008678C3"/>
    <w:rsid w:val="00A14FAE"/>
    <w:rsid w:val="00AE3D33"/>
    <w:rsid w:val="00B44414"/>
    <w:rsid w:val="00B6107E"/>
    <w:rsid w:val="00BE0FA4"/>
    <w:rsid w:val="00C601C0"/>
    <w:rsid w:val="00E64983"/>
    <w:rsid w:val="00F164B9"/>
    <w:rsid w:val="00FE6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5BDBA8-C324-4412-A9C3-6F337ACBE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0F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6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4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mpi</dc:creator>
  <cp:lastModifiedBy>mpi</cp:lastModifiedBy>
  <cp:revision>4</cp:revision>
  <dcterms:created xsi:type="dcterms:W3CDTF">2017-06-19T16:01:00Z</dcterms:created>
  <dcterms:modified xsi:type="dcterms:W3CDTF">2017-06-19T16:40:00Z</dcterms:modified>
</cp:coreProperties>
</file>