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2F51F" w14:textId="7A92FAFE" w:rsidR="00184F1C" w:rsidRDefault="00184F1C" w:rsidP="00361754">
      <w:pPr>
        <w:outlineLvl w:val="0"/>
        <w:rPr>
          <w:rFonts w:ascii="Times New Roman" w:hAnsi="Times New Roman" w:cs="Times New Roman"/>
          <w:b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>Additional file 3</w:t>
      </w:r>
      <w:bookmarkStart w:id="0" w:name="_GoBack"/>
      <w:bookmarkEnd w:id="0"/>
    </w:p>
    <w:p w14:paraId="4305F171" w14:textId="20B27DDB" w:rsidR="00361754" w:rsidRDefault="00361754" w:rsidP="00361754">
      <w:pPr>
        <w:outlineLvl w:val="0"/>
        <w:rPr>
          <w:rFonts w:ascii="Times New Roman" w:hAnsi="Times New Roman" w:cs="Times New Roman"/>
          <w:b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>Supplemental methods</w:t>
      </w:r>
    </w:p>
    <w:p w14:paraId="0FD28EAF" w14:textId="5868BD92" w:rsidR="008753AC" w:rsidRPr="008753AC" w:rsidRDefault="00904E47" w:rsidP="00361754">
      <w:pPr>
        <w:widowControl/>
        <w:autoSpaceDE w:val="0"/>
        <w:autoSpaceDN w:val="0"/>
        <w:adjustRightInd w:val="0"/>
        <w:outlineLvl w:val="0"/>
        <w:rPr>
          <w:rFonts w:ascii="Times New Roman" w:hAnsi="Times New Roman" w:cs="Times New Roman"/>
          <w:i/>
          <w:color w:val="0D0D0D" w:themeColor="text1" w:themeTint="F2"/>
          <w:kern w:val="0"/>
          <w:sz w:val="21"/>
          <w:szCs w:val="21"/>
          <w:lang w:val="en-GB"/>
        </w:rPr>
      </w:pPr>
      <w:r>
        <w:rPr>
          <w:rFonts w:ascii="Times New Roman" w:hAnsi="Times New Roman" w:cs="Times New Roman" w:hint="eastAsia"/>
          <w:i/>
          <w:color w:val="0D0D0D" w:themeColor="text1" w:themeTint="F2"/>
          <w:kern w:val="0"/>
          <w:sz w:val="21"/>
          <w:szCs w:val="21"/>
          <w:lang w:val="en-GB"/>
        </w:rPr>
        <w:t xml:space="preserve">T </w:t>
      </w:r>
      <w:r w:rsidR="008753AC" w:rsidRPr="008753AC">
        <w:rPr>
          <w:rFonts w:ascii="Times New Roman" w:hAnsi="Times New Roman" w:cs="Times New Roman" w:hint="eastAsia"/>
          <w:i/>
          <w:color w:val="0D0D0D" w:themeColor="text1" w:themeTint="F2"/>
          <w:kern w:val="0"/>
          <w:sz w:val="21"/>
          <w:szCs w:val="21"/>
          <w:lang w:val="en-GB"/>
        </w:rPr>
        <w:t>Cell culture</w:t>
      </w:r>
    </w:p>
    <w:p w14:paraId="5EF704AD" w14:textId="3FA48B9F" w:rsidR="008753AC" w:rsidRPr="008753AC" w:rsidRDefault="008753AC" w:rsidP="00361754">
      <w:pPr>
        <w:widowControl/>
        <w:autoSpaceDE w:val="0"/>
        <w:autoSpaceDN w:val="0"/>
        <w:adjustRightInd w:val="0"/>
        <w:outlineLvl w:val="0"/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</w:pPr>
      <w:r w:rsidRPr="008753AC"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>T cells were separated from healthy volunteers who received medical examinations using a peripheral blood monocyte separation kit (TBD, lot: TBD2011H). T cells were cultured in RPMI 1640 media containing 10% human AB serum with 50 μM of 2-mercaptoethanol, 100 IU/ml of interleukin-2 (IL-2) and 0.1 mM MEM non-essential amino acid solution.</w:t>
      </w:r>
    </w:p>
    <w:p w14:paraId="268D2509" w14:textId="77777777" w:rsidR="008753AC" w:rsidRDefault="008753AC" w:rsidP="00361754">
      <w:pPr>
        <w:widowControl/>
        <w:autoSpaceDE w:val="0"/>
        <w:autoSpaceDN w:val="0"/>
        <w:adjustRightInd w:val="0"/>
        <w:outlineLvl w:val="0"/>
        <w:rPr>
          <w:rFonts w:ascii="Times New Roman" w:hAnsi="Times New Roman" w:cs="Times New Roman"/>
          <w:i/>
          <w:color w:val="0D0D0D" w:themeColor="text1" w:themeTint="F2"/>
          <w:kern w:val="0"/>
          <w:sz w:val="21"/>
          <w:szCs w:val="21"/>
          <w:lang w:val="en-GB"/>
        </w:rPr>
      </w:pPr>
    </w:p>
    <w:p w14:paraId="7BB48A50" w14:textId="77777777" w:rsidR="00361754" w:rsidRPr="000F5697" w:rsidRDefault="00361754" w:rsidP="00361754">
      <w:pPr>
        <w:widowControl/>
        <w:autoSpaceDE w:val="0"/>
        <w:autoSpaceDN w:val="0"/>
        <w:adjustRightInd w:val="0"/>
        <w:outlineLvl w:val="0"/>
        <w:rPr>
          <w:rFonts w:ascii="Times New Roman" w:hAnsi="Times New Roman" w:cs="Times New Roman"/>
          <w:i/>
          <w:color w:val="0D0D0D" w:themeColor="text1" w:themeTint="F2"/>
          <w:kern w:val="0"/>
          <w:sz w:val="21"/>
          <w:szCs w:val="21"/>
          <w:lang w:val="en-GB"/>
        </w:rPr>
      </w:pPr>
      <w:r w:rsidRPr="000F5697">
        <w:rPr>
          <w:rFonts w:ascii="Times New Roman" w:hAnsi="Times New Roman" w:cs="Times New Roman"/>
          <w:i/>
          <w:color w:val="0D0D0D" w:themeColor="text1" w:themeTint="F2"/>
          <w:kern w:val="0"/>
          <w:sz w:val="21"/>
          <w:szCs w:val="21"/>
          <w:lang w:val="en-GB"/>
        </w:rPr>
        <w:t>Cell growth</w:t>
      </w:r>
    </w:p>
    <w:p w14:paraId="582B2110" w14:textId="77777777" w:rsidR="00361754" w:rsidRDefault="00361754" w:rsidP="00361754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</w:pPr>
      <w:r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>Trypan blue assays were used to examine cell growth. The AML cells (THP-1, U937, HL60, Molm-13 cells and human cells) were seeded into 6-well plates at 1×10</w:t>
      </w:r>
      <w:r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vertAlign w:val="superscript"/>
          <w:lang w:val="en-GB"/>
        </w:rPr>
        <w:t>5</w:t>
      </w:r>
      <w:r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>-10</w:t>
      </w:r>
      <w:r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vertAlign w:val="superscript"/>
          <w:lang w:val="en-GB"/>
        </w:rPr>
        <w:t xml:space="preserve">6 </w:t>
      </w:r>
      <w:r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>cells per well and treated with CKI for 48 h. Then, the cells were harvested and trypan blue was added at a final concentration of 0.2% to test the cell viability with a cell counter (Cellometer</w:t>
      </w:r>
      <w:r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vertAlign w:val="superscript"/>
          <w:lang w:val="en-GB"/>
        </w:rPr>
        <w:t>®</w:t>
      </w:r>
      <w:r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 xml:space="preserve"> Mini, Nexcelom, Bioscience).</w:t>
      </w:r>
    </w:p>
    <w:p w14:paraId="633FDF02" w14:textId="77777777" w:rsidR="00904E47" w:rsidRDefault="00904E47" w:rsidP="00361754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</w:pPr>
    </w:p>
    <w:p w14:paraId="522B70DA" w14:textId="77777777" w:rsidR="00904E47" w:rsidRPr="00904E47" w:rsidRDefault="00904E47" w:rsidP="00361754">
      <w:pPr>
        <w:widowControl/>
        <w:autoSpaceDE w:val="0"/>
        <w:autoSpaceDN w:val="0"/>
        <w:adjustRightInd w:val="0"/>
        <w:rPr>
          <w:rFonts w:ascii="Times New Roman" w:hAnsi="Times New Roman" w:cs="Times New Roman"/>
          <w:i/>
          <w:color w:val="0D0D0D" w:themeColor="text1" w:themeTint="F2"/>
          <w:kern w:val="0"/>
          <w:sz w:val="21"/>
          <w:szCs w:val="21"/>
          <w:lang w:val="en-GB"/>
        </w:rPr>
      </w:pPr>
      <w:r w:rsidRPr="00904E47">
        <w:rPr>
          <w:rFonts w:ascii="Times New Roman" w:hAnsi="Times New Roman" w:cs="Times New Roman" w:hint="eastAsia"/>
          <w:i/>
          <w:color w:val="0D0D0D" w:themeColor="text1" w:themeTint="F2"/>
          <w:kern w:val="0"/>
          <w:sz w:val="21"/>
          <w:szCs w:val="21"/>
          <w:lang w:val="en-GB"/>
        </w:rPr>
        <w:t>Cell apoptosis and cell cycle</w:t>
      </w:r>
    </w:p>
    <w:p w14:paraId="09A0425A" w14:textId="67953C86" w:rsidR="00361754" w:rsidRDefault="00904E47" w:rsidP="00361754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</w:pPr>
      <w:r w:rsidRPr="00904E47"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>Cell apoptosis was measured using an Annexin V-FITC/PI apoptosis kit (MultiSciences (Lianke) Biotech Co., Ltd.) according to the manufacturer’s instructions. In total, 1×106 AML cells per well were seeded into a 6-well plate and treated with CKI. After incubation for 48 h, the cells were harvested and stained with Annexin V-FITC/PI. The apoptotic cells were measured by flow cytometry (Cytomics FC 500, Beckman coulter).</w:t>
      </w:r>
    </w:p>
    <w:p w14:paraId="6C99B675" w14:textId="77777777" w:rsidR="00904E47" w:rsidRPr="00904E47" w:rsidRDefault="00904E47" w:rsidP="00904E47">
      <w:pPr>
        <w:widowControl/>
        <w:autoSpaceDE w:val="0"/>
        <w:autoSpaceDN w:val="0"/>
        <w:adjustRightInd w:val="0"/>
        <w:ind w:firstLineChars="200" w:firstLine="420"/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</w:pPr>
      <w:r w:rsidRPr="00904E47"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>To examine the changes in the mitochondrial membrane potential after CKI treatment for 24 h, U937 and THP-1 cells were stained with JC-1 dye (Beyotime, No. C2006). The change in the fluorescence intensities for JC-1 from aggregates to monomers was calculated to analyse early apoptosis by flow cytometry.</w:t>
      </w:r>
    </w:p>
    <w:p w14:paraId="5FF98FA0" w14:textId="77777777" w:rsidR="00904E47" w:rsidRPr="00904E47" w:rsidRDefault="00904E47" w:rsidP="00904E47">
      <w:pPr>
        <w:widowControl/>
        <w:autoSpaceDE w:val="0"/>
        <w:autoSpaceDN w:val="0"/>
        <w:adjustRightInd w:val="0"/>
        <w:ind w:firstLineChars="200" w:firstLine="420"/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</w:pPr>
      <w:r w:rsidRPr="00904E47"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 xml:space="preserve">Cell cycle was examined using a kit (KeyGen Biotech, Cat. NO: KGA512) according to the manufacturer’s instructions. U937 and HL60 cells were collected and fixed with 70% ethyl alcohol at 4 </w:t>
      </w:r>
      <w:r w:rsidRPr="00904E47">
        <w:rPr>
          <w:rFonts w:ascii="MS Mincho" w:eastAsia="MS Mincho" w:hAnsi="MS Mincho" w:cs="MS Mincho"/>
          <w:color w:val="0D0D0D" w:themeColor="text1" w:themeTint="F2"/>
          <w:kern w:val="0"/>
          <w:sz w:val="21"/>
          <w:szCs w:val="21"/>
          <w:lang w:val="en-GB"/>
        </w:rPr>
        <w:t>℃</w:t>
      </w:r>
      <w:r w:rsidRPr="00904E47"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 xml:space="preserve"> for 2 h, suspended, washed with PBS, stained with propidium (PI) at 4 </w:t>
      </w:r>
      <w:r w:rsidRPr="00904E47">
        <w:rPr>
          <w:rFonts w:ascii="MS Mincho" w:eastAsia="MS Mincho" w:hAnsi="MS Mincho" w:cs="MS Mincho"/>
          <w:color w:val="0D0D0D" w:themeColor="text1" w:themeTint="F2"/>
          <w:kern w:val="0"/>
          <w:sz w:val="21"/>
          <w:szCs w:val="21"/>
          <w:lang w:val="en-GB"/>
        </w:rPr>
        <w:t>℃</w:t>
      </w:r>
      <w:r w:rsidRPr="00904E47"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 xml:space="preserve"> for 30 min avoiding light and analysed by flow cytometry.</w:t>
      </w:r>
    </w:p>
    <w:p w14:paraId="3B0B8B96" w14:textId="77777777" w:rsidR="00904E47" w:rsidRPr="00904E47" w:rsidRDefault="00904E47" w:rsidP="00361754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</w:pPr>
    </w:p>
    <w:p w14:paraId="69DB1A52" w14:textId="77777777" w:rsidR="00361754" w:rsidRPr="000F5697" w:rsidRDefault="00361754" w:rsidP="00361754">
      <w:pPr>
        <w:pStyle w:val="Heading3"/>
        <w:spacing w:before="0" w:after="0" w:line="240" w:lineRule="auto"/>
        <w:rPr>
          <w:b w:val="0"/>
          <w:i/>
          <w:color w:val="0D0D0D" w:themeColor="text1" w:themeTint="F2"/>
          <w:sz w:val="21"/>
          <w:szCs w:val="21"/>
          <w:lang w:val="en-GB"/>
        </w:rPr>
      </w:pPr>
      <w:r w:rsidRPr="000F5697">
        <w:rPr>
          <w:b w:val="0"/>
          <w:i/>
          <w:color w:val="0D0D0D" w:themeColor="text1" w:themeTint="F2"/>
          <w:sz w:val="21"/>
          <w:szCs w:val="21"/>
          <w:lang w:val="en-GB"/>
        </w:rPr>
        <w:t>Dimethylation labelling reaction and hybrid quadrupole-TOF LC-MS/MS</w:t>
      </w:r>
    </w:p>
    <w:p w14:paraId="158D99AD" w14:textId="77777777" w:rsidR="00361754" w:rsidRDefault="00361754" w:rsidP="00361754">
      <w:pPr>
        <w:rPr>
          <w:rFonts w:ascii="Times New Roman" w:hAnsi="Times New Roman" w:cs="Times New Roman"/>
          <w:color w:val="0D0D0D" w:themeColor="text1" w:themeTint="F2"/>
          <w:sz w:val="21"/>
          <w:szCs w:val="21"/>
          <w:lang w:val="en-GB"/>
        </w:rPr>
      </w:pPr>
      <w:r>
        <w:rPr>
          <w:rFonts w:ascii="Times New Roman" w:hAnsi="Times New Roman" w:cs="Times New Roman"/>
          <w:color w:val="0D0D0D" w:themeColor="text1" w:themeTint="F2"/>
          <w:sz w:val="21"/>
          <w:szCs w:val="21"/>
          <w:lang w:val="en-GB"/>
        </w:rPr>
        <w:t>In total, 200 μg peptides from each group (control and CKI treatment in U937 cells) was re-suspended in 1 m</w:t>
      </w:r>
      <w:r>
        <w:rPr>
          <w:rFonts w:ascii="Times New Roman" w:hAnsi="Times New Roman" w:cs="Times New Roman" w:hint="eastAsia"/>
          <w:color w:val="0D0D0D" w:themeColor="text1" w:themeTint="F2"/>
          <w:sz w:val="21"/>
          <w:szCs w:val="21"/>
        </w:rPr>
        <w:t>l</w:t>
      </w:r>
      <w:r>
        <w:rPr>
          <w:rFonts w:ascii="Times New Roman" w:hAnsi="Times New Roman" w:cs="Times New Roman"/>
          <w:color w:val="0D0D0D" w:themeColor="text1" w:themeTint="F2"/>
          <w:sz w:val="21"/>
          <w:szCs w:val="21"/>
          <w:lang w:val="en-GB"/>
        </w:rPr>
        <w:t xml:space="preserve"> 0.1 M NaAc (pH 5.99). The peptides were labelled by reductive methylation of the primary amino groups (N-terminal and K). Control and CKI treatment samples were distinguished as light- and intermediate-labelled by incubating with 160 </w:t>
      </w:r>
      <w:r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>µL</w:t>
      </w:r>
      <w:r>
        <w:rPr>
          <w:rFonts w:ascii="Times New Roman" w:hAnsi="Times New Roman" w:cs="Times New Roman"/>
          <w:color w:val="0D0D0D" w:themeColor="text1" w:themeTint="F2"/>
          <w:sz w:val="21"/>
          <w:szCs w:val="21"/>
          <w:lang w:val="en-GB"/>
        </w:rPr>
        <w:t xml:space="preserve"> 4% CH</w:t>
      </w:r>
      <w:r>
        <w:rPr>
          <w:rFonts w:ascii="Times New Roman" w:hAnsi="Times New Roman" w:cs="Times New Roman"/>
          <w:color w:val="0D0D0D" w:themeColor="text1" w:themeTint="F2"/>
          <w:sz w:val="21"/>
          <w:szCs w:val="21"/>
          <w:vertAlign w:val="subscript"/>
          <w:lang w:val="en-GB"/>
        </w:rPr>
        <w:t>2</w:t>
      </w:r>
      <w:r>
        <w:rPr>
          <w:rFonts w:ascii="Times New Roman" w:hAnsi="Times New Roman" w:cs="Times New Roman"/>
          <w:color w:val="0D0D0D" w:themeColor="text1" w:themeTint="F2"/>
          <w:sz w:val="21"/>
          <w:szCs w:val="21"/>
          <w:lang w:val="en-GB"/>
        </w:rPr>
        <w:t>O (light formaldehyde) and 4% CD</w:t>
      </w:r>
      <w:r>
        <w:rPr>
          <w:rFonts w:ascii="Times New Roman" w:hAnsi="Times New Roman" w:cs="Times New Roman"/>
          <w:color w:val="0D0D0D" w:themeColor="text1" w:themeTint="F2"/>
          <w:sz w:val="21"/>
          <w:szCs w:val="21"/>
          <w:vertAlign w:val="subscript"/>
          <w:lang w:val="en-GB"/>
        </w:rPr>
        <w:t>2</w:t>
      </w:r>
      <w:r>
        <w:rPr>
          <w:rFonts w:ascii="Times New Roman" w:hAnsi="Times New Roman" w:cs="Times New Roman"/>
          <w:color w:val="0D0D0D" w:themeColor="text1" w:themeTint="F2"/>
          <w:sz w:val="21"/>
          <w:szCs w:val="21"/>
          <w:lang w:val="en-GB"/>
        </w:rPr>
        <w:t>O (intermediate formaldehyde), respectively, in the presence of sodium cyanoborohydride (NaBH</w:t>
      </w:r>
      <w:r>
        <w:rPr>
          <w:rFonts w:ascii="Times New Roman" w:hAnsi="Times New Roman" w:cs="Times New Roman"/>
          <w:color w:val="0D0D0D" w:themeColor="text1" w:themeTint="F2"/>
          <w:sz w:val="21"/>
          <w:szCs w:val="21"/>
          <w:vertAlign w:val="subscript"/>
          <w:lang w:val="en-GB"/>
        </w:rPr>
        <w:t>3</w:t>
      </w:r>
      <w:r>
        <w:rPr>
          <w:rFonts w:ascii="Times New Roman" w:hAnsi="Times New Roman" w:cs="Times New Roman"/>
          <w:color w:val="0D0D0D" w:themeColor="text1" w:themeTint="F2"/>
          <w:sz w:val="21"/>
          <w:szCs w:val="21"/>
          <w:lang w:val="en-GB"/>
        </w:rPr>
        <w:t>CN) for 45 min at RT. After labelling, two differentially labelled samples were pooled at a 1:1 (w/w) ratio and desalted prior to the MS detection.</w:t>
      </w:r>
    </w:p>
    <w:p w14:paraId="744D4C2C" w14:textId="77777777" w:rsidR="00361754" w:rsidRDefault="00361754" w:rsidP="00361754">
      <w:pPr>
        <w:tabs>
          <w:tab w:val="left" w:pos="2220"/>
          <w:tab w:val="left" w:pos="5280"/>
          <w:tab w:val="left" w:pos="7920"/>
          <w:tab w:val="left" w:pos="10560"/>
          <w:tab w:val="left" w:pos="13200"/>
          <w:tab w:val="left" w:pos="15840"/>
          <w:tab w:val="left" w:pos="18480"/>
          <w:tab w:val="left" w:pos="21120"/>
          <w:tab w:val="left" w:pos="23760"/>
          <w:tab w:val="left" w:pos="26400"/>
          <w:tab w:val="left" w:pos="29040"/>
          <w:tab w:val="left" w:pos="31680"/>
        </w:tabs>
        <w:autoSpaceDE w:val="0"/>
        <w:autoSpaceDN w:val="0"/>
        <w:adjustRightInd w:val="0"/>
        <w:ind w:firstLine="420"/>
        <w:rPr>
          <w:rFonts w:ascii="Times New Roman" w:eastAsia="SimSun" w:hAnsi="Times New Roman" w:cs="Times New Roman"/>
          <w:color w:val="0D0D0D" w:themeColor="text1" w:themeTint="F2"/>
          <w:kern w:val="0"/>
          <w:sz w:val="21"/>
          <w:szCs w:val="21"/>
          <w:lang w:val="en-GB"/>
        </w:rPr>
      </w:pPr>
      <w:r>
        <w:rPr>
          <w:rFonts w:ascii="Times New Roman" w:eastAsia="SimSu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 xml:space="preserve">The data analysis parameters were as follows: (1) Sample type: dimethyl+0 and +4 (peptide labelled); (2) Cys. alkylation: iodoacetamide (IAA); (3) Digestion: trypsin; (4) Instrument: TripleTOF 5600; (5) Species: </w:t>
      </w:r>
      <w:r>
        <w:rPr>
          <w:rFonts w:ascii="Times New Roman" w:eastAsia="SimSun" w:hAnsi="Times New Roman" w:cs="Times New Roman"/>
          <w:i/>
          <w:color w:val="0D0D0D" w:themeColor="text1" w:themeTint="F2"/>
          <w:kern w:val="0"/>
          <w:sz w:val="21"/>
          <w:szCs w:val="21"/>
          <w:lang w:val="en-GB"/>
        </w:rPr>
        <w:t>Homo sapiens</w:t>
      </w:r>
      <w:r>
        <w:rPr>
          <w:rFonts w:ascii="Times New Roman" w:eastAsia="SimSu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>; and (6) Search Effort: rapid. All peptides used for the calculation of the protein ratios were unique for a given protein or proteins within the group. The protein confidence threshold cut-off was set at greater than 0.05 (Unused ProtScore) and with at least one peptide with 95% confidence.</w:t>
      </w:r>
    </w:p>
    <w:p w14:paraId="54703B61" w14:textId="77777777" w:rsidR="00361754" w:rsidRDefault="00361754" w:rsidP="00361754">
      <w:pPr>
        <w:pStyle w:val="Heading3"/>
        <w:spacing w:before="0" w:after="0" w:line="240" w:lineRule="auto"/>
        <w:rPr>
          <w:color w:val="0D0D0D" w:themeColor="text1" w:themeTint="F2"/>
          <w:sz w:val="21"/>
          <w:szCs w:val="21"/>
          <w:lang w:val="en-GB"/>
        </w:rPr>
      </w:pPr>
    </w:p>
    <w:p w14:paraId="70A2DAC4" w14:textId="77777777" w:rsidR="00361754" w:rsidRDefault="00361754" w:rsidP="00361754">
      <w:pPr>
        <w:widowControl/>
        <w:autoSpaceDE w:val="0"/>
        <w:autoSpaceDN w:val="0"/>
        <w:adjustRightInd w:val="0"/>
        <w:spacing w:after="240" w:line="260" w:lineRule="atLeast"/>
        <w:rPr>
          <w:rFonts w:ascii="Times New Roman" w:hAnsi="Times New Roman" w:cs="Times New Roman"/>
          <w:kern w:val="0"/>
          <w:sz w:val="21"/>
          <w:szCs w:val="21"/>
          <w:lang w:val="en-GB"/>
        </w:rPr>
      </w:pPr>
      <w:r w:rsidRPr="000F5697">
        <w:rPr>
          <w:rFonts w:ascii="Times New Roman" w:hAnsi="Times New Roman" w:cs="Times New Roman"/>
          <w:i/>
          <w:kern w:val="0"/>
          <w:sz w:val="21"/>
          <w:szCs w:val="21"/>
          <w:lang w:val="en-GB"/>
        </w:rPr>
        <w:t>Quantitative real-time PCR (qPCR)</w:t>
      </w:r>
      <w:r w:rsidRPr="000F5697">
        <w:rPr>
          <w:rFonts w:ascii="Times New Roman" w:hAnsi="Times New Roman" w:cs="Times New Roman"/>
          <w:i/>
          <w:sz w:val="21"/>
          <w:szCs w:val="21"/>
          <w:lang w:val="en-GB"/>
        </w:rPr>
        <w:br/>
      </w:r>
      <w:r>
        <w:rPr>
          <w:rFonts w:ascii="Times New Roman" w:hAnsi="Times New Roman" w:cs="Times New Roman"/>
          <w:kern w:val="0"/>
          <w:sz w:val="21"/>
          <w:szCs w:val="21"/>
          <w:lang w:val="en-GB"/>
        </w:rPr>
        <w:t>For qPCR, the total RNA was extracted with the TRIzol method (Invitrogen) from AML cells. Then, cDNA was synthesized from 1 μg total RNA with the Reverse Transcription kit (Promega). All qPCR reactions were performed with the rTaq polymerase system (SYBR green, Sigma) for 35 cycles using a 96-well CFX Connect</w:t>
      </w:r>
      <w:r>
        <w:rPr>
          <w:rFonts w:ascii="Times New Roman" w:hAnsi="Times New Roman" w:cs="Times New Roman"/>
          <w:kern w:val="0"/>
          <w:sz w:val="21"/>
          <w:szCs w:val="21"/>
          <w:vertAlign w:val="superscript"/>
          <w:lang w:val="en-GB"/>
        </w:rPr>
        <w:t>TM</w:t>
      </w:r>
      <w:r>
        <w:rPr>
          <w:rFonts w:ascii="Times New Roman" w:hAnsi="Times New Roman" w:cs="Times New Roman"/>
          <w:kern w:val="0"/>
          <w:sz w:val="21"/>
          <w:szCs w:val="21"/>
          <w:lang w:val="en-GB"/>
        </w:rPr>
        <w:t xml:space="preserve"> fluorescence quantitative PCR instrument (Bio-rad). The PCR primer sequences were as follows: (1) human GAPDH forward (GGAGTCCACTGGCGTCTTCA) and reverse (GTCATGAGTCCTTCCACGATACC), (2) Prdx3 forward (AGTTGTCGCAGTCTCAGTGG) and reverse (AACAGCACACCGTAGTCTCG), (3) Prdx2 #1 forward (GTGTCCTTCGCCAGATCACT) and reverse (ACAAACTTCCCCATGCTCGT), and (4) Prdx2 #2 forward (GGACTCTCAGTTCACCCACC) and reverse (TTTCAGCACGCCGTAATCCT).</w:t>
      </w:r>
    </w:p>
    <w:p w14:paraId="32AF8BF0" w14:textId="77777777" w:rsidR="00361754" w:rsidRDefault="00361754" w:rsidP="00361754">
      <w:pPr>
        <w:outlineLvl w:val="0"/>
        <w:rPr>
          <w:rFonts w:ascii="Times New Roman" w:hAnsi="Times New Roman" w:cs="Times New Roman"/>
          <w:b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>Supplemental information</w:t>
      </w:r>
    </w:p>
    <w:p w14:paraId="011E7F4D" w14:textId="22941EED" w:rsidR="00361754" w:rsidRPr="003510D0" w:rsidRDefault="00361754" w:rsidP="00361754">
      <w:pPr>
        <w:outlineLvl w:val="0"/>
        <w:rPr>
          <w:rFonts w:ascii="Times New Roman" w:hAnsi="Times New Roman" w:cs="Times New Roman"/>
          <w:b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 xml:space="preserve">Table </w:t>
      </w:r>
      <w:r w:rsidR="00CC2E50">
        <w:rPr>
          <w:rFonts w:ascii="Times New Roman" w:hAnsi="Times New Roman" w:cs="Times New Roman"/>
          <w:b/>
          <w:sz w:val="21"/>
          <w:szCs w:val="21"/>
          <w:lang w:val="en-GB"/>
        </w:rPr>
        <w:t>S</w:t>
      </w:r>
      <w:r w:rsidR="00323E07">
        <w:rPr>
          <w:rFonts w:ascii="Times New Roman" w:hAnsi="Times New Roman" w:cs="Times New Roman"/>
          <w:b/>
          <w:sz w:val="21"/>
          <w:szCs w:val="21"/>
          <w:lang w:val="en-GB"/>
        </w:rPr>
        <w:t>1</w:t>
      </w:r>
      <w:r>
        <w:rPr>
          <w:rFonts w:ascii="Times New Roman" w:hAnsi="Times New Roman" w:cs="Times New Roman"/>
          <w:b/>
          <w:sz w:val="21"/>
          <w:szCs w:val="21"/>
          <w:lang w:val="en-GB"/>
        </w:rPr>
        <w:t xml:space="preserve">. </w:t>
      </w:r>
      <w:r w:rsidR="003510D0" w:rsidRPr="003510D0">
        <w:rPr>
          <w:rFonts w:ascii="Times New Roman" w:hAnsi="Times New Roman" w:cs="Times New Roman"/>
          <w:b/>
          <w:sz w:val="21"/>
          <w:szCs w:val="21"/>
          <w:lang w:val="en-GB"/>
        </w:rPr>
        <w:t>The information of new diagnosed AML patients</w:t>
      </w:r>
      <w:r w:rsidR="003510D0">
        <w:rPr>
          <w:rFonts w:ascii="Times New Roman" w:hAnsi="Times New Roman" w:cs="Times New Roman"/>
          <w:b/>
          <w:sz w:val="21"/>
          <w:szCs w:val="21"/>
          <w:lang w:val="en-GB"/>
        </w:rPr>
        <w:t>.</w:t>
      </w:r>
    </w:p>
    <w:p w14:paraId="0A06591C" w14:textId="08E303D1" w:rsidR="00361754" w:rsidRPr="00361754" w:rsidRDefault="00361754" w:rsidP="00361754">
      <w:pPr>
        <w:outlineLvl w:val="0"/>
        <w:rPr>
          <w:rFonts w:ascii="Times New Roman" w:hAnsi="Times New Roman" w:cs="Times New Roman"/>
          <w:b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 xml:space="preserve">Table </w:t>
      </w:r>
      <w:r w:rsidR="00CC2E50">
        <w:rPr>
          <w:rFonts w:ascii="Times New Roman" w:hAnsi="Times New Roman" w:cs="Times New Roman"/>
          <w:b/>
          <w:sz w:val="21"/>
          <w:szCs w:val="21"/>
          <w:lang w:val="en-GB"/>
        </w:rPr>
        <w:t>S</w:t>
      </w:r>
      <w:r w:rsidR="00323E07">
        <w:rPr>
          <w:rFonts w:ascii="Times New Roman" w:hAnsi="Times New Roman" w:cs="Times New Roman"/>
          <w:b/>
          <w:sz w:val="21"/>
          <w:szCs w:val="21"/>
          <w:lang w:val="en-GB"/>
        </w:rPr>
        <w:t>2</w:t>
      </w:r>
      <w:r>
        <w:rPr>
          <w:rFonts w:ascii="Times New Roman" w:hAnsi="Times New Roman" w:cs="Times New Roman"/>
          <w:b/>
          <w:sz w:val="21"/>
          <w:szCs w:val="21"/>
          <w:lang w:val="en-GB"/>
        </w:rPr>
        <w:t>. The identified proteins by LC-MS/MS.</w:t>
      </w:r>
    </w:p>
    <w:p w14:paraId="21B6479D" w14:textId="5271F6EB" w:rsidR="00361754" w:rsidRDefault="00361754" w:rsidP="00361754">
      <w:pPr>
        <w:outlineLvl w:val="0"/>
        <w:rPr>
          <w:rFonts w:ascii="Times New Roman" w:hAnsi="Times New Roman" w:cs="Times New Roman"/>
          <w:b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 xml:space="preserve">Table </w:t>
      </w:r>
      <w:r w:rsidR="00CC2E50">
        <w:rPr>
          <w:rFonts w:ascii="Times New Roman" w:hAnsi="Times New Roman" w:cs="Times New Roman"/>
          <w:b/>
          <w:sz w:val="21"/>
          <w:szCs w:val="21"/>
          <w:lang w:val="en-GB"/>
        </w:rPr>
        <w:t>S</w:t>
      </w:r>
      <w:r w:rsidR="00323E07">
        <w:rPr>
          <w:rFonts w:ascii="Times New Roman" w:hAnsi="Times New Roman" w:cs="Times New Roman"/>
          <w:b/>
          <w:sz w:val="21"/>
          <w:szCs w:val="21"/>
          <w:lang w:val="en-GB"/>
        </w:rPr>
        <w:t>3</w:t>
      </w:r>
      <w:r>
        <w:rPr>
          <w:rFonts w:ascii="Times New Roman" w:hAnsi="Times New Roman" w:cs="Times New Roman"/>
          <w:b/>
          <w:sz w:val="21"/>
          <w:szCs w:val="21"/>
          <w:lang w:val="en-GB"/>
        </w:rPr>
        <w:t>. The identified 54 differentially expressed proteins.</w:t>
      </w:r>
    </w:p>
    <w:p w14:paraId="775AD7E4" w14:textId="77777777" w:rsidR="00323E07" w:rsidRDefault="00323E07" w:rsidP="00323E07">
      <w:pPr>
        <w:outlineLvl w:val="0"/>
        <w:rPr>
          <w:rFonts w:ascii="Times New Roman" w:hAnsi="Times New Roman" w:cs="Times New Roman"/>
          <w:b/>
          <w:sz w:val="21"/>
          <w:szCs w:val="21"/>
          <w:lang w:val="en-GB"/>
        </w:rPr>
      </w:pPr>
    </w:p>
    <w:p w14:paraId="7397F6E0" w14:textId="106EFFBF" w:rsidR="00323E07" w:rsidRPr="00323E07" w:rsidRDefault="00323E07" w:rsidP="00323E07">
      <w:pPr>
        <w:outlineLvl w:val="0"/>
        <w:rPr>
          <w:rFonts w:ascii="Times New Roman" w:hAnsi="Times New Roman" w:cs="Times New Roman"/>
          <w:b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>Fig</w:t>
      </w:r>
      <w:r w:rsidR="00CC2E50">
        <w:rPr>
          <w:rFonts w:ascii="Times New Roman" w:hAnsi="Times New Roman" w:cs="Times New Roman"/>
          <w:b/>
          <w:sz w:val="21"/>
          <w:szCs w:val="21"/>
          <w:lang w:val="en-GB"/>
        </w:rPr>
        <w:t>ure S</w:t>
      </w:r>
      <w:r>
        <w:rPr>
          <w:rFonts w:ascii="Times New Roman" w:hAnsi="Times New Roman" w:cs="Times New Roman"/>
          <w:b/>
          <w:sz w:val="21"/>
          <w:szCs w:val="21"/>
          <w:lang w:val="en-GB"/>
        </w:rPr>
        <w:t xml:space="preserve">1. </w:t>
      </w:r>
      <w:r w:rsidRPr="003510D0">
        <w:rPr>
          <w:rFonts w:ascii="Times New Roman" w:hAnsi="Times New Roman" w:cs="Times New Roman"/>
          <w:b/>
          <w:sz w:val="21"/>
          <w:szCs w:val="21"/>
          <w:lang w:val="en-GB"/>
        </w:rPr>
        <w:t xml:space="preserve">The </w:t>
      </w:r>
      <w:r>
        <w:rPr>
          <w:rFonts w:ascii="Times New Roman" w:hAnsi="Times New Roman" w:cs="Times New Roman"/>
          <w:b/>
          <w:sz w:val="21"/>
          <w:szCs w:val="21"/>
          <w:lang w:val="en-GB"/>
        </w:rPr>
        <w:t>component</w:t>
      </w:r>
      <w:r w:rsidRPr="003510D0">
        <w:rPr>
          <w:rFonts w:ascii="Times New Roman" w:hAnsi="Times New Roman" w:cs="Times New Roman"/>
          <w:b/>
          <w:sz w:val="21"/>
          <w:szCs w:val="21"/>
          <w:lang w:val="en-GB"/>
        </w:rPr>
        <w:t xml:space="preserve"> of </w:t>
      </w:r>
      <w:r>
        <w:rPr>
          <w:rFonts w:ascii="Times New Roman" w:hAnsi="Times New Roman" w:cs="Times New Roman"/>
          <w:b/>
          <w:sz w:val="21"/>
          <w:szCs w:val="21"/>
          <w:lang w:val="en-GB"/>
        </w:rPr>
        <w:t>CKI.</w:t>
      </w:r>
    </w:p>
    <w:p w14:paraId="5D768CDA" w14:textId="405CF4B3" w:rsidR="00361754" w:rsidRDefault="00361754" w:rsidP="00361754">
      <w:pPr>
        <w:outlineLvl w:val="0"/>
        <w:rPr>
          <w:rFonts w:ascii="Times New Roman" w:hAnsi="Times New Roman" w:cs="Times New Roman"/>
          <w:b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>Fi</w:t>
      </w:r>
      <w:r w:rsidR="00B630D3">
        <w:rPr>
          <w:rFonts w:ascii="Times New Roman" w:hAnsi="Times New Roman" w:cs="Times New Roman" w:hint="eastAsia"/>
          <w:b/>
          <w:sz w:val="21"/>
          <w:szCs w:val="21"/>
          <w:lang w:val="en-GB"/>
        </w:rPr>
        <w:t>g</w:t>
      </w:r>
      <w:r w:rsidR="00CC2E50">
        <w:rPr>
          <w:rFonts w:ascii="Times New Roman" w:hAnsi="Times New Roman" w:cs="Times New Roman"/>
          <w:b/>
          <w:sz w:val="21"/>
          <w:szCs w:val="21"/>
          <w:lang w:val="en-GB"/>
        </w:rPr>
        <w:t>ure S</w:t>
      </w:r>
      <w:r w:rsidR="00323E07">
        <w:rPr>
          <w:rFonts w:ascii="Times New Roman" w:hAnsi="Times New Roman" w:cs="Times New Roman"/>
          <w:b/>
          <w:sz w:val="21"/>
          <w:szCs w:val="21"/>
          <w:lang w:val="en-GB"/>
        </w:rPr>
        <w:t>2</w:t>
      </w:r>
      <w:r>
        <w:rPr>
          <w:rFonts w:ascii="Times New Roman" w:hAnsi="Times New Roman" w:cs="Times New Roman"/>
          <w:b/>
          <w:sz w:val="21"/>
          <w:szCs w:val="21"/>
          <w:lang w:val="en-GB"/>
        </w:rPr>
        <w:t>. The SOD vitality after CKI treatment.</w:t>
      </w:r>
    </w:p>
    <w:p w14:paraId="280675F1" w14:textId="2FDA38B9" w:rsidR="00361754" w:rsidRDefault="00361754" w:rsidP="00361754">
      <w:pPr>
        <w:outlineLvl w:val="0"/>
        <w:rPr>
          <w:rFonts w:ascii="Times New Roman" w:hAnsi="Times New Roman" w:cs="Times New Roman"/>
          <w:b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>Fig</w:t>
      </w:r>
      <w:r w:rsidR="009424D8">
        <w:rPr>
          <w:rFonts w:ascii="Times New Roman" w:hAnsi="Times New Roman" w:cs="Times New Roman"/>
          <w:b/>
          <w:sz w:val="21"/>
          <w:szCs w:val="21"/>
          <w:lang w:val="en-GB"/>
        </w:rPr>
        <w:t>ure S</w:t>
      </w:r>
      <w:r w:rsidR="00323E07">
        <w:rPr>
          <w:rFonts w:ascii="Times New Roman" w:hAnsi="Times New Roman" w:cs="Times New Roman"/>
          <w:b/>
          <w:sz w:val="21"/>
          <w:szCs w:val="21"/>
          <w:lang w:val="en-GB"/>
        </w:rPr>
        <w:t>3</w:t>
      </w:r>
      <w:r>
        <w:rPr>
          <w:rFonts w:ascii="Times New Roman" w:hAnsi="Times New Roman" w:cs="Times New Roman"/>
          <w:b/>
          <w:sz w:val="21"/>
          <w:szCs w:val="21"/>
          <w:lang w:val="en-GB"/>
        </w:rPr>
        <w:t>. The cell growth.</w:t>
      </w:r>
    </w:p>
    <w:p w14:paraId="1AE763DD" w14:textId="77777777" w:rsidR="00361754" w:rsidRDefault="00361754" w:rsidP="00361754">
      <w:pPr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sz w:val="21"/>
          <w:szCs w:val="21"/>
          <w:lang w:val="en-GB"/>
        </w:rPr>
        <w:t>Cell growth was tested by trypan blue staining to analyse the cell count after 110 μl/ml CKI treatment for 48 h.</w:t>
      </w:r>
    </w:p>
    <w:p w14:paraId="39EEC970" w14:textId="4033AF89" w:rsidR="00361754" w:rsidRDefault="00361754" w:rsidP="00361754">
      <w:pPr>
        <w:outlineLvl w:val="0"/>
        <w:rPr>
          <w:rFonts w:ascii="Times New Roman" w:hAnsi="Times New Roman" w:cs="Times New Roman"/>
          <w:b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>Fig</w:t>
      </w:r>
      <w:r w:rsidR="009424D8">
        <w:rPr>
          <w:rFonts w:ascii="Times New Roman" w:hAnsi="Times New Roman" w:cs="Times New Roman"/>
          <w:b/>
          <w:sz w:val="21"/>
          <w:szCs w:val="21"/>
          <w:lang w:val="en-GB"/>
        </w:rPr>
        <w:t>ure S</w:t>
      </w:r>
      <w:r w:rsidR="00323E07">
        <w:rPr>
          <w:rFonts w:ascii="Times New Roman" w:hAnsi="Times New Roman" w:cs="Times New Roman"/>
          <w:b/>
          <w:sz w:val="21"/>
          <w:szCs w:val="21"/>
          <w:lang w:val="en-GB"/>
        </w:rPr>
        <w:t>4</w:t>
      </w:r>
      <w:r>
        <w:rPr>
          <w:rFonts w:ascii="Times New Roman" w:hAnsi="Times New Roman" w:cs="Times New Roman"/>
          <w:b/>
          <w:sz w:val="21"/>
          <w:szCs w:val="21"/>
          <w:lang w:val="en-GB"/>
        </w:rPr>
        <w:t>. Cell apoptosis and cell cycle for HL60 cells and THP-1 cells.</w:t>
      </w:r>
    </w:p>
    <w:p w14:paraId="3F17513C" w14:textId="7C48A3C3" w:rsidR="00361754" w:rsidRPr="00472385" w:rsidRDefault="00472385" w:rsidP="00361754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472385">
        <w:rPr>
          <w:rFonts w:ascii="Times New Roman" w:hAnsi="Times New Roman" w:cs="Times New Roman"/>
          <w:sz w:val="21"/>
          <w:szCs w:val="21"/>
          <w:lang w:val="en-GB"/>
        </w:rPr>
        <w:t>(A)</w:t>
      </w:r>
      <w:r w:rsidR="00361754"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 Cell apoptosis was tested by flow cytometry after HL60 cells were treated with 110 μl/ml CKI for 48 h.</w:t>
      </w:r>
      <w:r w:rsidR="00B630D3" w:rsidRPr="00472385">
        <w:rPr>
          <w:rFonts w:ascii="Times New Roman" w:hAnsi="Times New Roman" w:cs="Times New Roman" w:hint="eastAsia"/>
          <w:sz w:val="21"/>
          <w:szCs w:val="21"/>
          <w:lang w:val="en-GB"/>
        </w:rPr>
        <w:t xml:space="preserve"> </w:t>
      </w:r>
      <w:r w:rsidRPr="00472385">
        <w:rPr>
          <w:rFonts w:ascii="Times New Roman" w:hAnsi="Times New Roman" w:cs="Times New Roman"/>
          <w:sz w:val="21"/>
          <w:szCs w:val="21"/>
          <w:lang w:val="en-GB"/>
        </w:rPr>
        <w:t>(B)</w:t>
      </w:r>
      <w:r w:rsidR="00361754"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 Cell cycle was analysed by flow cytometry after HL60 cells were treated with CKI for 24 h.</w:t>
      </w:r>
      <w:r w:rsidR="00B630D3" w:rsidRPr="00472385">
        <w:rPr>
          <w:rFonts w:ascii="Times New Roman" w:hAnsi="Times New Roman" w:cs="Times New Roman" w:hint="eastAsia"/>
          <w:sz w:val="21"/>
          <w:szCs w:val="21"/>
          <w:lang w:val="en-GB"/>
        </w:rPr>
        <w:t xml:space="preserve"> </w:t>
      </w:r>
      <w:r w:rsidRPr="00472385">
        <w:rPr>
          <w:rFonts w:ascii="Times New Roman" w:hAnsi="Times New Roman" w:cs="Times New Roman"/>
          <w:sz w:val="21"/>
          <w:szCs w:val="21"/>
          <w:lang w:val="en-GB"/>
        </w:rPr>
        <w:t>(C)</w:t>
      </w:r>
      <w:r w:rsidR="00361754"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 Early apoptosis was determined by JC-1 assay after THP-1 cells were treated with 110 μl/ml CKI for 24 h.</w:t>
      </w:r>
    </w:p>
    <w:p w14:paraId="7C943D37" w14:textId="0BFC1B60" w:rsidR="00361754" w:rsidRDefault="00361754" w:rsidP="00361754">
      <w:pPr>
        <w:rPr>
          <w:rFonts w:ascii="Times New Roman" w:hAnsi="Times New Roman" w:cs="Times New Roman"/>
          <w:b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>Fig</w:t>
      </w:r>
      <w:r w:rsidR="00472385">
        <w:rPr>
          <w:rFonts w:ascii="Times New Roman" w:hAnsi="Times New Roman" w:cs="Times New Roman"/>
          <w:b/>
          <w:sz w:val="21"/>
          <w:szCs w:val="21"/>
          <w:lang w:val="en-GB"/>
        </w:rPr>
        <w:t>ure S</w:t>
      </w:r>
      <w:r w:rsidR="00323E07">
        <w:rPr>
          <w:rFonts w:ascii="Times New Roman" w:hAnsi="Times New Roman" w:cs="Times New Roman"/>
          <w:b/>
          <w:sz w:val="21"/>
          <w:szCs w:val="21"/>
          <w:lang w:val="en-GB"/>
        </w:rPr>
        <w:t>5</w:t>
      </w:r>
      <w:r>
        <w:rPr>
          <w:rFonts w:ascii="Times New Roman" w:hAnsi="Times New Roman" w:cs="Times New Roman"/>
          <w:b/>
          <w:sz w:val="21"/>
          <w:szCs w:val="21"/>
          <w:lang w:val="en-GB"/>
        </w:rPr>
        <w:t>. Workflow for the quantitative proteomics with dimethylation labelling after U937 cells were treated with CKI.</w:t>
      </w:r>
    </w:p>
    <w:p w14:paraId="5DFD5FB0" w14:textId="4B9B93FC" w:rsidR="00361754" w:rsidRDefault="00361754" w:rsidP="00361754">
      <w:pPr>
        <w:outlineLvl w:val="0"/>
        <w:rPr>
          <w:rFonts w:ascii="Times New Roman" w:hAnsi="Times New Roman" w:cs="Times New Roman"/>
          <w:b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>Fig</w:t>
      </w:r>
      <w:r w:rsidR="00472385">
        <w:rPr>
          <w:rFonts w:ascii="Times New Roman" w:hAnsi="Times New Roman" w:cs="Times New Roman"/>
          <w:b/>
          <w:sz w:val="21"/>
          <w:szCs w:val="21"/>
          <w:lang w:val="en-GB"/>
        </w:rPr>
        <w:t>ure S</w:t>
      </w:r>
      <w:r w:rsidR="00323E07">
        <w:rPr>
          <w:rFonts w:ascii="Times New Roman" w:hAnsi="Times New Roman" w:cs="Times New Roman"/>
          <w:b/>
          <w:sz w:val="21"/>
          <w:szCs w:val="21"/>
          <w:lang w:val="en-GB"/>
        </w:rPr>
        <w:t>6</w:t>
      </w:r>
      <w:r>
        <w:rPr>
          <w:rFonts w:ascii="Times New Roman" w:hAnsi="Times New Roman" w:cs="Times New Roman"/>
          <w:b/>
          <w:sz w:val="21"/>
          <w:szCs w:val="21"/>
          <w:lang w:val="en-GB"/>
        </w:rPr>
        <w:t>. The proteins interacting with Prdx2 by STRING analysis.</w:t>
      </w:r>
    </w:p>
    <w:p w14:paraId="5C4CD4C1" w14:textId="4E0D2F41" w:rsidR="00361754" w:rsidRDefault="00361754" w:rsidP="00361754">
      <w:pPr>
        <w:outlineLvl w:val="0"/>
        <w:rPr>
          <w:rFonts w:ascii="Times New Roman" w:hAnsi="Times New Roman" w:cs="Times New Roman"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>Fig</w:t>
      </w:r>
      <w:r w:rsidR="00472385">
        <w:rPr>
          <w:rFonts w:ascii="Times New Roman" w:hAnsi="Times New Roman" w:cs="Times New Roman"/>
          <w:b/>
          <w:sz w:val="21"/>
          <w:szCs w:val="21"/>
          <w:lang w:val="en-GB"/>
        </w:rPr>
        <w:t>ure S</w:t>
      </w:r>
      <w:r w:rsidR="00323E07">
        <w:rPr>
          <w:rFonts w:ascii="Times New Roman" w:hAnsi="Times New Roman" w:cs="Times New Roman"/>
          <w:b/>
          <w:sz w:val="21"/>
          <w:szCs w:val="21"/>
          <w:lang w:val="en-GB"/>
        </w:rPr>
        <w:t>7</w:t>
      </w:r>
      <w:r>
        <w:rPr>
          <w:rFonts w:ascii="Times New Roman" w:hAnsi="Times New Roman" w:cs="Times New Roman"/>
          <w:b/>
          <w:sz w:val="21"/>
          <w:szCs w:val="21"/>
          <w:lang w:val="en-GB"/>
        </w:rPr>
        <w:t>. The mRNA expression levels of Prdx2 and Prdx3 after CKI treatment.</w:t>
      </w:r>
    </w:p>
    <w:p w14:paraId="0A8AC696" w14:textId="7C9FF941" w:rsidR="00361754" w:rsidRDefault="00361754" w:rsidP="00361754">
      <w:pPr>
        <w:rPr>
          <w:rFonts w:ascii="Times New Roman" w:hAnsi="Times New Roman" w:cs="Times New Roman"/>
          <w:b/>
          <w:sz w:val="21"/>
          <w:szCs w:val="21"/>
          <w:lang w:val="en-GB"/>
        </w:rPr>
      </w:pPr>
      <w:r>
        <w:rPr>
          <w:rFonts w:ascii="Times New Roman" w:hAnsi="Times New Roman" w:cs="Times New Roman"/>
          <w:b/>
          <w:sz w:val="21"/>
          <w:szCs w:val="21"/>
          <w:lang w:val="en-GB"/>
        </w:rPr>
        <w:t>Fig</w:t>
      </w:r>
      <w:r w:rsidR="00472385">
        <w:rPr>
          <w:rFonts w:ascii="Times New Roman" w:hAnsi="Times New Roman" w:cs="Times New Roman"/>
          <w:b/>
          <w:sz w:val="21"/>
          <w:szCs w:val="21"/>
          <w:lang w:val="en-GB"/>
        </w:rPr>
        <w:t>ure S</w:t>
      </w:r>
      <w:r w:rsidR="00323E07">
        <w:rPr>
          <w:rFonts w:ascii="Times New Roman" w:hAnsi="Times New Roman" w:cs="Times New Roman"/>
          <w:b/>
          <w:sz w:val="21"/>
          <w:szCs w:val="21"/>
          <w:lang w:val="en-GB"/>
        </w:rPr>
        <w:t>8</w:t>
      </w:r>
      <w:r>
        <w:rPr>
          <w:rFonts w:ascii="Times New Roman" w:hAnsi="Times New Roman" w:cs="Times New Roman"/>
          <w:b/>
          <w:sz w:val="21"/>
          <w:szCs w:val="21"/>
          <w:lang w:val="en-GB"/>
        </w:rPr>
        <w:t>. The anti-leukaemic effects of CKI on B-NSG mice with Molm-13 GFP+ cell injections.</w:t>
      </w:r>
    </w:p>
    <w:p w14:paraId="10B48E54" w14:textId="2D8D14AC" w:rsidR="00235235" w:rsidRPr="00472385" w:rsidRDefault="00472385">
      <w:pPr>
        <w:rPr>
          <w:rFonts w:ascii="Times New Roman" w:hAnsi="Times New Roman" w:cs="Times New Roman"/>
          <w:sz w:val="21"/>
          <w:szCs w:val="21"/>
          <w:lang w:val="en-GB"/>
        </w:rPr>
      </w:pPr>
      <w:r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(A) </w:t>
      </w:r>
      <w:r w:rsidR="00361754"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A schematic diagram of the AML animal model. </w:t>
      </w:r>
      <w:r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(B) </w:t>
      </w:r>
      <w:r w:rsidR="00361754"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Analysis of the blood and bone marrow smears. At day 8, the blood was collected from the tail vein using a capillary tube at day 8 after injection of the Molm-13 GFP+ cells and a blood smear was performed. At day 10, bone marrow smear analysis was performed to detect Molm-13 GFP+ cell targeting. The fluorescence intensity was observed by fluorescence microscopy. Magnification fold: </w:t>
      </w:r>
      <w:r w:rsidR="00361754" w:rsidRPr="00472385"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>×</w:t>
      </w:r>
      <w:r w:rsidR="00361754"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20. At day 29, the bone marrow smear was stained and leukaemia cells were observed. Magnification fold: </w:t>
      </w:r>
      <w:r w:rsidR="00361754" w:rsidRPr="00472385">
        <w:rPr>
          <w:rFonts w:ascii="Times New Roman" w:hAnsi="Times New Roman" w:cs="Times New Roman"/>
          <w:color w:val="0D0D0D" w:themeColor="text1" w:themeTint="F2"/>
          <w:kern w:val="0"/>
          <w:sz w:val="21"/>
          <w:szCs w:val="21"/>
          <w:lang w:val="en-GB"/>
        </w:rPr>
        <w:t>×</w:t>
      </w:r>
      <w:r w:rsidR="00361754"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100 under an oil immersion lens. </w:t>
      </w:r>
      <w:r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(C) </w:t>
      </w:r>
      <w:r w:rsidR="00361754"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The changes in body weight. </w:t>
      </w:r>
      <w:r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(D) </w:t>
      </w:r>
      <w:r w:rsidR="00361754" w:rsidRPr="00472385">
        <w:rPr>
          <w:rFonts w:ascii="Times New Roman" w:hAnsi="Times New Roman" w:cs="Times New Roman"/>
          <w:sz w:val="21"/>
          <w:szCs w:val="21"/>
          <w:lang w:val="en-GB"/>
        </w:rPr>
        <w:t>The survival analysis.</w:t>
      </w:r>
      <w:r w:rsidR="009A17E0"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r w:rsidRPr="00472385">
        <w:rPr>
          <w:rFonts w:ascii="Times New Roman" w:hAnsi="Times New Roman" w:cs="Times New Roman"/>
          <w:sz w:val="21"/>
          <w:szCs w:val="21"/>
          <w:lang w:val="en-GB"/>
        </w:rPr>
        <w:t xml:space="preserve">(E) </w:t>
      </w:r>
      <w:r w:rsidR="00361754" w:rsidRPr="00472385">
        <w:rPr>
          <w:rFonts w:ascii="Times New Roman" w:hAnsi="Times New Roman" w:cs="Times New Roman"/>
          <w:sz w:val="21"/>
          <w:szCs w:val="21"/>
          <w:lang w:val="en-GB"/>
        </w:rPr>
        <w:t>The tissue weight index.</w:t>
      </w:r>
    </w:p>
    <w:sectPr w:rsidR="00235235" w:rsidRPr="00472385" w:rsidSect="003C011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script"/>
    <w:pitch w:val="variable"/>
    <w:sig w:usb0="00000001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ngXian Light">
    <w:altName w:val="Arial Unicode MS"/>
    <w:charset w:val="86"/>
    <w:family w:val="script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2"/>
  </w:docVars>
  <w:rsids>
    <w:rsidRoot w:val="00BE4B36"/>
    <w:rsid w:val="0000132C"/>
    <w:rsid w:val="00002276"/>
    <w:rsid w:val="0000398F"/>
    <w:rsid w:val="000102D0"/>
    <w:rsid w:val="0001168A"/>
    <w:rsid w:val="00012961"/>
    <w:rsid w:val="00012A0F"/>
    <w:rsid w:val="0002135D"/>
    <w:rsid w:val="00025F56"/>
    <w:rsid w:val="0002633C"/>
    <w:rsid w:val="00027005"/>
    <w:rsid w:val="00035DE7"/>
    <w:rsid w:val="00045611"/>
    <w:rsid w:val="0004563D"/>
    <w:rsid w:val="000470AF"/>
    <w:rsid w:val="00057C18"/>
    <w:rsid w:val="00064890"/>
    <w:rsid w:val="00071443"/>
    <w:rsid w:val="00072B5D"/>
    <w:rsid w:val="00072C03"/>
    <w:rsid w:val="00073E9A"/>
    <w:rsid w:val="00082420"/>
    <w:rsid w:val="00085A64"/>
    <w:rsid w:val="00085AEA"/>
    <w:rsid w:val="00086D5E"/>
    <w:rsid w:val="000901F3"/>
    <w:rsid w:val="000A048C"/>
    <w:rsid w:val="000A21A8"/>
    <w:rsid w:val="000A4B68"/>
    <w:rsid w:val="000A5CEE"/>
    <w:rsid w:val="000A6F8E"/>
    <w:rsid w:val="000B4AB1"/>
    <w:rsid w:val="000B7085"/>
    <w:rsid w:val="000C00CA"/>
    <w:rsid w:val="000C045E"/>
    <w:rsid w:val="000C0565"/>
    <w:rsid w:val="000C19AB"/>
    <w:rsid w:val="000D581C"/>
    <w:rsid w:val="000D5AA3"/>
    <w:rsid w:val="000D5B1D"/>
    <w:rsid w:val="000D5D3C"/>
    <w:rsid w:val="000D6E1B"/>
    <w:rsid w:val="000E5193"/>
    <w:rsid w:val="000E6884"/>
    <w:rsid w:val="000F1A2D"/>
    <w:rsid w:val="000F4821"/>
    <w:rsid w:val="000F5697"/>
    <w:rsid w:val="00102531"/>
    <w:rsid w:val="00103496"/>
    <w:rsid w:val="00110E8C"/>
    <w:rsid w:val="00113952"/>
    <w:rsid w:val="001238B2"/>
    <w:rsid w:val="00140CE6"/>
    <w:rsid w:val="001511FB"/>
    <w:rsid w:val="00160D5F"/>
    <w:rsid w:val="001613D4"/>
    <w:rsid w:val="00164038"/>
    <w:rsid w:val="001647FB"/>
    <w:rsid w:val="001731D4"/>
    <w:rsid w:val="00177A07"/>
    <w:rsid w:val="00181C3A"/>
    <w:rsid w:val="001829F6"/>
    <w:rsid w:val="00184F1C"/>
    <w:rsid w:val="00187CA9"/>
    <w:rsid w:val="00191B6B"/>
    <w:rsid w:val="001933DD"/>
    <w:rsid w:val="00195681"/>
    <w:rsid w:val="001A01B4"/>
    <w:rsid w:val="001B12D7"/>
    <w:rsid w:val="001B19A8"/>
    <w:rsid w:val="001B3E55"/>
    <w:rsid w:val="001B44E2"/>
    <w:rsid w:val="001B6674"/>
    <w:rsid w:val="001B7583"/>
    <w:rsid w:val="001B7EF1"/>
    <w:rsid w:val="001C2AE2"/>
    <w:rsid w:val="001C474B"/>
    <w:rsid w:val="001C78CD"/>
    <w:rsid w:val="001D4FAD"/>
    <w:rsid w:val="001E4404"/>
    <w:rsid w:val="001E6A35"/>
    <w:rsid w:val="001F1C8F"/>
    <w:rsid w:val="001F25D0"/>
    <w:rsid w:val="001F286F"/>
    <w:rsid w:val="001F3FCD"/>
    <w:rsid w:val="001F430F"/>
    <w:rsid w:val="001F5901"/>
    <w:rsid w:val="00200BBD"/>
    <w:rsid w:val="002011C3"/>
    <w:rsid w:val="0020259E"/>
    <w:rsid w:val="002029D9"/>
    <w:rsid w:val="00202F3A"/>
    <w:rsid w:val="002032C0"/>
    <w:rsid w:val="00207E69"/>
    <w:rsid w:val="00211C00"/>
    <w:rsid w:val="00214CF5"/>
    <w:rsid w:val="00220906"/>
    <w:rsid w:val="00220EDE"/>
    <w:rsid w:val="00223AD2"/>
    <w:rsid w:val="00226B79"/>
    <w:rsid w:val="00231A08"/>
    <w:rsid w:val="00233989"/>
    <w:rsid w:val="00233EE7"/>
    <w:rsid w:val="00234DD1"/>
    <w:rsid w:val="00235B00"/>
    <w:rsid w:val="00237FEF"/>
    <w:rsid w:val="00244015"/>
    <w:rsid w:val="00245BF4"/>
    <w:rsid w:val="00250E64"/>
    <w:rsid w:val="00252FF9"/>
    <w:rsid w:val="002535CC"/>
    <w:rsid w:val="00261DF3"/>
    <w:rsid w:val="00261E09"/>
    <w:rsid w:val="00264531"/>
    <w:rsid w:val="00271BB5"/>
    <w:rsid w:val="0029199A"/>
    <w:rsid w:val="00292590"/>
    <w:rsid w:val="0029789A"/>
    <w:rsid w:val="002A209D"/>
    <w:rsid w:val="002A65D9"/>
    <w:rsid w:val="002B0AD4"/>
    <w:rsid w:val="002B36CB"/>
    <w:rsid w:val="002B64B1"/>
    <w:rsid w:val="002C443A"/>
    <w:rsid w:val="002C7A3D"/>
    <w:rsid w:val="002E04E6"/>
    <w:rsid w:val="002E52A4"/>
    <w:rsid w:val="002E7674"/>
    <w:rsid w:val="002F0DD2"/>
    <w:rsid w:val="002F14FD"/>
    <w:rsid w:val="003004F7"/>
    <w:rsid w:val="00303C09"/>
    <w:rsid w:val="00311563"/>
    <w:rsid w:val="00312CE9"/>
    <w:rsid w:val="0031490D"/>
    <w:rsid w:val="003157F8"/>
    <w:rsid w:val="0031750B"/>
    <w:rsid w:val="00323E07"/>
    <w:rsid w:val="003255F5"/>
    <w:rsid w:val="00326373"/>
    <w:rsid w:val="00326D3F"/>
    <w:rsid w:val="00330D74"/>
    <w:rsid w:val="003316A9"/>
    <w:rsid w:val="0033398C"/>
    <w:rsid w:val="003345AD"/>
    <w:rsid w:val="00337399"/>
    <w:rsid w:val="00340A64"/>
    <w:rsid w:val="00347C46"/>
    <w:rsid w:val="00350C91"/>
    <w:rsid w:val="003510D0"/>
    <w:rsid w:val="00353537"/>
    <w:rsid w:val="00355693"/>
    <w:rsid w:val="00361754"/>
    <w:rsid w:val="00363982"/>
    <w:rsid w:val="003641AF"/>
    <w:rsid w:val="00366081"/>
    <w:rsid w:val="0037004D"/>
    <w:rsid w:val="00374422"/>
    <w:rsid w:val="003809B4"/>
    <w:rsid w:val="003864B1"/>
    <w:rsid w:val="00387F6D"/>
    <w:rsid w:val="003A016F"/>
    <w:rsid w:val="003B1780"/>
    <w:rsid w:val="003B2BB7"/>
    <w:rsid w:val="003C0113"/>
    <w:rsid w:val="003C09B4"/>
    <w:rsid w:val="003C1BC2"/>
    <w:rsid w:val="003D0351"/>
    <w:rsid w:val="003D6E9A"/>
    <w:rsid w:val="003D7658"/>
    <w:rsid w:val="003E3FCD"/>
    <w:rsid w:val="003E6BB6"/>
    <w:rsid w:val="003E702B"/>
    <w:rsid w:val="003F0376"/>
    <w:rsid w:val="003F4AC7"/>
    <w:rsid w:val="00402AAA"/>
    <w:rsid w:val="00406A05"/>
    <w:rsid w:val="0040726B"/>
    <w:rsid w:val="00430603"/>
    <w:rsid w:val="004320D7"/>
    <w:rsid w:val="00436D0D"/>
    <w:rsid w:val="00437714"/>
    <w:rsid w:val="0044010A"/>
    <w:rsid w:val="00440670"/>
    <w:rsid w:val="00440787"/>
    <w:rsid w:val="00441CA4"/>
    <w:rsid w:val="00443D76"/>
    <w:rsid w:val="00451131"/>
    <w:rsid w:val="00451380"/>
    <w:rsid w:val="004518F6"/>
    <w:rsid w:val="00452A81"/>
    <w:rsid w:val="00456D78"/>
    <w:rsid w:val="00457E1B"/>
    <w:rsid w:val="00472385"/>
    <w:rsid w:val="00474018"/>
    <w:rsid w:val="004756E8"/>
    <w:rsid w:val="00475974"/>
    <w:rsid w:val="004864D8"/>
    <w:rsid w:val="004875B1"/>
    <w:rsid w:val="00490EC5"/>
    <w:rsid w:val="00494E6E"/>
    <w:rsid w:val="00496A1D"/>
    <w:rsid w:val="004A1B6F"/>
    <w:rsid w:val="004A2402"/>
    <w:rsid w:val="004A7C9E"/>
    <w:rsid w:val="004B1738"/>
    <w:rsid w:val="004B6D12"/>
    <w:rsid w:val="004C06D0"/>
    <w:rsid w:val="004C2B91"/>
    <w:rsid w:val="004C7E04"/>
    <w:rsid w:val="004D24BE"/>
    <w:rsid w:val="004D2B1E"/>
    <w:rsid w:val="004D2BA5"/>
    <w:rsid w:val="004D2C96"/>
    <w:rsid w:val="004D6CD3"/>
    <w:rsid w:val="004D7EEE"/>
    <w:rsid w:val="004F11CE"/>
    <w:rsid w:val="004F2ACB"/>
    <w:rsid w:val="004F547E"/>
    <w:rsid w:val="00502F02"/>
    <w:rsid w:val="005037A6"/>
    <w:rsid w:val="005041A3"/>
    <w:rsid w:val="00504A71"/>
    <w:rsid w:val="005100B8"/>
    <w:rsid w:val="00512A54"/>
    <w:rsid w:val="0052062B"/>
    <w:rsid w:val="005220A7"/>
    <w:rsid w:val="00524E19"/>
    <w:rsid w:val="00525471"/>
    <w:rsid w:val="00526A79"/>
    <w:rsid w:val="00537617"/>
    <w:rsid w:val="00541A53"/>
    <w:rsid w:val="00590146"/>
    <w:rsid w:val="00590532"/>
    <w:rsid w:val="005A05AD"/>
    <w:rsid w:val="005B2BF3"/>
    <w:rsid w:val="005B36A1"/>
    <w:rsid w:val="005C4503"/>
    <w:rsid w:val="005C5D0E"/>
    <w:rsid w:val="005C7B29"/>
    <w:rsid w:val="005D4AA0"/>
    <w:rsid w:val="005D5106"/>
    <w:rsid w:val="005D5E7F"/>
    <w:rsid w:val="005D7607"/>
    <w:rsid w:val="005E5944"/>
    <w:rsid w:val="005F2550"/>
    <w:rsid w:val="005F5E71"/>
    <w:rsid w:val="005F712A"/>
    <w:rsid w:val="00604D7B"/>
    <w:rsid w:val="00605315"/>
    <w:rsid w:val="006066D4"/>
    <w:rsid w:val="0061044A"/>
    <w:rsid w:val="00612B59"/>
    <w:rsid w:val="00632583"/>
    <w:rsid w:val="0065192C"/>
    <w:rsid w:val="00654431"/>
    <w:rsid w:val="00655EC0"/>
    <w:rsid w:val="0066088F"/>
    <w:rsid w:val="00664C6C"/>
    <w:rsid w:val="006662D3"/>
    <w:rsid w:val="00670B84"/>
    <w:rsid w:val="006725CC"/>
    <w:rsid w:val="006746E9"/>
    <w:rsid w:val="006854F3"/>
    <w:rsid w:val="00694506"/>
    <w:rsid w:val="00695251"/>
    <w:rsid w:val="00695592"/>
    <w:rsid w:val="00697F75"/>
    <w:rsid w:val="006A72A8"/>
    <w:rsid w:val="006C078D"/>
    <w:rsid w:val="006C78F4"/>
    <w:rsid w:val="006C7A59"/>
    <w:rsid w:val="006C7B94"/>
    <w:rsid w:val="006C7CB7"/>
    <w:rsid w:val="006D2118"/>
    <w:rsid w:val="006D2212"/>
    <w:rsid w:val="006D5CD2"/>
    <w:rsid w:val="006E357C"/>
    <w:rsid w:val="006E7797"/>
    <w:rsid w:val="006F22CC"/>
    <w:rsid w:val="006F5D27"/>
    <w:rsid w:val="00700D19"/>
    <w:rsid w:val="00701B57"/>
    <w:rsid w:val="007026F7"/>
    <w:rsid w:val="00704623"/>
    <w:rsid w:val="007075E4"/>
    <w:rsid w:val="00707866"/>
    <w:rsid w:val="00710A95"/>
    <w:rsid w:val="00724238"/>
    <w:rsid w:val="00725078"/>
    <w:rsid w:val="007360F8"/>
    <w:rsid w:val="0075635A"/>
    <w:rsid w:val="00764B65"/>
    <w:rsid w:val="00767A4B"/>
    <w:rsid w:val="00773902"/>
    <w:rsid w:val="0077636F"/>
    <w:rsid w:val="00781CDD"/>
    <w:rsid w:val="00785B5D"/>
    <w:rsid w:val="007A1710"/>
    <w:rsid w:val="007A3941"/>
    <w:rsid w:val="007A512A"/>
    <w:rsid w:val="007A534F"/>
    <w:rsid w:val="007A7CC3"/>
    <w:rsid w:val="007B29EF"/>
    <w:rsid w:val="007B6576"/>
    <w:rsid w:val="007B781C"/>
    <w:rsid w:val="007C088B"/>
    <w:rsid w:val="007D4821"/>
    <w:rsid w:val="007E5C04"/>
    <w:rsid w:val="007F059A"/>
    <w:rsid w:val="007F2C4D"/>
    <w:rsid w:val="007F3944"/>
    <w:rsid w:val="007F6204"/>
    <w:rsid w:val="00823204"/>
    <w:rsid w:val="008251CC"/>
    <w:rsid w:val="00825B1D"/>
    <w:rsid w:val="008329B5"/>
    <w:rsid w:val="008339BC"/>
    <w:rsid w:val="00836779"/>
    <w:rsid w:val="00836DBA"/>
    <w:rsid w:val="00837FF2"/>
    <w:rsid w:val="00842234"/>
    <w:rsid w:val="00843457"/>
    <w:rsid w:val="0084771D"/>
    <w:rsid w:val="00851FAC"/>
    <w:rsid w:val="00857914"/>
    <w:rsid w:val="00866887"/>
    <w:rsid w:val="008753AC"/>
    <w:rsid w:val="00876068"/>
    <w:rsid w:val="00877B97"/>
    <w:rsid w:val="0088777F"/>
    <w:rsid w:val="008903F7"/>
    <w:rsid w:val="008906E8"/>
    <w:rsid w:val="008965CF"/>
    <w:rsid w:val="008A4FD7"/>
    <w:rsid w:val="008B0141"/>
    <w:rsid w:val="008B1393"/>
    <w:rsid w:val="008B13A8"/>
    <w:rsid w:val="008C087E"/>
    <w:rsid w:val="008C09DA"/>
    <w:rsid w:val="008C3305"/>
    <w:rsid w:val="008C3D6D"/>
    <w:rsid w:val="008C7BD6"/>
    <w:rsid w:val="008D005D"/>
    <w:rsid w:val="008D1F65"/>
    <w:rsid w:val="008D26FE"/>
    <w:rsid w:val="008D2EB8"/>
    <w:rsid w:val="008E3E13"/>
    <w:rsid w:val="008E4F6D"/>
    <w:rsid w:val="008E5E5F"/>
    <w:rsid w:val="008E7726"/>
    <w:rsid w:val="008E7A62"/>
    <w:rsid w:val="008F21DF"/>
    <w:rsid w:val="008F59C8"/>
    <w:rsid w:val="00904E47"/>
    <w:rsid w:val="00915DFD"/>
    <w:rsid w:val="0093028E"/>
    <w:rsid w:val="00930309"/>
    <w:rsid w:val="00930ECD"/>
    <w:rsid w:val="009320B3"/>
    <w:rsid w:val="00941E31"/>
    <w:rsid w:val="009424D8"/>
    <w:rsid w:val="00945D28"/>
    <w:rsid w:val="00947A39"/>
    <w:rsid w:val="00951459"/>
    <w:rsid w:val="00952EEB"/>
    <w:rsid w:val="0095372D"/>
    <w:rsid w:val="00956B3C"/>
    <w:rsid w:val="00962C21"/>
    <w:rsid w:val="009657C3"/>
    <w:rsid w:val="00973638"/>
    <w:rsid w:val="00974CE9"/>
    <w:rsid w:val="0098177C"/>
    <w:rsid w:val="00982E17"/>
    <w:rsid w:val="009A17E0"/>
    <w:rsid w:val="009A20B1"/>
    <w:rsid w:val="009B436E"/>
    <w:rsid w:val="009B4696"/>
    <w:rsid w:val="009C0C53"/>
    <w:rsid w:val="009C1DFA"/>
    <w:rsid w:val="009C2224"/>
    <w:rsid w:val="009C2692"/>
    <w:rsid w:val="009C3423"/>
    <w:rsid w:val="009C551D"/>
    <w:rsid w:val="009D1847"/>
    <w:rsid w:val="009D1FD0"/>
    <w:rsid w:val="009D5E9C"/>
    <w:rsid w:val="009D7FD6"/>
    <w:rsid w:val="009E0003"/>
    <w:rsid w:val="009F347A"/>
    <w:rsid w:val="00A03765"/>
    <w:rsid w:val="00A11F17"/>
    <w:rsid w:val="00A16950"/>
    <w:rsid w:val="00A24C08"/>
    <w:rsid w:val="00A27702"/>
    <w:rsid w:val="00A36EAA"/>
    <w:rsid w:val="00A40012"/>
    <w:rsid w:val="00A562F8"/>
    <w:rsid w:val="00A57E42"/>
    <w:rsid w:val="00A61D4A"/>
    <w:rsid w:val="00A63A00"/>
    <w:rsid w:val="00A65118"/>
    <w:rsid w:val="00A665F7"/>
    <w:rsid w:val="00A74B69"/>
    <w:rsid w:val="00A75902"/>
    <w:rsid w:val="00A76040"/>
    <w:rsid w:val="00A76A5D"/>
    <w:rsid w:val="00A81AFB"/>
    <w:rsid w:val="00A82464"/>
    <w:rsid w:val="00A86A4C"/>
    <w:rsid w:val="00A90C25"/>
    <w:rsid w:val="00A9191D"/>
    <w:rsid w:val="00A930D4"/>
    <w:rsid w:val="00AA59C2"/>
    <w:rsid w:val="00AA6F2A"/>
    <w:rsid w:val="00AA7EF9"/>
    <w:rsid w:val="00AB3918"/>
    <w:rsid w:val="00AB3D45"/>
    <w:rsid w:val="00AC1504"/>
    <w:rsid w:val="00AC190B"/>
    <w:rsid w:val="00AC5368"/>
    <w:rsid w:val="00AC5E45"/>
    <w:rsid w:val="00AD4C82"/>
    <w:rsid w:val="00AD7ABB"/>
    <w:rsid w:val="00AE08D6"/>
    <w:rsid w:val="00AE6006"/>
    <w:rsid w:val="00AE6AB1"/>
    <w:rsid w:val="00AF66EE"/>
    <w:rsid w:val="00B01FEE"/>
    <w:rsid w:val="00B11833"/>
    <w:rsid w:val="00B11FAA"/>
    <w:rsid w:val="00B13B4D"/>
    <w:rsid w:val="00B17CF0"/>
    <w:rsid w:val="00B211CA"/>
    <w:rsid w:val="00B34334"/>
    <w:rsid w:val="00B3452E"/>
    <w:rsid w:val="00B3624A"/>
    <w:rsid w:val="00B37D50"/>
    <w:rsid w:val="00B4703B"/>
    <w:rsid w:val="00B5052B"/>
    <w:rsid w:val="00B52AC6"/>
    <w:rsid w:val="00B53538"/>
    <w:rsid w:val="00B55D7F"/>
    <w:rsid w:val="00B56F0D"/>
    <w:rsid w:val="00B60187"/>
    <w:rsid w:val="00B630D3"/>
    <w:rsid w:val="00B669A0"/>
    <w:rsid w:val="00B70CB3"/>
    <w:rsid w:val="00B71076"/>
    <w:rsid w:val="00B743A8"/>
    <w:rsid w:val="00B746DD"/>
    <w:rsid w:val="00B81974"/>
    <w:rsid w:val="00B82C73"/>
    <w:rsid w:val="00B85B39"/>
    <w:rsid w:val="00B90043"/>
    <w:rsid w:val="00B93CE1"/>
    <w:rsid w:val="00B93DC3"/>
    <w:rsid w:val="00BA293D"/>
    <w:rsid w:val="00BA4F9F"/>
    <w:rsid w:val="00BB30EF"/>
    <w:rsid w:val="00BB453A"/>
    <w:rsid w:val="00BB572C"/>
    <w:rsid w:val="00BC1638"/>
    <w:rsid w:val="00BD0779"/>
    <w:rsid w:val="00BD2484"/>
    <w:rsid w:val="00BD2A0A"/>
    <w:rsid w:val="00BD3324"/>
    <w:rsid w:val="00BD3B36"/>
    <w:rsid w:val="00BD4DF0"/>
    <w:rsid w:val="00BD5B86"/>
    <w:rsid w:val="00BE4B36"/>
    <w:rsid w:val="00BE559C"/>
    <w:rsid w:val="00BF29A5"/>
    <w:rsid w:val="00BF44AE"/>
    <w:rsid w:val="00BF5ED6"/>
    <w:rsid w:val="00C00C2B"/>
    <w:rsid w:val="00C016B9"/>
    <w:rsid w:val="00C04334"/>
    <w:rsid w:val="00C05182"/>
    <w:rsid w:val="00C06D3F"/>
    <w:rsid w:val="00C07F2A"/>
    <w:rsid w:val="00C1059E"/>
    <w:rsid w:val="00C139F6"/>
    <w:rsid w:val="00C16399"/>
    <w:rsid w:val="00C208B7"/>
    <w:rsid w:val="00C21FF6"/>
    <w:rsid w:val="00C237BD"/>
    <w:rsid w:val="00C2459E"/>
    <w:rsid w:val="00C31390"/>
    <w:rsid w:val="00C33D5F"/>
    <w:rsid w:val="00C3456D"/>
    <w:rsid w:val="00C34AC5"/>
    <w:rsid w:val="00C43CE5"/>
    <w:rsid w:val="00C4595C"/>
    <w:rsid w:val="00C4630A"/>
    <w:rsid w:val="00C5121A"/>
    <w:rsid w:val="00C52ECE"/>
    <w:rsid w:val="00C636D8"/>
    <w:rsid w:val="00C65817"/>
    <w:rsid w:val="00C70653"/>
    <w:rsid w:val="00C71379"/>
    <w:rsid w:val="00C7178B"/>
    <w:rsid w:val="00C750E9"/>
    <w:rsid w:val="00C80476"/>
    <w:rsid w:val="00C82DC1"/>
    <w:rsid w:val="00C833ED"/>
    <w:rsid w:val="00C8547C"/>
    <w:rsid w:val="00C90383"/>
    <w:rsid w:val="00C90A27"/>
    <w:rsid w:val="00C9175D"/>
    <w:rsid w:val="00C97727"/>
    <w:rsid w:val="00CA4B09"/>
    <w:rsid w:val="00CB3D4E"/>
    <w:rsid w:val="00CB49B2"/>
    <w:rsid w:val="00CC03A6"/>
    <w:rsid w:val="00CC2E50"/>
    <w:rsid w:val="00CC4E86"/>
    <w:rsid w:val="00CD0129"/>
    <w:rsid w:val="00CD194E"/>
    <w:rsid w:val="00CD4107"/>
    <w:rsid w:val="00CD4758"/>
    <w:rsid w:val="00CD6077"/>
    <w:rsid w:val="00CD7183"/>
    <w:rsid w:val="00CE172F"/>
    <w:rsid w:val="00CE5069"/>
    <w:rsid w:val="00CE51E1"/>
    <w:rsid w:val="00CE7A7E"/>
    <w:rsid w:val="00CF0F94"/>
    <w:rsid w:val="00CF74D1"/>
    <w:rsid w:val="00D067B7"/>
    <w:rsid w:val="00D06F86"/>
    <w:rsid w:val="00D108E6"/>
    <w:rsid w:val="00D12E2C"/>
    <w:rsid w:val="00D1585E"/>
    <w:rsid w:val="00D22F6D"/>
    <w:rsid w:val="00D301D6"/>
    <w:rsid w:val="00D31063"/>
    <w:rsid w:val="00D35375"/>
    <w:rsid w:val="00D44EB4"/>
    <w:rsid w:val="00D45BD9"/>
    <w:rsid w:val="00D46477"/>
    <w:rsid w:val="00D46A4C"/>
    <w:rsid w:val="00D52ECE"/>
    <w:rsid w:val="00D536C1"/>
    <w:rsid w:val="00D54FBE"/>
    <w:rsid w:val="00D75A5C"/>
    <w:rsid w:val="00D7615F"/>
    <w:rsid w:val="00D818EC"/>
    <w:rsid w:val="00D84D4E"/>
    <w:rsid w:val="00D87EE8"/>
    <w:rsid w:val="00D93E93"/>
    <w:rsid w:val="00D96FFC"/>
    <w:rsid w:val="00DA0327"/>
    <w:rsid w:val="00DA1097"/>
    <w:rsid w:val="00DA4917"/>
    <w:rsid w:val="00DB1B3D"/>
    <w:rsid w:val="00DB3E88"/>
    <w:rsid w:val="00DB5909"/>
    <w:rsid w:val="00DC7946"/>
    <w:rsid w:val="00DC7BF9"/>
    <w:rsid w:val="00DD1BB1"/>
    <w:rsid w:val="00DD45FF"/>
    <w:rsid w:val="00DD71CE"/>
    <w:rsid w:val="00DD7FA6"/>
    <w:rsid w:val="00DE0C60"/>
    <w:rsid w:val="00DE2B45"/>
    <w:rsid w:val="00DE2EFB"/>
    <w:rsid w:val="00DE5F1C"/>
    <w:rsid w:val="00DE63C8"/>
    <w:rsid w:val="00DE6835"/>
    <w:rsid w:val="00DF41C7"/>
    <w:rsid w:val="00DF54C1"/>
    <w:rsid w:val="00DF7FDF"/>
    <w:rsid w:val="00E00283"/>
    <w:rsid w:val="00E01708"/>
    <w:rsid w:val="00E03B0F"/>
    <w:rsid w:val="00E07A2D"/>
    <w:rsid w:val="00E1239D"/>
    <w:rsid w:val="00E17D79"/>
    <w:rsid w:val="00E23771"/>
    <w:rsid w:val="00E25022"/>
    <w:rsid w:val="00E25538"/>
    <w:rsid w:val="00E26591"/>
    <w:rsid w:val="00E2674E"/>
    <w:rsid w:val="00E308E0"/>
    <w:rsid w:val="00E31314"/>
    <w:rsid w:val="00E34F0B"/>
    <w:rsid w:val="00E35BE2"/>
    <w:rsid w:val="00E40094"/>
    <w:rsid w:val="00E40EE3"/>
    <w:rsid w:val="00E4279C"/>
    <w:rsid w:val="00E526C8"/>
    <w:rsid w:val="00E531A4"/>
    <w:rsid w:val="00E55B3F"/>
    <w:rsid w:val="00E616E6"/>
    <w:rsid w:val="00E620A4"/>
    <w:rsid w:val="00E721A2"/>
    <w:rsid w:val="00E770E2"/>
    <w:rsid w:val="00E80A0B"/>
    <w:rsid w:val="00E839F7"/>
    <w:rsid w:val="00E92FF8"/>
    <w:rsid w:val="00EA0525"/>
    <w:rsid w:val="00EA126A"/>
    <w:rsid w:val="00EA25F0"/>
    <w:rsid w:val="00EA30F7"/>
    <w:rsid w:val="00EA3DED"/>
    <w:rsid w:val="00EA4C62"/>
    <w:rsid w:val="00EB298B"/>
    <w:rsid w:val="00EB60E6"/>
    <w:rsid w:val="00EC7B9E"/>
    <w:rsid w:val="00ED099A"/>
    <w:rsid w:val="00ED49BD"/>
    <w:rsid w:val="00ED74D6"/>
    <w:rsid w:val="00EE1937"/>
    <w:rsid w:val="00EE1AAF"/>
    <w:rsid w:val="00EE2400"/>
    <w:rsid w:val="00EE2F82"/>
    <w:rsid w:val="00EE5B39"/>
    <w:rsid w:val="00EE78B3"/>
    <w:rsid w:val="00EF1A50"/>
    <w:rsid w:val="00EF1A99"/>
    <w:rsid w:val="00EF39DE"/>
    <w:rsid w:val="00EF480E"/>
    <w:rsid w:val="00EF619E"/>
    <w:rsid w:val="00EF6B70"/>
    <w:rsid w:val="00F0369A"/>
    <w:rsid w:val="00F05EC3"/>
    <w:rsid w:val="00F061EA"/>
    <w:rsid w:val="00F12A0E"/>
    <w:rsid w:val="00F200F7"/>
    <w:rsid w:val="00F20AAD"/>
    <w:rsid w:val="00F215FA"/>
    <w:rsid w:val="00F21F76"/>
    <w:rsid w:val="00F27008"/>
    <w:rsid w:val="00F32569"/>
    <w:rsid w:val="00F33BB8"/>
    <w:rsid w:val="00F365C9"/>
    <w:rsid w:val="00F37B42"/>
    <w:rsid w:val="00F41400"/>
    <w:rsid w:val="00F41D87"/>
    <w:rsid w:val="00F41EC6"/>
    <w:rsid w:val="00F51A52"/>
    <w:rsid w:val="00F5565B"/>
    <w:rsid w:val="00F57829"/>
    <w:rsid w:val="00F57B45"/>
    <w:rsid w:val="00F67D7F"/>
    <w:rsid w:val="00F71131"/>
    <w:rsid w:val="00F8295C"/>
    <w:rsid w:val="00F87E1C"/>
    <w:rsid w:val="00F90665"/>
    <w:rsid w:val="00F91B89"/>
    <w:rsid w:val="00F964F4"/>
    <w:rsid w:val="00FA6C15"/>
    <w:rsid w:val="00FB1811"/>
    <w:rsid w:val="00FC2B5E"/>
    <w:rsid w:val="00FD0692"/>
    <w:rsid w:val="00FD3006"/>
    <w:rsid w:val="00FD5237"/>
    <w:rsid w:val="00FD77CF"/>
    <w:rsid w:val="00FE2718"/>
    <w:rsid w:val="00FE31E6"/>
    <w:rsid w:val="00FE69E7"/>
    <w:rsid w:val="00FF2160"/>
    <w:rsid w:val="00FF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7F2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B36"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0692"/>
    <w:pPr>
      <w:keepNext/>
      <w:keepLines/>
      <w:spacing w:before="260" w:after="260" w:line="416" w:lineRule="auto"/>
      <w:outlineLvl w:val="2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0692"/>
    <w:rPr>
      <w:rFonts w:ascii="Times New Roman" w:hAnsi="Times New Roman" w:cs="Times New Roman"/>
      <w:b/>
      <w:bCs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61754"/>
    <w:rPr>
      <w:rFonts w:ascii="SimSun" w:eastAsia="SimSu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61754"/>
    <w:rPr>
      <w:rFonts w:ascii="SimSun" w:eastAsia="SimSun"/>
    </w:rPr>
  </w:style>
  <w:style w:type="paragraph" w:styleId="ListParagraph">
    <w:name w:val="List Paragraph"/>
    <w:basedOn w:val="Normal"/>
    <w:uiPriority w:val="34"/>
    <w:qFormat/>
    <w:rsid w:val="0047238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B36"/>
    <w:pPr>
      <w:widowControl w:val="0"/>
      <w:jc w:val="both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0692"/>
    <w:pPr>
      <w:keepNext/>
      <w:keepLines/>
      <w:spacing w:before="260" w:after="260" w:line="416" w:lineRule="auto"/>
      <w:outlineLvl w:val="2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D0692"/>
    <w:rPr>
      <w:rFonts w:ascii="Times New Roman" w:hAnsi="Times New Roman" w:cs="Times New Roman"/>
      <w:b/>
      <w:bCs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61754"/>
    <w:rPr>
      <w:rFonts w:ascii="SimSun" w:eastAsia="SimSu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61754"/>
    <w:rPr>
      <w:rFonts w:ascii="SimSun" w:eastAsia="SimSun"/>
    </w:rPr>
  </w:style>
  <w:style w:type="paragraph" w:styleId="ListParagraph">
    <w:name w:val="List Paragraph"/>
    <w:basedOn w:val="Normal"/>
    <w:uiPriority w:val="34"/>
    <w:qFormat/>
    <w:rsid w:val="004723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889</Words>
  <Characters>4793</Characters>
  <Application>Microsoft Office Word</Application>
  <DocSecurity>0</DocSecurity>
  <Lines>85</Lines>
  <Paragraphs>33</Paragraphs>
  <ScaleCrop>false</ScaleCrop>
  <HeadingPairs>
    <vt:vector size="4" baseType="variant">
      <vt:variant>
        <vt:lpstr>标题</vt:lpstr>
      </vt:variant>
      <vt:variant>
        <vt:i4>1</vt:i4>
      </vt:variant>
      <vt:variant>
        <vt:lpstr>Headings</vt:lpstr>
      </vt:variant>
      <vt:variant>
        <vt:i4>18</vt:i4>
      </vt:variant>
    </vt:vector>
  </HeadingPairs>
  <TitlesOfParts>
    <vt:vector size="19" baseType="lpstr">
      <vt:lpstr/>
      <vt:lpstr>Supplemental methods</vt:lpstr>
      <vt:lpstr>T Cell culture</vt:lpstr>
      <vt:lpstr>T cells were separated from healthy volunteers who received medical examinations</vt:lpstr>
      <vt:lpstr/>
      <vt:lpstr>Cell growth</vt:lpstr>
      <vt:lpstr>        Dimethylation labelling reaction and hybrid quadrupole-TOF LC-MS/MS</vt:lpstr>
      <vt:lpstr>        </vt:lpstr>
      <vt:lpstr>Supplemental information</vt:lpstr>
      <vt:lpstr>Table S1. The information of new diagnosed AML patients.</vt:lpstr>
      <vt:lpstr>Table S2. The identified proteins by LC-MS/MS.</vt:lpstr>
      <vt:lpstr>Table S3. The identified 54 differentially expressed proteins.</vt:lpstr>
      <vt:lpstr/>
      <vt:lpstr>Figure S1. The component of CKI.</vt:lpstr>
      <vt:lpstr>Figure S2. The SOD vitality after CKI treatment.</vt:lpstr>
      <vt:lpstr>Figure S3. The cell growth.</vt:lpstr>
      <vt:lpstr>Figure S4. Cell apoptosis and cell cycle for HL60 cells and THP-1 cells.</vt:lpstr>
      <vt:lpstr>Supplemental Fig. 6. The proteins interacting with Prdx2 by STRING analysis.</vt:lpstr>
      <vt:lpstr>Supplemental Fig. 7. The mRNA expression levels of Prdx2 and Prdx3 after CKI tre</vt:lpstr>
    </vt:vector>
  </TitlesOfParts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bettyxyt@whu.edu.cn</dc:creator>
  <cp:keywords/>
  <dc:description/>
  <cp:lastModifiedBy>VKIRAM</cp:lastModifiedBy>
  <cp:revision>15</cp:revision>
  <dcterms:created xsi:type="dcterms:W3CDTF">2018-07-04T14:49:00Z</dcterms:created>
  <dcterms:modified xsi:type="dcterms:W3CDTF">2018-11-02T14:37:00Z</dcterms:modified>
</cp:coreProperties>
</file>