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106EC" w14:textId="1C17CEE9" w:rsidR="00BB342C" w:rsidRPr="00B31CB4" w:rsidRDefault="00AE70D7" w:rsidP="000F0264">
      <w:pPr>
        <w:widowControl/>
        <w:autoSpaceDE w:val="0"/>
        <w:autoSpaceDN w:val="0"/>
        <w:adjustRightInd w:val="0"/>
        <w:spacing w:line="340" w:lineRule="atLeast"/>
        <w:jc w:val="left"/>
        <w:rPr>
          <w:rFonts w:ascii="Arial" w:hAnsi="Arial" w:cs="Arial"/>
          <w:b/>
          <w:bCs/>
          <w:color w:val="000000"/>
          <w:kern w:val="0"/>
          <w:sz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</w:rPr>
        <w:t>Additional file 2</w:t>
      </w:r>
    </w:p>
    <w:p w14:paraId="2F8687F9" w14:textId="77777777" w:rsidR="00B31CB4" w:rsidRDefault="00B31CB4" w:rsidP="00B31CB4">
      <w:pPr>
        <w:rPr>
          <w:rFonts w:ascii="Arial" w:hAnsi="Arial" w:cs="Arial"/>
          <w:b/>
        </w:rPr>
      </w:pPr>
    </w:p>
    <w:p w14:paraId="068087D1" w14:textId="040730C7" w:rsidR="00B31CB4" w:rsidRPr="00B31CB4" w:rsidRDefault="00B31CB4" w:rsidP="00B31CB4">
      <w:pPr>
        <w:rPr>
          <w:rFonts w:ascii="Arial" w:hAnsi="Arial" w:cs="Arial"/>
          <w:b/>
          <w:sz w:val="22"/>
          <w:szCs w:val="22"/>
        </w:rPr>
      </w:pPr>
      <w:r w:rsidRPr="00B31CB4">
        <w:rPr>
          <w:rFonts w:ascii="Arial" w:hAnsi="Arial" w:cs="Arial"/>
          <w:b/>
          <w:sz w:val="22"/>
          <w:szCs w:val="22"/>
        </w:rPr>
        <w:t>Cell cycle and immune response pathways were enriched in the genes differentially expressed in NPC versus normal control</w:t>
      </w:r>
    </w:p>
    <w:p w14:paraId="1AE71E6A" w14:textId="77777777" w:rsidR="00B31CB4" w:rsidRPr="00B31CB4" w:rsidRDefault="00B31CB4" w:rsidP="00B31CB4">
      <w:pPr>
        <w:rPr>
          <w:rFonts w:ascii="Arial" w:hAnsi="Arial" w:cs="Arial"/>
          <w:b/>
          <w:sz w:val="22"/>
          <w:szCs w:val="22"/>
        </w:rPr>
      </w:pPr>
    </w:p>
    <w:p w14:paraId="3A39536B" w14:textId="2830FA71" w:rsidR="00B31CB4" w:rsidRPr="00B31CB4" w:rsidRDefault="00B31CB4" w:rsidP="00C22D84">
      <w:pPr>
        <w:widowControl/>
        <w:rPr>
          <w:rFonts w:ascii="Arial" w:hAnsi="Arial" w:cs="Arial"/>
          <w:sz w:val="22"/>
          <w:szCs w:val="22"/>
        </w:rPr>
      </w:pPr>
      <w:r w:rsidRPr="00B31CB4">
        <w:rPr>
          <w:rFonts w:ascii="Arial" w:hAnsi="Arial" w:cs="Arial"/>
          <w:sz w:val="22"/>
          <w:szCs w:val="22"/>
        </w:rPr>
        <w:t>From RNA-</w:t>
      </w:r>
      <w:proofErr w:type="spellStart"/>
      <w:r w:rsidRPr="00B31CB4">
        <w:rPr>
          <w:rFonts w:ascii="Arial" w:hAnsi="Arial" w:cs="Arial"/>
          <w:sz w:val="22"/>
          <w:szCs w:val="22"/>
        </w:rPr>
        <w:t>seq</w:t>
      </w:r>
      <w:proofErr w:type="spellEnd"/>
      <w:r w:rsidRPr="00B31CB4">
        <w:rPr>
          <w:rFonts w:ascii="Arial" w:hAnsi="Arial" w:cs="Arial"/>
          <w:sz w:val="22"/>
          <w:szCs w:val="22"/>
        </w:rPr>
        <w:t xml:space="preserve">, </w:t>
      </w:r>
      <w:r w:rsidR="00741846">
        <w:rPr>
          <w:rFonts w:ascii="Arial" w:hAnsi="Arial" w:cs="Arial"/>
          <w:sz w:val="22"/>
          <w:szCs w:val="22"/>
        </w:rPr>
        <w:t>1,</w:t>
      </w:r>
      <w:r w:rsidR="008D467D">
        <w:rPr>
          <w:rFonts w:ascii="Arial" w:hAnsi="Arial" w:cs="Arial"/>
          <w:sz w:val="22"/>
          <w:szCs w:val="22"/>
        </w:rPr>
        <w:t>286</w:t>
      </w:r>
      <w:r w:rsidR="008D467D" w:rsidRPr="00B31CB4">
        <w:rPr>
          <w:rFonts w:ascii="Arial" w:hAnsi="Arial" w:cs="Arial"/>
          <w:sz w:val="22"/>
          <w:szCs w:val="22"/>
        </w:rPr>
        <w:t xml:space="preserve"> </w:t>
      </w:r>
      <w:r w:rsidRPr="00B31CB4">
        <w:rPr>
          <w:rFonts w:ascii="Arial" w:hAnsi="Arial" w:cs="Arial"/>
          <w:sz w:val="22"/>
          <w:szCs w:val="22"/>
        </w:rPr>
        <w:t xml:space="preserve">up-regulated and </w:t>
      </w:r>
      <w:r w:rsidR="00741846">
        <w:rPr>
          <w:rFonts w:ascii="Arial" w:hAnsi="Arial" w:cs="Arial"/>
          <w:sz w:val="22"/>
          <w:szCs w:val="22"/>
        </w:rPr>
        <w:t>2,</w:t>
      </w:r>
      <w:r w:rsidR="008D467D">
        <w:rPr>
          <w:rFonts w:ascii="Arial" w:hAnsi="Arial" w:cs="Arial"/>
          <w:sz w:val="22"/>
          <w:szCs w:val="22"/>
        </w:rPr>
        <w:t>294</w:t>
      </w:r>
      <w:r w:rsidR="008D467D" w:rsidRPr="00B31CB4">
        <w:rPr>
          <w:rFonts w:ascii="Arial" w:hAnsi="Arial" w:cs="Arial"/>
          <w:sz w:val="22"/>
          <w:szCs w:val="22"/>
        </w:rPr>
        <w:t xml:space="preserve"> </w:t>
      </w:r>
      <w:r w:rsidRPr="00B31CB4">
        <w:rPr>
          <w:rFonts w:ascii="Arial" w:hAnsi="Arial" w:cs="Arial"/>
          <w:sz w:val="22"/>
          <w:szCs w:val="22"/>
        </w:rPr>
        <w:t xml:space="preserve">down-regulated genes </w:t>
      </w:r>
      <w:r w:rsidR="00346314">
        <w:rPr>
          <w:rFonts w:ascii="Arial" w:hAnsi="Arial" w:cs="Arial"/>
          <w:sz w:val="22"/>
          <w:szCs w:val="22"/>
        </w:rPr>
        <w:t>(</w:t>
      </w:r>
      <w:r w:rsidR="00AE70D7">
        <w:rPr>
          <w:rFonts w:ascii="Arial" w:hAnsi="Arial" w:cs="Arial"/>
          <w:b/>
          <w:sz w:val="22"/>
          <w:szCs w:val="22"/>
        </w:rPr>
        <w:t xml:space="preserve">Additional file 1: </w:t>
      </w:r>
      <w:r w:rsidR="00346314">
        <w:rPr>
          <w:rFonts w:ascii="Arial" w:hAnsi="Arial" w:cs="Arial"/>
          <w:b/>
          <w:sz w:val="22"/>
          <w:szCs w:val="22"/>
        </w:rPr>
        <w:t>Table</w:t>
      </w:r>
      <w:r w:rsidR="00346314" w:rsidRPr="00346314">
        <w:rPr>
          <w:rFonts w:ascii="Arial" w:hAnsi="Arial" w:cs="Arial"/>
          <w:b/>
          <w:sz w:val="22"/>
          <w:szCs w:val="22"/>
        </w:rPr>
        <w:t xml:space="preserve"> S5</w:t>
      </w:r>
      <w:r w:rsidR="00346314">
        <w:rPr>
          <w:rFonts w:ascii="Arial" w:hAnsi="Arial" w:cs="Arial"/>
          <w:sz w:val="22"/>
          <w:szCs w:val="22"/>
        </w:rPr>
        <w:t xml:space="preserve">) </w:t>
      </w:r>
      <w:r w:rsidRPr="00B31CB4">
        <w:rPr>
          <w:rFonts w:ascii="Arial" w:hAnsi="Arial" w:cs="Arial"/>
          <w:sz w:val="22"/>
          <w:szCs w:val="22"/>
        </w:rPr>
        <w:t xml:space="preserve">were identified at false discovery rate (FDR) ≤ 0.05 and fold change (FC) ≥ 1.2. We searched for </w:t>
      </w:r>
      <w:r w:rsidR="00741846">
        <w:rPr>
          <w:rFonts w:ascii="Arial" w:hAnsi="Arial" w:cs="Arial"/>
          <w:sz w:val="22"/>
          <w:szCs w:val="22"/>
        </w:rPr>
        <w:t>gene ontology (</w:t>
      </w:r>
      <w:r w:rsidRPr="00B31CB4">
        <w:rPr>
          <w:rFonts w:ascii="Arial" w:hAnsi="Arial" w:cs="Arial"/>
          <w:sz w:val="22"/>
          <w:szCs w:val="22"/>
        </w:rPr>
        <w:t>GO</w:t>
      </w:r>
      <w:r w:rsidR="00741846">
        <w:rPr>
          <w:rFonts w:ascii="Arial" w:hAnsi="Arial" w:cs="Arial"/>
          <w:sz w:val="22"/>
          <w:szCs w:val="22"/>
        </w:rPr>
        <w:t>)</w:t>
      </w:r>
      <w:r w:rsidRPr="00B31CB4">
        <w:rPr>
          <w:rFonts w:ascii="Arial" w:hAnsi="Arial" w:cs="Arial"/>
          <w:sz w:val="22"/>
          <w:szCs w:val="22"/>
        </w:rPr>
        <w:t xml:space="preserve"> and functional pathway terms enriched within the differential expression genes (DEGs) signature by making use of the gene sets annotations from the </w:t>
      </w:r>
      <w:proofErr w:type="spellStart"/>
      <w:r w:rsidRPr="00B31CB4">
        <w:rPr>
          <w:rFonts w:ascii="Arial" w:hAnsi="Arial" w:cs="Arial"/>
          <w:sz w:val="22"/>
          <w:szCs w:val="22"/>
        </w:rPr>
        <w:t>MSigDB</w:t>
      </w:r>
      <w:proofErr w:type="spellEnd"/>
      <w:r w:rsidRPr="00B31CB4">
        <w:rPr>
          <w:rFonts w:ascii="Arial" w:hAnsi="Arial" w:cs="Arial"/>
          <w:sz w:val="22"/>
          <w:szCs w:val="22"/>
        </w:rPr>
        <w:t xml:space="preserve"> database</w:t>
      </w:r>
      <w:r w:rsidRPr="00B31CB4">
        <w:rPr>
          <w:rFonts w:ascii="Arial" w:hAnsi="Arial" w:cs="Arial"/>
          <w:sz w:val="22"/>
          <w:szCs w:val="22"/>
        </w:rPr>
        <w:fldChar w:fldCharType="begin"/>
      </w:r>
      <w:r w:rsidRPr="00B31CB4">
        <w:rPr>
          <w:rFonts w:ascii="Arial" w:hAnsi="Arial" w:cs="Arial"/>
          <w:sz w:val="22"/>
          <w:szCs w:val="22"/>
        </w:rPr>
        <w:instrText xml:space="preserve"> ADDIN EN.CITE &lt;EndNote&gt;&lt;Cite&gt;&lt;Author&gt;Subramanian&lt;/Author&gt;&lt;Year&gt;2005&lt;/Year&gt;&lt;RecNum&gt;49&lt;/RecNum&gt;&lt;DisplayText&gt;[30]&lt;/DisplayText&gt;&lt;record&gt;&lt;rec-number&gt;49&lt;/rec-number&gt;&lt;foreign-keys&gt;&lt;key app="EN" db-id="055xevxpntwadsewzxnx59px90srtt2rfvr2" timestamp="1393365302"&gt;49&lt;/key&gt;&lt;/foreign-keys&gt;&lt;ref-type name="Journal Article"&gt;17&lt;/ref-type&gt;&lt;contributors&gt;&lt;authors&gt;&lt;author&gt;Subramanian, Aravind&lt;/author&gt;&lt;author&gt;Tamayo, Pablo&lt;/author&gt;&lt;author&gt;Mootha, Vamsi K.&lt;/author&gt;&lt;author&gt;Mukherjee, Sayan&lt;/author&gt;&lt;author&gt;Ebert, Benjamin L.&lt;/author&gt;&lt;author&gt;Gillette, Michael A.&lt;/author&gt;&lt;author&gt;Paulovich, Amanda&lt;/author&gt;&lt;author&gt;Pomeroy, Scott L.&lt;/author&gt;&lt;author&gt;Golub, Todd R.&lt;/author&gt;&lt;author&gt;Lander, Eric S.&lt;/author&gt;&lt;author&gt;Mesirov, Jill P.&lt;/author&gt;&lt;/authors&gt;&lt;/contributors&gt;&lt;titles&gt;&lt;title&gt;Gene set enrichment analysis: A knowledge-based approach for interpreting genome-wide expression profiles&lt;/title&gt;&lt;secondary-title&gt;Proceedings of the National Academy of Sciences of the United States of America&lt;/secondary-title&gt;&lt;/titles&gt;&lt;periodical&gt;&lt;full-title&gt;Proceedings of the National Academy of Sciences of the United States of America&lt;/full-title&gt;&lt;/periodical&gt;&lt;pages&gt;15545-15550&lt;/pages&gt;&lt;volume&gt;102&lt;/volume&gt;&lt;number&gt;43&lt;/number&gt;&lt;dates&gt;&lt;year&gt;2005&lt;/year&gt;&lt;pub-dates&gt;&lt;date&gt;October 25, 2005&lt;/date&gt;&lt;/pub-dates&gt;&lt;/dates&gt;&lt;urls&gt;&lt;related-urls&gt;&lt;url&gt;http://www.pnas.org/content/102/43/15545.abstract&lt;/url&gt;&lt;/related-urls&gt;&lt;/urls&gt;&lt;electronic-resource-num&gt;10.1073/pnas.0506580102&lt;/electronic-resource-num&gt;&lt;/record&gt;&lt;/Cite&gt;&lt;/EndNote&gt;</w:instrText>
      </w:r>
      <w:r w:rsidRPr="00B31CB4">
        <w:rPr>
          <w:rFonts w:ascii="Arial" w:hAnsi="Arial" w:cs="Arial"/>
          <w:sz w:val="22"/>
          <w:szCs w:val="22"/>
        </w:rPr>
        <w:fldChar w:fldCharType="separate"/>
      </w:r>
      <w:r w:rsidRPr="00B31CB4">
        <w:rPr>
          <w:rFonts w:ascii="Arial" w:hAnsi="Arial" w:cs="Arial"/>
          <w:noProof/>
          <w:sz w:val="22"/>
          <w:szCs w:val="22"/>
        </w:rPr>
        <w:t>[30]</w:t>
      </w:r>
      <w:r w:rsidRPr="00B31CB4">
        <w:rPr>
          <w:rFonts w:ascii="Arial" w:hAnsi="Arial" w:cs="Arial"/>
          <w:sz w:val="22"/>
          <w:szCs w:val="22"/>
        </w:rPr>
        <w:fldChar w:fldCharType="end"/>
      </w:r>
      <w:r w:rsidRPr="00B31CB4">
        <w:rPr>
          <w:rFonts w:ascii="Arial" w:hAnsi="Arial" w:cs="Arial"/>
          <w:sz w:val="22"/>
          <w:szCs w:val="22"/>
        </w:rPr>
        <w:t xml:space="preserve">. </w:t>
      </w:r>
      <w:r w:rsidRPr="00B31CB4">
        <w:rPr>
          <w:rFonts w:ascii="Arial" w:hAnsi="Arial" w:cs="Arial"/>
          <w:b/>
          <w:sz w:val="22"/>
          <w:szCs w:val="22"/>
        </w:rPr>
        <w:t>Figure S1</w:t>
      </w:r>
      <w:r w:rsidRPr="00B31CB4">
        <w:rPr>
          <w:rFonts w:ascii="Arial" w:hAnsi="Arial" w:cs="Arial"/>
          <w:sz w:val="22"/>
          <w:szCs w:val="22"/>
        </w:rPr>
        <w:t xml:space="preserve"> shows the fold enrichment (FE) and adjusted P value of the top GO and pathway terms enriched in the up- and down-regulated gene signatures. The complete list of enriched functional categories at an FDR</w:t>
      </w:r>
      <w:r w:rsidR="00346314">
        <w:rPr>
          <w:rFonts w:ascii="Arial" w:hAnsi="Arial" w:cs="Arial"/>
          <w:sz w:val="22"/>
          <w:szCs w:val="22"/>
        </w:rPr>
        <w:t xml:space="preserve"> cutoff of 0.05 is provided in </w:t>
      </w:r>
      <w:r w:rsidR="00AE70D7">
        <w:rPr>
          <w:rFonts w:ascii="Arial" w:hAnsi="Arial" w:cs="Arial"/>
          <w:b/>
          <w:sz w:val="22"/>
          <w:szCs w:val="22"/>
        </w:rPr>
        <w:t xml:space="preserve">Additional file 1: </w:t>
      </w:r>
      <w:r w:rsidRPr="00B31CB4">
        <w:rPr>
          <w:rFonts w:ascii="Arial" w:hAnsi="Arial" w:cs="Arial"/>
          <w:b/>
          <w:sz w:val="22"/>
          <w:szCs w:val="22"/>
        </w:rPr>
        <w:t>Table S</w:t>
      </w:r>
      <w:r w:rsidR="00346314">
        <w:rPr>
          <w:rFonts w:ascii="Arial" w:hAnsi="Arial" w:cs="Arial"/>
          <w:b/>
          <w:sz w:val="22"/>
          <w:szCs w:val="22"/>
        </w:rPr>
        <w:t>6</w:t>
      </w:r>
      <w:r w:rsidRPr="00B31CB4">
        <w:rPr>
          <w:rFonts w:ascii="Arial" w:hAnsi="Arial" w:cs="Arial"/>
          <w:sz w:val="22"/>
          <w:szCs w:val="22"/>
        </w:rPr>
        <w:t>. As expected, cell cycle related functional terms were the mostly enriched category, for example,</w:t>
      </w:r>
      <w:r w:rsidR="00741846">
        <w:rPr>
          <w:rFonts w:ascii="Arial" w:hAnsi="Arial" w:cs="Arial"/>
          <w:sz w:val="22"/>
          <w:szCs w:val="22"/>
        </w:rPr>
        <w:t xml:space="preserve"> GO</w:t>
      </w:r>
      <w:r w:rsidRPr="00B31CB4">
        <w:rPr>
          <w:rFonts w:ascii="Arial" w:hAnsi="Arial" w:cs="Arial"/>
          <w:sz w:val="22"/>
          <w:szCs w:val="22"/>
        </w:rPr>
        <w:t xml:space="preserve"> cell cycle showed a FE of </w:t>
      </w:r>
      <w:r w:rsidR="008D467D">
        <w:rPr>
          <w:rFonts w:ascii="Arial" w:hAnsi="Arial" w:cs="Arial"/>
          <w:sz w:val="22"/>
          <w:szCs w:val="22"/>
        </w:rPr>
        <w:t>2.9</w:t>
      </w:r>
      <w:r w:rsidR="00741846" w:rsidRPr="00B31CB4">
        <w:rPr>
          <w:rFonts w:ascii="Arial" w:hAnsi="Arial" w:cs="Arial"/>
          <w:sz w:val="22"/>
          <w:szCs w:val="22"/>
        </w:rPr>
        <w:t xml:space="preserve"> </w:t>
      </w:r>
      <w:r w:rsidRPr="00B31CB4">
        <w:rPr>
          <w:rFonts w:ascii="Arial" w:hAnsi="Arial" w:cs="Arial"/>
          <w:sz w:val="22"/>
          <w:szCs w:val="22"/>
        </w:rPr>
        <w:t>with FDR adjusted p value</w:t>
      </w:r>
      <w:r w:rsidR="008D467D">
        <w:rPr>
          <w:rFonts w:ascii="Arial" w:hAnsi="Arial" w:cs="Arial"/>
          <w:sz w:val="22"/>
          <w:szCs w:val="22"/>
        </w:rPr>
        <w:t>=</w:t>
      </w:r>
      <w:r w:rsidRPr="00B31CB4">
        <w:rPr>
          <w:rFonts w:ascii="Arial" w:hAnsi="Arial" w:cs="Arial"/>
          <w:sz w:val="22"/>
          <w:szCs w:val="22"/>
        </w:rPr>
        <w:t xml:space="preserve"> </w:t>
      </w:r>
      <w:r w:rsidR="008D467D">
        <w:rPr>
          <w:rFonts w:ascii="Arial" w:hAnsi="Arial" w:cs="Arial"/>
          <w:sz w:val="22"/>
          <w:szCs w:val="22"/>
        </w:rPr>
        <w:t>2.21</w:t>
      </w:r>
      <w:r w:rsidR="008E27AB">
        <w:rPr>
          <w:rFonts w:ascii="Arial" w:hAnsi="Arial" w:cs="Arial"/>
          <w:sz w:val="22"/>
          <w:szCs w:val="22"/>
        </w:rPr>
        <w:t>E</w:t>
      </w:r>
      <w:r w:rsidRPr="00B31CB4">
        <w:rPr>
          <w:rFonts w:ascii="Arial" w:hAnsi="Arial" w:cs="Arial"/>
          <w:sz w:val="22"/>
          <w:szCs w:val="22"/>
        </w:rPr>
        <w:t>-</w:t>
      </w:r>
      <w:r w:rsidR="008D467D">
        <w:rPr>
          <w:rFonts w:ascii="Arial" w:hAnsi="Arial" w:cs="Arial"/>
          <w:sz w:val="22"/>
          <w:szCs w:val="22"/>
        </w:rPr>
        <w:t>31</w:t>
      </w:r>
      <w:r w:rsidRPr="00B31CB4">
        <w:rPr>
          <w:rFonts w:ascii="Arial" w:hAnsi="Arial" w:cs="Arial"/>
          <w:sz w:val="22"/>
          <w:szCs w:val="22"/>
        </w:rPr>
        <w:t>. Among the GO/pathways enriched in the genes up-regulated in NPC versus normal control include</w:t>
      </w:r>
      <w:r w:rsidR="00010F8B">
        <w:rPr>
          <w:rFonts w:ascii="Arial" w:hAnsi="Arial" w:cs="Arial"/>
          <w:sz w:val="22"/>
          <w:szCs w:val="22"/>
        </w:rPr>
        <w:t xml:space="preserve"> tissue development (2</w:t>
      </w:r>
      <w:r w:rsidR="00010F8B" w:rsidRPr="00B31CB4">
        <w:rPr>
          <w:rFonts w:ascii="Arial" w:hAnsi="Arial" w:cs="Arial"/>
          <w:sz w:val="22"/>
          <w:szCs w:val="22"/>
        </w:rPr>
        <w:t>.</w:t>
      </w:r>
      <w:r w:rsidR="00010F8B">
        <w:rPr>
          <w:rFonts w:ascii="Arial" w:hAnsi="Arial" w:cs="Arial"/>
          <w:sz w:val="22"/>
          <w:szCs w:val="22"/>
        </w:rPr>
        <w:t>5</w:t>
      </w:r>
      <w:r w:rsidR="00010F8B" w:rsidRPr="00B31CB4">
        <w:rPr>
          <w:rFonts w:ascii="Arial" w:hAnsi="Arial" w:cs="Arial"/>
          <w:sz w:val="22"/>
          <w:szCs w:val="22"/>
        </w:rPr>
        <w:t xml:space="preserve">-FE, </w:t>
      </w:r>
      <w:r w:rsidR="008D467D" w:rsidRPr="00B31CB4">
        <w:rPr>
          <w:rFonts w:ascii="Arial" w:hAnsi="Arial" w:cs="Arial"/>
          <w:sz w:val="22"/>
          <w:szCs w:val="22"/>
        </w:rPr>
        <w:t>FDR</w:t>
      </w:r>
      <w:r w:rsidR="008D467D">
        <w:rPr>
          <w:rFonts w:ascii="Arial" w:hAnsi="Arial" w:cs="Arial"/>
          <w:sz w:val="22"/>
          <w:szCs w:val="22"/>
        </w:rPr>
        <w:t>=2.54</w:t>
      </w:r>
      <w:r w:rsidR="00010F8B" w:rsidRPr="00B31CB4">
        <w:rPr>
          <w:rFonts w:ascii="Arial" w:hAnsi="Arial" w:cs="Arial"/>
          <w:sz w:val="22"/>
          <w:szCs w:val="22"/>
        </w:rPr>
        <w:t>E-</w:t>
      </w:r>
      <w:r w:rsidR="00010F8B">
        <w:rPr>
          <w:rFonts w:ascii="Arial" w:hAnsi="Arial" w:cs="Arial"/>
          <w:sz w:val="22"/>
          <w:szCs w:val="22"/>
        </w:rPr>
        <w:t>23),</w:t>
      </w:r>
      <w:r w:rsidRPr="00B31CB4">
        <w:rPr>
          <w:rFonts w:ascii="Arial" w:hAnsi="Arial" w:cs="Arial"/>
          <w:sz w:val="22"/>
          <w:szCs w:val="22"/>
        </w:rPr>
        <w:t xml:space="preserve"> </w:t>
      </w:r>
      <w:r w:rsidR="008D467D">
        <w:rPr>
          <w:rFonts w:ascii="Arial" w:hAnsi="Arial" w:cs="Arial"/>
          <w:sz w:val="22"/>
          <w:szCs w:val="22"/>
        </w:rPr>
        <w:t xml:space="preserve">cell junction </w:t>
      </w:r>
      <w:r w:rsidRPr="00B31CB4">
        <w:rPr>
          <w:rFonts w:ascii="Arial" w:hAnsi="Arial" w:cs="Arial"/>
          <w:sz w:val="22"/>
          <w:szCs w:val="22"/>
        </w:rPr>
        <w:t>(</w:t>
      </w:r>
      <w:r w:rsidR="00010F8B">
        <w:rPr>
          <w:rFonts w:ascii="Arial" w:hAnsi="Arial" w:cs="Arial"/>
          <w:sz w:val="22"/>
          <w:szCs w:val="22"/>
        </w:rPr>
        <w:t>2</w:t>
      </w:r>
      <w:r w:rsidRPr="00B31CB4">
        <w:rPr>
          <w:rFonts w:ascii="Arial" w:hAnsi="Arial" w:cs="Arial"/>
          <w:sz w:val="22"/>
          <w:szCs w:val="22"/>
        </w:rPr>
        <w:t>.</w:t>
      </w:r>
      <w:r w:rsidR="008D467D">
        <w:rPr>
          <w:rFonts w:ascii="Arial" w:hAnsi="Arial" w:cs="Arial"/>
          <w:sz w:val="22"/>
          <w:szCs w:val="22"/>
        </w:rPr>
        <w:t>7</w:t>
      </w:r>
      <w:r w:rsidRPr="00B31CB4">
        <w:rPr>
          <w:rFonts w:ascii="Arial" w:hAnsi="Arial" w:cs="Arial"/>
          <w:sz w:val="22"/>
          <w:szCs w:val="22"/>
        </w:rPr>
        <w:t xml:space="preserve">-FE, </w:t>
      </w:r>
      <w:r w:rsidR="008D467D" w:rsidRPr="00B31CB4">
        <w:rPr>
          <w:rFonts w:ascii="Arial" w:hAnsi="Arial" w:cs="Arial"/>
          <w:sz w:val="22"/>
          <w:szCs w:val="22"/>
        </w:rPr>
        <w:t>FDR</w:t>
      </w:r>
      <w:r w:rsidR="008D467D">
        <w:rPr>
          <w:rFonts w:ascii="Arial" w:hAnsi="Arial" w:cs="Arial"/>
          <w:sz w:val="22"/>
          <w:szCs w:val="22"/>
        </w:rPr>
        <w:t>=4.94</w:t>
      </w:r>
      <w:r w:rsidR="00010F8B" w:rsidRPr="00B31CB4">
        <w:rPr>
          <w:rFonts w:ascii="Arial" w:hAnsi="Arial" w:cs="Arial"/>
          <w:sz w:val="22"/>
          <w:szCs w:val="22"/>
        </w:rPr>
        <w:t>E</w:t>
      </w:r>
      <w:r w:rsidRPr="00B31CB4">
        <w:rPr>
          <w:rFonts w:ascii="Arial" w:hAnsi="Arial" w:cs="Arial"/>
          <w:sz w:val="22"/>
          <w:szCs w:val="22"/>
        </w:rPr>
        <w:t>-</w:t>
      </w:r>
      <w:r w:rsidR="008D467D">
        <w:rPr>
          <w:rFonts w:ascii="Arial" w:hAnsi="Arial" w:cs="Arial"/>
          <w:sz w:val="22"/>
          <w:szCs w:val="22"/>
        </w:rPr>
        <w:t>21</w:t>
      </w:r>
      <w:r w:rsidRPr="00B31CB4">
        <w:rPr>
          <w:rFonts w:ascii="Arial" w:hAnsi="Arial" w:cs="Arial"/>
          <w:sz w:val="22"/>
          <w:szCs w:val="22"/>
        </w:rPr>
        <w:t xml:space="preserve">), </w:t>
      </w:r>
      <w:r w:rsidR="00010F8B">
        <w:rPr>
          <w:rFonts w:ascii="Arial" w:hAnsi="Arial" w:cs="Arial"/>
          <w:sz w:val="22"/>
          <w:szCs w:val="22"/>
        </w:rPr>
        <w:t>and</w:t>
      </w:r>
      <w:r w:rsidR="008D467D">
        <w:rPr>
          <w:rFonts w:ascii="Arial" w:hAnsi="Arial" w:cs="Arial"/>
          <w:sz w:val="22"/>
          <w:szCs w:val="22"/>
        </w:rPr>
        <w:t xml:space="preserve"> embryo </w:t>
      </w:r>
      <w:r w:rsidR="008D467D" w:rsidRPr="008D467D">
        <w:rPr>
          <w:rFonts w:ascii="Arial" w:hAnsi="Arial" w:cs="Arial"/>
          <w:sz w:val="22"/>
          <w:szCs w:val="22"/>
        </w:rPr>
        <w:t>development</w:t>
      </w:r>
      <w:r w:rsidR="00010F8B">
        <w:rPr>
          <w:rFonts w:ascii="Arial" w:hAnsi="Arial" w:cs="Arial"/>
          <w:sz w:val="22"/>
          <w:szCs w:val="22"/>
        </w:rPr>
        <w:t xml:space="preserve"> </w:t>
      </w:r>
      <w:r w:rsidRPr="00B31CB4">
        <w:rPr>
          <w:rFonts w:ascii="Arial" w:hAnsi="Arial" w:cs="Arial"/>
          <w:sz w:val="22"/>
          <w:szCs w:val="22"/>
        </w:rPr>
        <w:t>(</w:t>
      </w:r>
      <w:r w:rsidR="00010F8B">
        <w:rPr>
          <w:rFonts w:ascii="Arial" w:hAnsi="Arial" w:cs="Arial"/>
          <w:sz w:val="22"/>
          <w:szCs w:val="22"/>
        </w:rPr>
        <w:t>2</w:t>
      </w:r>
      <w:r w:rsidRPr="00B31CB4">
        <w:rPr>
          <w:rFonts w:ascii="Arial" w:hAnsi="Arial" w:cs="Arial"/>
          <w:sz w:val="22"/>
          <w:szCs w:val="22"/>
        </w:rPr>
        <w:t>.</w:t>
      </w:r>
      <w:r w:rsidR="00B4024D">
        <w:rPr>
          <w:rFonts w:ascii="Arial" w:hAnsi="Arial" w:cs="Arial"/>
          <w:sz w:val="22"/>
          <w:szCs w:val="22"/>
        </w:rPr>
        <w:t>9</w:t>
      </w:r>
      <w:r w:rsidRPr="00B31CB4">
        <w:rPr>
          <w:rFonts w:ascii="Arial" w:hAnsi="Arial" w:cs="Arial"/>
          <w:sz w:val="22"/>
          <w:szCs w:val="22"/>
        </w:rPr>
        <w:t xml:space="preserve">-FE, </w:t>
      </w:r>
      <w:r w:rsidR="00B4024D" w:rsidRPr="00B31CB4">
        <w:rPr>
          <w:rFonts w:ascii="Arial" w:hAnsi="Arial" w:cs="Arial"/>
          <w:sz w:val="22"/>
          <w:szCs w:val="22"/>
        </w:rPr>
        <w:t>FDR</w:t>
      </w:r>
      <w:r w:rsidR="00B4024D">
        <w:rPr>
          <w:rFonts w:ascii="Arial" w:hAnsi="Arial" w:cs="Arial"/>
          <w:sz w:val="22"/>
          <w:szCs w:val="22"/>
        </w:rPr>
        <w:t>=</w:t>
      </w:r>
      <w:r w:rsidR="00010F8B">
        <w:rPr>
          <w:rFonts w:ascii="Arial" w:hAnsi="Arial" w:cs="Arial"/>
          <w:sz w:val="22"/>
          <w:szCs w:val="22"/>
        </w:rPr>
        <w:t>1</w:t>
      </w:r>
      <w:r w:rsidRPr="00B31CB4">
        <w:rPr>
          <w:rFonts w:ascii="Arial" w:hAnsi="Arial" w:cs="Arial"/>
          <w:sz w:val="22"/>
          <w:szCs w:val="22"/>
        </w:rPr>
        <w:t>.</w:t>
      </w:r>
      <w:r w:rsidR="00B4024D">
        <w:rPr>
          <w:rFonts w:ascii="Arial" w:hAnsi="Arial" w:cs="Arial"/>
          <w:sz w:val="22"/>
          <w:szCs w:val="22"/>
        </w:rPr>
        <w:t>41</w:t>
      </w:r>
      <w:r w:rsidR="00B4024D" w:rsidRPr="00B31CB4">
        <w:rPr>
          <w:rFonts w:ascii="Arial" w:hAnsi="Arial" w:cs="Arial"/>
          <w:sz w:val="22"/>
          <w:szCs w:val="22"/>
        </w:rPr>
        <w:t>E</w:t>
      </w:r>
      <w:r w:rsidRPr="00B31CB4">
        <w:rPr>
          <w:rFonts w:ascii="Arial" w:hAnsi="Arial" w:cs="Arial"/>
          <w:sz w:val="22"/>
          <w:szCs w:val="22"/>
        </w:rPr>
        <w:t>-</w:t>
      </w:r>
      <w:r w:rsidR="00B4024D">
        <w:rPr>
          <w:rFonts w:ascii="Arial" w:hAnsi="Arial" w:cs="Arial"/>
          <w:sz w:val="22"/>
          <w:szCs w:val="22"/>
        </w:rPr>
        <w:t>20</w:t>
      </w:r>
      <w:r w:rsidRPr="00B31CB4">
        <w:rPr>
          <w:rFonts w:ascii="Arial" w:hAnsi="Arial" w:cs="Arial"/>
          <w:sz w:val="22"/>
          <w:szCs w:val="22"/>
        </w:rPr>
        <w:t>)</w:t>
      </w:r>
      <w:r w:rsidR="00010F8B">
        <w:rPr>
          <w:rFonts w:ascii="Arial" w:hAnsi="Arial" w:cs="Arial"/>
          <w:sz w:val="22"/>
          <w:szCs w:val="22"/>
        </w:rPr>
        <w:t>.</w:t>
      </w:r>
      <w:r w:rsidRPr="00B31CB4">
        <w:rPr>
          <w:rFonts w:ascii="Arial" w:hAnsi="Arial" w:cs="Arial"/>
          <w:sz w:val="22"/>
          <w:szCs w:val="22"/>
        </w:rPr>
        <w:t xml:space="preserve"> Among the genes down-regulated in NPC versus normal control, the top enriched GO/pathways are largely immune response related, including </w:t>
      </w:r>
      <w:r w:rsidR="00B4024D" w:rsidRPr="00010F8B">
        <w:rPr>
          <w:rFonts w:ascii="Arial" w:hAnsi="Arial" w:cs="Arial"/>
          <w:sz w:val="22"/>
          <w:szCs w:val="22"/>
        </w:rPr>
        <w:t>lymphocyte</w:t>
      </w:r>
      <w:r w:rsidR="00B4024D">
        <w:rPr>
          <w:rFonts w:ascii="Arial" w:hAnsi="Arial" w:cs="Arial"/>
          <w:sz w:val="22"/>
          <w:szCs w:val="22"/>
        </w:rPr>
        <w:t xml:space="preserve"> </w:t>
      </w:r>
      <w:r w:rsidR="00B4024D" w:rsidRPr="00010F8B">
        <w:rPr>
          <w:rFonts w:ascii="Arial" w:hAnsi="Arial" w:cs="Arial"/>
          <w:sz w:val="22"/>
          <w:szCs w:val="22"/>
        </w:rPr>
        <w:t>activation</w:t>
      </w:r>
      <w:r w:rsidR="00B4024D">
        <w:rPr>
          <w:rFonts w:ascii="Arial" w:hAnsi="Arial" w:cs="Arial"/>
          <w:sz w:val="22"/>
          <w:szCs w:val="22"/>
        </w:rPr>
        <w:t xml:space="preserve"> (3.3-FE, </w:t>
      </w:r>
      <w:r w:rsidR="00B4024D" w:rsidRPr="00EB0636">
        <w:rPr>
          <w:rFonts w:ascii="Arial" w:hAnsi="Arial" w:cs="Arial"/>
        </w:rPr>
        <w:t>corrected FET P</w:t>
      </w:r>
      <w:r w:rsidR="00B4024D">
        <w:rPr>
          <w:rFonts w:ascii="Arial" w:hAnsi="Arial" w:cs="Arial"/>
          <w:sz w:val="22"/>
          <w:szCs w:val="22"/>
        </w:rPr>
        <w:t xml:space="preserve"> 1.91E-20), </w:t>
      </w:r>
      <w:r w:rsidR="00B4024D" w:rsidRPr="00010F8B">
        <w:rPr>
          <w:rFonts w:ascii="Arial" w:hAnsi="Arial" w:cs="Arial"/>
          <w:sz w:val="22"/>
          <w:szCs w:val="22"/>
        </w:rPr>
        <w:t>immune</w:t>
      </w:r>
      <w:r w:rsidR="00B4024D">
        <w:rPr>
          <w:rFonts w:ascii="Arial" w:hAnsi="Arial" w:cs="Arial"/>
          <w:sz w:val="22"/>
          <w:szCs w:val="22"/>
        </w:rPr>
        <w:t xml:space="preserve"> </w:t>
      </w:r>
      <w:r w:rsidR="00B4024D" w:rsidRPr="00010F8B">
        <w:rPr>
          <w:rFonts w:ascii="Arial" w:hAnsi="Arial" w:cs="Arial"/>
          <w:sz w:val="22"/>
          <w:szCs w:val="22"/>
        </w:rPr>
        <w:t>system</w:t>
      </w:r>
      <w:r w:rsidR="00B4024D">
        <w:rPr>
          <w:rFonts w:ascii="Arial" w:hAnsi="Arial" w:cs="Arial"/>
          <w:sz w:val="22"/>
          <w:szCs w:val="22"/>
        </w:rPr>
        <w:t xml:space="preserve"> </w:t>
      </w:r>
      <w:r w:rsidR="00B4024D" w:rsidRPr="00010F8B">
        <w:rPr>
          <w:rFonts w:ascii="Arial" w:hAnsi="Arial" w:cs="Arial"/>
          <w:sz w:val="22"/>
          <w:szCs w:val="22"/>
        </w:rPr>
        <w:t>process</w:t>
      </w:r>
      <w:r w:rsidR="00B4024D">
        <w:rPr>
          <w:rFonts w:ascii="Arial" w:hAnsi="Arial" w:cs="Arial"/>
          <w:sz w:val="22"/>
          <w:szCs w:val="22"/>
        </w:rPr>
        <w:t xml:space="preserve"> (1.8-FE, </w:t>
      </w:r>
      <w:r w:rsidR="00B4024D" w:rsidRPr="00EB0636">
        <w:rPr>
          <w:rFonts w:ascii="Arial" w:hAnsi="Arial" w:cs="Arial"/>
        </w:rPr>
        <w:t>corrected FET P</w:t>
      </w:r>
      <w:r w:rsidR="00B4024D">
        <w:rPr>
          <w:rFonts w:ascii="Arial" w:hAnsi="Arial" w:cs="Arial"/>
          <w:sz w:val="22"/>
          <w:szCs w:val="22"/>
        </w:rPr>
        <w:t xml:space="preserve"> 1.75E-18), </w:t>
      </w:r>
      <w:r w:rsidR="00B4024D" w:rsidRPr="00E17F55">
        <w:rPr>
          <w:rFonts w:ascii="Arial" w:hAnsi="Arial" w:cs="Arial"/>
          <w:sz w:val="22"/>
          <w:szCs w:val="22"/>
        </w:rPr>
        <w:t>leukocyte</w:t>
      </w:r>
      <w:r w:rsidR="00B4024D">
        <w:rPr>
          <w:rFonts w:ascii="Arial" w:hAnsi="Arial" w:cs="Arial"/>
          <w:sz w:val="22"/>
          <w:szCs w:val="22"/>
        </w:rPr>
        <w:t xml:space="preserve"> </w:t>
      </w:r>
      <w:r w:rsidR="00B4024D" w:rsidRPr="00E17F55">
        <w:rPr>
          <w:rFonts w:ascii="Arial" w:hAnsi="Arial" w:cs="Arial"/>
          <w:sz w:val="22"/>
          <w:szCs w:val="22"/>
        </w:rPr>
        <w:t>activation</w:t>
      </w:r>
      <w:r w:rsidR="00B4024D">
        <w:rPr>
          <w:rFonts w:ascii="Arial" w:hAnsi="Arial" w:cs="Arial"/>
          <w:sz w:val="22"/>
          <w:szCs w:val="22"/>
        </w:rPr>
        <w:t xml:space="preserve"> (3-FE, </w:t>
      </w:r>
      <w:r w:rsidR="00B4024D" w:rsidRPr="00EB0636">
        <w:rPr>
          <w:rFonts w:ascii="Arial" w:hAnsi="Arial" w:cs="Arial"/>
        </w:rPr>
        <w:t>corrected FET P</w:t>
      </w:r>
      <w:r w:rsidR="00B4024D">
        <w:rPr>
          <w:rFonts w:ascii="Arial" w:hAnsi="Arial" w:cs="Arial"/>
          <w:sz w:val="22"/>
          <w:szCs w:val="22"/>
        </w:rPr>
        <w:t xml:space="preserve"> 1.75E-18), </w:t>
      </w:r>
      <w:r w:rsidR="00B4024D" w:rsidRPr="00E17F55">
        <w:rPr>
          <w:rFonts w:ascii="Arial" w:hAnsi="Arial" w:cs="Arial"/>
          <w:sz w:val="22"/>
          <w:szCs w:val="22"/>
        </w:rPr>
        <w:t>cell</w:t>
      </w:r>
      <w:r w:rsidR="00B4024D">
        <w:rPr>
          <w:rFonts w:ascii="Arial" w:hAnsi="Arial" w:cs="Arial"/>
          <w:sz w:val="22"/>
          <w:szCs w:val="22"/>
        </w:rPr>
        <w:t xml:space="preserve"> </w:t>
      </w:r>
      <w:r w:rsidR="00B4024D" w:rsidRPr="00E17F55">
        <w:rPr>
          <w:rFonts w:ascii="Arial" w:hAnsi="Arial" w:cs="Arial"/>
          <w:sz w:val="22"/>
          <w:szCs w:val="22"/>
        </w:rPr>
        <w:t>activation</w:t>
      </w:r>
      <w:r w:rsidR="00B4024D">
        <w:rPr>
          <w:rFonts w:ascii="Arial" w:hAnsi="Arial" w:cs="Arial"/>
          <w:sz w:val="22"/>
          <w:szCs w:val="22"/>
        </w:rPr>
        <w:t xml:space="preserve"> (2.6-FE, </w:t>
      </w:r>
      <w:r w:rsidR="00B4024D" w:rsidRPr="00EB0636">
        <w:rPr>
          <w:rFonts w:ascii="Arial" w:hAnsi="Arial" w:cs="Arial"/>
        </w:rPr>
        <w:t>corrected FET P</w:t>
      </w:r>
      <w:r w:rsidR="00B4024D">
        <w:rPr>
          <w:rFonts w:ascii="Arial" w:hAnsi="Arial" w:cs="Arial"/>
          <w:sz w:val="22"/>
          <w:szCs w:val="22"/>
        </w:rPr>
        <w:t xml:space="preserve"> 6.59E-18)</w:t>
      </w:r>
      <w:r w:rsidR="00B4024D" w:rsidRPr="00B31CB4">
        <w:rPr>
          <w:rFonts w:ascii="Arial" w:hAnsi="Arial" w:cs="Arial"/>
          <w:sz w:val="22"/>
          <w:szCs w:val="22"/>
        </w:rPr>
        <w:t xml:space="preserve">, and immune </w:t>
      </w:r>
      <w:r w:rsidR="00B4024D">
        <w:rPr>
          <w:rFonts w:ascii="Arial" w:hAnsi="Arial" w:cs="Arial"/>
          <w:sz w:val="22"/>
          <w:szCs w:val="22"/>
        </w:rPr>
        <w:t>response</w:t>
      </w:r>
      <w:r w:rsidR="00B4024D" w:rsidRPr="00B31CB4">
        <w:rPr>
          <w:rFonts w:ascii="Arial" w:hAnsi="Arial" w:cs="Arial"/>
          <w:sz w:val="22"/>
          <w:szCs w:val="22"/>
        </w:rPr>
        <w:t xml:space="preserve"> (2.</w:t>
      </w:r>
      <w:r w:rsidR="00B4024D">
        <w:rPr>
          <w:rFonts w:ascii="Arial" w:hAnsi="Arial" w:cs="Arial"/>
          <w:sz w:val="22"/>
          <w:szCs w:val="22"/>
        </w:rPr>
        <w:t>0</w:t>
      </w:r>
      <w:r w:rsidR="00B4024D" w:rsidRPr="00B31CB4">
        <w:rPr>
          <w:rFonts w:ascii="Arial" w:hAnsi="Arial" w:cs="Arial"/>
          <w:sz w:val="22"/>
          <w:szCs w:val="22"/>
        </w:rPr>
        <w:t xml:space="preserve">-FE, </w:t>
      </w:r>
      <w:r w:rsidR="00B4024D" w:rsidRPr="00EB0636">
        <w:rPr>
          <w:rFonts w:ascii="Arial" w:hAnsi="Arial" w:cs="Arial"/>
        </w:rPr>
        <w:t>corrected FET P</w:t>
      </w:r>
      <w:r w:rsidR="00B4024D">
        <w:rPr>
          <w:rFonts w:ascii="Arial" w:hAnsi="Arial" w:cs="Arial"/>
          <w:sz w:val="22"/>
          <w:szCs w:val="22"/>
        </w:rPr>
        <w:t xml:space="preserve"> 4.59E-1</w:t>
      </w:r>
      <w:r w:rsidR="00422952">
        <w:rPr>
          <w:rFonts w:ascii="Arial" w:hAnsi="Arial" w:cs="Arial" w:hint="eastAsia"/>
          <w:sz w:val="22"/>
          <w:szCs w:val="22"/>
        </w:rPr>
        <w:t>8</w:t>
      </w:r>
      <w:r w:rsidR="00B4024D" w:rsidRPr="00B31CB4">
        <w:rPr>
          <w:rFonts w:ascii="Arial" w:hAnsi="Arial" w:cs="Arial"/>
          <w:sz w:val="22"/>
          <w:szCs w:val="22"/>
        </w:rPr>
        <w:t>)</w:t>
      </w:r>
      <w:r w:rsidRPr="00B31CB4">
        <w:rPr>
          <w:rFonts w:ascii="Arial" w:hAnsi="Arial" w:cs="Arial"/>
          <w:sz w:val="22"/>
          <w:szCs w:val="22"/>
        </w:rPr>
        <w:t>.</w:t>
      </w:r>
    </w:p>
    <w:p w14:paraId="3929A5EF" w14:textId="7F5B05F0" w:rsidR="00BB342C" w:rsidRPr="00B11F79" w:rsidRDefault="00BB342C">
      <w:pPr>
        <w:widowControl/>
        <w:jc w:val="left"/>
        <w:rPr>
          <w:rFonts w:ascii="Arial" w:hAnsi="Arial" w:cs="Arial"/>
          <w:b/>
          <w:bCs/>
          <w:color w:val="000000"/>
          <w:kern w:val="0"/>
          <w:sz w:val="29"/>
          <w:szCs w:val="29"/>
        </w:rPr>
      </w:pPr>
      <w:r>
        <w:rPr>
          <w:rFonts w:ascii="DengXian" w:eastAsia="DengXian" w:cs="DengXian"/>
          <w:color w:val="000000"/>
          <w:kern w:val="0"/>
          <w:szCs w:val="21"/>
        </w:rPr>
        <w:br w:type="page"/>
      </w:r>
    </w:p>
    <w:p w14:paraId="6646F3A6" w14:textId="0C53B67B" w:rsidR="00BB342C" w:rsidRDefault="008B4BCF" w:rsidP="000F0264">
      <w:pPr>
        <w:widowControl/>
        <w:autoSpaceDE w:val="0"/>
        <w:autoSpaceDN w:val="0"/>
        <w:adjustRightInd w:val="0"/>
        <w:spacing w:after="240" w:line="560" w:lineRule="atLeast"/>
        <w:jc w:val="left"/>
        <w:rPr>
          <w:rFonts w:ascii="DengXian" w:eastAsia="DengXian" w:cs="DengXian"/>
          <w:color w:val="000000"/>
          <w:kern w:val="0"/>
          <w:szCs w:val="21"/>
        </w:rPr>
      </w:pPr>
      <w:r w:rsidRPr="00C22D84">
        <w:rPr>
          <w:rFonts w:ascii="DengXian" w:eastAsia="DengXian" w:cs="DengXian"/>
          <w:noProof/>
          <w:color w:val="000000"/>
          <w:kern w:val="0"/>
          <w:szCs w:val="21"/>
          <w:lang w:eastAsia="en-US"/>
        </w:rPr>
        <w:lastRenderedPageBreak/>
        <w:drawing>
          <wp:inline distT="0" distB="0" distL="0" distR="0" wp14:anchorId="1354D766" wp14:editId="1B79ABFD">
            <wp:extent cx="5298472" cy="2931182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840" cy="2931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FDA5D" w14:textId="7A049A5D" w:rsidR="00BB342C" w:rsidRPr="00B31CB4" w:rsidRDefault="00644D23" w:rsidP="00C64BE9">
      <w:pPr>
        <w:widowControl/>
        <w:autoSpaceDE w:val="0"/>
        <w:autoSpaceDN w:val="0"/>
        <w:adjustRightInd w:val="0"/>
        <w:spacing w:after="240"/>
        <w:jc w:val="left"/>
        <w:rPr>
          <w:rFonts w:ascii="Arial" w:eastAsia="DengXian" w:hAnsi="Arial" w:cs="Arial"/>
          <w:b/>
          <w:color w:val="000000"/>
          <w:kern w:val="0"/>
          <w:sz w:val="22"/>
          <w:szCs w:val="22"/>
        </w:rPr>
      </w:pPr>
      <w:r w:rsidRPr="00B31CB4">
        <w:rPr>
          <w:rFonts w:ascii="Arial" w:eastAsia="DengXian" w:hAnsi="Arial" w:cs="Arial"/>
          <w:b/>
          <w:color w:val="000000"/>
          <w:kern w:val="0"/>
          <w:sz w:val="22"/>
          <w:szCs w:val="22"/>
        </w:rPr>
        <w:t>F</w:t>
      </w:r>
      <w:r w:rsidR="00BB342C" w:rsidRPr="00B31CB4">
        <w:rPr>
          <w:rFonts w:ascii="Arial" w:eastAsia="DengXian" w:hAnsi="Arial" w:cs="Arial"/>
          <w:b/>
          <w:color w:val="000000"/>
          <w:kern w:val="0"/>
          <w:sz w:val="22"/>
          <w:szCs w:val="22"/>
        </w:rPr>
        <w:t>igure S1. Gene ontology terms enriched in the up- and down-regulated gene signatures.</w:t>
      </w:r>
      <w:r w:rsidR="00BB342C" w:rsidRPr="00B31CB4">
        <w:rPr>
          <w:rFonts w:ascii="Arial" w:eastAsia="DengXian" w:hAnsi="Arial" w:cs="Arial"/>
          <w:color w:val="000000"/>
          <w:kern w:val="0"/>
          <w:sz w:val="22"/>
          <w:szCs w:val="22"/>
        </w:rPr>
        <w:t xml:space="preserve"> </w:t>
      </w:r>
      <w:r w:rsidR="00C64BE9" w:rsidRPr="00B31CB4">
        <w:rPr>
          <w:rFonts w:ascii="Arial" w:eastAsia="DengXian" w:hAnsi="Arial" w:cs="Arial"/>
          <w:color w:val="000000"/>
          <w:kern w:val="0"/>
          <w:sz w:val="22"/>
          <w:szCs w:val="22"/>
        </w:rPr>
        <w:t>The genes up-regulated in NPC are involved in cell cycle</w:t>
      </w:r>
      <w:r w:rsidR="00741846">
        <w:rPr>
          <w:rFonts w:ascii="Arial" w:eastAsia="DengXian" w:hAnsi="Arial" w:cs="Arial"/>
          <w:color w:val="000000"/>
          <w:kern w:val="0"/>
          <w:sz w:val="22"/>
          <w:szCs w:val="22"/>
        </w:rPr>
        <w:t>,</w:t>
      </w:r>
      <w:r w:rsidR="00C64BE9" w:rsidRPr="00B31CB4">
        <w:rPr>
          <w:rFonts w:ascii="Arial" w:eastAsia="DengXian" w:hAnsi="Arial" w:cs="Arial"/>
          <w:color w:val="000000"/>
          <w:kern w:val="0"/>
          <w:sz w:val="22"/>
          <w:szCs w:val="22"/>
        </w:rPr>
        <w:t xml:space="preserve"> </w:t>
      </w:r>
      <w:r w:rsidR="00741846">
        <w:rPr>
          <w:rFonts w:ascii="Arial" w:eastAsia="DengXian" w:hAnsi="Arial" w:cs="Arial"/>
          <w:color w:val="000000"/>
          <w:kern w:val="0"/>
          <w:sz w:val="22"/>
          <w:szCs w:val="22"/>
        </w:rPr>
        <w:t>neurogenesis and cell junction</w:t>
      </w:r>
      <w:r w:rsidR="00C64BE9" w:rsidRPr="00B31CB4">
        <w:rPr>
          <w:rFonts w:ascii="Arial" w:eastAsia="DengXian" w:hAnsi="Arial" w:cs="Arial"/>
          <w:color w:val="000000"/>
          <w:kern w:val="0"/>
          <w:sz w:val="22"/>
          <w:szCs w:val="22"/>
        </w:rPr>
        <w:t xml:space="preserve"> activities while those down-regulated are associated with immune response, suggesting activated cell proliferation and mitosis but inhibited </w:t>
      </w:r>
      <w:r w:rsidR="00DD10B8" w:rsidRPr="00B31CB4">
        <w:rPr>
          <w:rFonts w:ascii="Arial" w:eastAsia="DengXian" w:hAnsi="Arial" w:cs="Arial"/>
          <w:color w:val="000000"/>
          <w:kern w:val="0"/>
          <w:sz w:val="22"/>
          <w:szCs w:val="22"/>
        </w:rPr>
        <w:t>immune defense</w:t>
      </w:r>
      <w:r w:rsidR="00C64BE9" w:rsidRPr="00B31CB4">
        <w:rPr>
          <w:rFonts w:ascii="Arial" w:eastAsia="DengXian" w:hAnsi="Arial" w:cs="Arial"/>
          <w:color w:val="000000"/>
          <w:kern w:val="0"/>
          <w:sz w:val="22"/>
          <w:szCs w:val="22"/>
        </w:rPr>
        <w:t xml:space="preserve"> in NPC.</w:t>
      </w:r>
      <w:r w:rsidR="00C64BE9" w:rsidRPr="00B31CB4">
        <w:rPr>
          <w:rFonts w:ascii="Arial" w:eastAsia="DengXian" w:hAnsi="Arial" w:cs="Arial"/>
          <w:b/>
          <w:color w:val="000000"/>
          <w:kern w:val="0"/>
          <w:sz w:val="22"/>
          <w:szCs w:val="22"/>
        </w:rPr>
        <w:t xml:space="preserve"> </w:t>
      </w:r>
    </w:p>
    <w:p w14:paraId="0DFEA39F" w14:textId="77777777" w:rsidR="00DC4552" w:rsidRDefault="00DC4552" w:rsidP="00C64BE9">
      <w:pPr>
        <w:widowControl/>
        <w:autoSpaceDE w:val="0"/>
        <w:autoSpaceDN w:val="0"/>
        <w:adjustRightInd w:val="0"/>
        <w:spacing w:after="240"/>
        <w:jc w:val="left"/>
        <w:rPr>
          <w:rFonts w:ascii="DengXian" w:eastAsia="DengXian" w:cs="DengXian"/>
          <w:b/>
          <w:color w:val="000000"/>
          <w:kern w:val="0"/>
          <w:szCs w:val="21"/>
        </w:rPr>
      </w:pPr>
    </w:p>
    <w:p w14:paraId="7CD7C102" w14:textId="7C14570B" w:rsidR="00DC4552" w:rsidRDefault="00DC4552">
      <w:pPr>
        <w:widowControl/>
        <w:jc w:val="left"/>
        <w:rPr>
          <w:rFonts w:ascii="DengXian" w:eastAsia="DengXian" w:cs="DengXian"/>
          <w:b/>
          <w:color w:val="000000"/>
          <w:kern w:val="0"/>
          <w:szCs w:val="21"/>
        </w:rPr>
      </w:pPr>
      <w:r>
        <w:rPr>
          <w:rFonts w:ascii="DengXian" w:eastAsia="DengXian" w:cs="DengXian"/>
          <w:b/>
          <w:color w:val="000000"/>
          <w:kern w:val="0"/>
          <w:szCs w:val="21"/>
        </w:rPr>
        <w:br w:type="page"/>
      </w:r>
    </w:p>
    <w:p w14:paraId="335C41CD" w14:textId="77777777" w:rsidR="00DC4552" w:rsidRDefault="00DC4552" w:rsidP="00C64BE9">
      <w:pPr>
        <w:widowControl/>
        <w:autoSpaceDE w:val="0"/>
        <w:autoSpaceDN w:val="0"/>
        <w:adjustRightInd w:val="0"/>
        <w:spacing w:after="240"/>
        <w:jc w:val="left"/>
        <w:rPr>
          <w:rFonts w:ascii="DengXian" w:eastAsia="DengXian" w:cs="DengXian"/>
          <w:b/>
          <w:color w:val="000000"/>
          <w:kern w:val="0"/>
          <w:szCs w:val="21"/>
        </w:rPr>
      </w:pPr>
    </w:p>
    <w:p w14:paraId="7555123D" w14:textId="45EA63F2" w:rsidR="00DC4552" w:rsidRDefault="00AE70D7" w:rsidP="00C64BE9">
      <w:pPr>
        <w:widowControl/>
        <w:autoSpaceDE w:val="0"/>
        <w:autoSpaceDN w:val="0"/>
        <w:adjustRightInd w:val="0"/>
        <w:spacing w:after="240"/>
        <w:jc w:val="left"/>
        <w:rPr>
          <w:rFonts w:ascii="DengXian" w:eastAsia="DengXian" w:cs="DengXian"/>
          <w:b/>
          <w:color w:val="000000"/>
          <w:kern w:val="0"/>
          <w:szCs w:val="21"/>
        </w:rPr>
      </w:pPr>
      <w:r>
        <w:rPr>
          <w:rFonts w:ascii="DengXian" w:eastAsia="DengXian" w:cs="DengXian"/>
          <w:b/>
          <w:color w:val="000000"/>
          <w:kern w:val="0"/>
          <w:szCs w:val="21"/>
        </w:rPr>
        <w:pict w14:anchorId="2F4F8A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6pt;height:357.35pt">
            <v:imagedata r:id="rId6" o:title="Supplement Fig 1"/>
          </v:shape>
        </w:pict>
      </w:r>
    </w:p>
    <w:p w14:paraId="5BA993E9" w14:textId="1DA2CF68" w:rsidR="00DC4552" w:rsidRPr="002A12EF" w:rsidRDefault="002A12EF" w:rsidP="00C64BE9">
      <w:pPr>
        <w:widowControl/>
        <w:autoSpaceDE w:val="0"/>
        <w:autoSpaceDN w:val="0"/>
        <w:adjustRightInd w:val="0"/>
        <w:spacing w:after="240"/>
        <w:jc w:val="left"/>
        <w:rPr>
          <w:rFonts w:ascii="Arial" w:eastAsia="DengXian" w:hAnsi="Arial" w:cs="Arial"/>
          <w:b/>
          <w:color w:val="000000"/>
          <w:kern w:val="0"/>
          <w:sz w:val="22"/>
          <w:szCs w:val="22"/>
        </w:rPr>
      </w:pPr>
      <w:bookmarkStart w:id="0" w:name="_GoBack"/>
      <w:bookmarkEnd w:id="0"/>
      <w:r w:rsidRPr="002A12EF">
        <w:rPr>
          <w:rFonts w:ascii="Arial" w:eastAsia="DengXian" w:hAnsi="Arial" w:cs="Arial"/>
          <w:b/>
          <w:color w:val="000000"/>
          <w:kern w:val="0"/>
          <w:sz w:val="22"/>
          <w:szCs w:val="22"/>
        </w:rPr>
        <w:t xml:space="preserve">Figure S2.  </w:t>
      </w:r>
      <w:r w:rsidRPr="002A12EF">
        <w:rPr>
          <w:rFonts w:ascii="Arial" w:hAnsi="Arial" w:cs="Arial"/>
          <w:b/>
          <w:color w:val="000000"/>
          <w:sz w:val="22"/>
          <w:szCs w:val="22"/>
        </w:rPr>
        <w:t xml:space="preserve">Upregulation of EBV-miR-BART8-3p shows no clear-cut effects on NPC cell proliferation </w:t>
      </w:r>
      <w:r w:rsidRPr="002A12EF">
        <w:rPr>
          <w:rFonts w:ascii="Arial" w:hAnsi="Arial" w:cs="Arial"/>
          <w:b/>
          <w:i/>
          <w:color w:val="000000"/>
          <w:sz w:val="22"/>
          <w:szCs w:val="22"/>
        </w:rPr>
        <w:t>in vitro</w:t>
      </w:r>
      <w:r w:rsidRPr="002A12EF">
        <w:rPr>
          <w:rFonts w:ascii="Arial" w:hAnsi="Arial" w:cs="Arial"/>
          <w:b/>
          <w:color w:val="000000"/>
          <w:sz w:val="22"/>
          <w:szCs w:val="22"/>
        </w:rPr>
        <w:t>.</w:t>
      </w:r>
      <w:r w:rsidRPr="002A12EF">
        <w:rPr>
          <w:rFonts w:ascii="Arial" w:hAnsi="Arial" w:cs="Arial"/>
          <w:color w:val="000000"/>
          <w:sz w:val="22"/>
          <w:szCs w:val="22"/>
        </w:rPr>
        <w:t xml:space="preserve"> a, the effect of EBV-miR-BART8-3p on NPC CNE-1 and SUNE-1 cell proliferation is examined by CCK-8 assay; b, representative pictures (left panel) and quantification (left panel) of the colony-forming assays in CNE-1 and SUNE-1 cells. NS, no significant. Data are presented as mean ± SD.</w:t>
      </w:r>
    </w:p>
    <w:sectPr w:rsidR="00DC4552" w:rsidRPr="002A12EF" w:rsidSect="000721E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ppygo1988@sina.com">
    <w15:presenceInfo w15:providerId="Windows Live" w15:userId="89482320bd7b2b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A99"/>
    <w:rsid w:val="00010F8B"/>
    <w:rsid w:val="000721EC"/>
    <w:rsid w:val="000C6BC1"/>
    <w:rsid w:val="000F0264"/>
    <w:rsid w:val="001F763F"/>
    <w:rsid w:val="0025200D"/>
    <w:rsid w:val="002A12EF"/>
    <w:rsid w:val="002E449C"/>
    <w:rsid w:val="002E68D7"/>
    <w:rsid w:val="00346314"/>
    <w:rsid w:val="003577C4"/>
    <w:rsid w:val="00414A99"/>
    <w:rsid w:val="00422952"/>
    <w:rsid w:val="00502FDB"/>
    <w:rsid w:val="005D29C0"/>
    <w:rsid w:val="00644D23"/>
    <w:rsid w:val="006C425E"/>
    <w:rsid w:val="00734F7E"/>
    <w:rsid w:val="00741846"/>
    <w:rsid w:val="0075572F"/>
    <w:rsid w:val="0080681E"/>
    <w:rsid w:val="00814E8C"/>
    <w:rsid w:val="00826957"/>
    <w:rsid w:val="00846832"/>
    <w:rsid w:val="0086155A"/>
    <w:rsid w:val="008B4BCF"/>
    <w:rsid w:val="008D467D"/>
    <w:rsid w:val="008E27AB"/>
    <w:rsid w:val="00937D2B"/>
    <w:rsid w:val="009674DC"/>
    <w:rsid w:val="00AE70D7"/>
    <w:rsid w:val="00B11F79"/>
    <w:rsid w:val="00B31CB4"/>
    <w:rsid w:val="00B4024D"/>
    <w:rsid w:val="00B70E9F"/>
    <w:rsid w:val="00B84871"/>
    <w:rsid w:val="00BB342C"/>
    <w:rsid w:val="00BC5A4A"/>
    <w:rsid w:val="00BD769B"/>
    <w:rsid w:val="00C22D84"/>
    <w:rsid w:val="00C343F9"/>
    <w:rsid w:val="00C64BE9"/>
    <w:rsid w:val="00DC4552"/>
    <w:rsid w:val="00DD10B8"/>
    <w:rsid w:val="00E17F55"/>
    <w:rsid w:val="00ED464F"/>
    <w:rsid w:val="00F6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9FF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happygo1988@sina.com</dc:creator>
  <cp:lastModifiedBy>Balindan, Danica Joy</cp:lastModifiedBy>
  <cp:revision>3</cp:revision>
  <dcterms:created xsi:type="dcterms:W3CDTF">2018-11-07T21:18:00Z</dcterms:created>
  <dcterms:modified xsi:type="dcterms:W3CDTF">2018-11-10T12:56:00Z</dcterms:modified>
</cp:coreProperties>
</file>