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D2" w:rsidRDefault="00DE64D2" w:rsidP="00DE64D2">
      <w:pPr>
        <w:jc w:val="left"/>
        <w:rPr>
          <w:rFonts w:cs="Times New Roman"/>
          <w:b/>
          <w:color w:val="000000"/>
        </w:rPr>
      </w:pPr>
      <w:r w:rsidRPr="005D4234">
        <w:rPr>
          <w:rFonts w:cs="Times New Roman"/>
          <w:b/>
          <w:bCs/>
          <w:kern w:val="0"/>
        </w:rPr>
        <w:t xml:space="preserve">Table </w:t>
      </w:r>
      <w:r w:rsidR="003D5237">
        <w:rPr>
          <w:rFonts w:cs="Times New Roman"/>
          <w:b/>
          <w:bCs/>
          <w:kern w:val="0"/>
        </w:rPr>
        <w:t>S</w:t>
      </w:r>
      <w:bookmarkStart w:id="0" w:name="_GoBack"/>
      <w:bookmarkEnd w:id="0"/>
      <w:r>
        <w:rPr>
          <w:rFonts w:eastAsia="楷体" w:cs="Times New Roman"/>
          <w:b/>
          <w:szCs w:val="24"/>
        </w:rPr>
        <w:t>4</w:t>
      </w:r>
      <w:r w:rsidRPr="00B61908">
        <w:rPr>
          <w:rFonts w:cs="Times New Roman"/>
          <w:b/>
          <w:color w:val="000000"/>
        </w:rPr>
        <w:t>. Univariate and multivariate analyses of risk factors associated with overall survival</w:t>
      </w:r>
      <w:bookmarkStart w:id="1" w:name="OLE_LINK1"/>
      <w:r>
        <w:rPr>
          <w:rFonts w:cs="Times New Roman" w:hint="eastAsia"/>
          <w:b/>
          <w:color w:val="000000"/>
        </w:rPr>
        <w:t xml:space="preserve"> </w:t>
      </w:r>
      <w:r w:rsidRPr="00B61908">
        <w:rPr>
          <w:rFonts w:cs="Times New Roman"/>
          <w:b/>
          <w:color w:val="000000"/>
        </w:rPr>
        <w:t>of HCC patients</w:t>
      </w:r>
      <w:bookmarkEnd w:id="1"/>
    </w:p>
    <w:p w:rsidR="00365610" w:rsidRPr="00DE64D2" w:rsidRDefault="00365610" w:rsidP="00DE64D2">
      <w:pPr>
        <w:jc w:val="left"/>
        <w:rPr>
          <w:rFonts w:cs="Times New Roman"/>
          <w:b/>
          <w:color w:val="000000"/>
        </w:rPr>
      </w:pPr>
    </w:p>
    <w:tbl>
      <w:tblPr>
        <w:tblW w:w="9652" w:type="dxa"/>
        <w:tblInd w:w="-426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5"/>
        <w:gridCol w:w="709"/>
        <w:gridCol w:w="1983"/>
        <w:gridCol w:w="996"/>
        <w:gridCol w:w="240"/>
        <w:gridCol w:w="2028"/>
        <w:gridCol w:w="709"/>
        <w:gridCol w:w="12"/>
      </w:tblGrid>
      <w:tr w:rsidR="00DE64D2" w:rsidRPr="00C3223C" w:rsidTr="00DE64D2">
        <w:trPr>
          <w:trHeight w:val="315"/>
        </w:trPr>
        <w:tc>
          <w:tcPr>
            <w:tcW w:w="2975" w:type="dxa"/>
          </w:tcPr>
          <w:p w:rsidR="00DE64D2" w:rsidRPr="00C3223C" w:rsidRDefault="00DE64D2" w:rsidP="00DE64D2">
            <w:pPr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DE64D2" w:rsidRPr="00C3223C" w:rsidRDefault="00DE64D2" w:rsidP="00DE64D2">
            <w:pPr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968" w:type="dxa"/>
            <w:gridSpan w:val="6"/>
            <w:tcBorders>
              <w:bottom w:val="single" w:sz="4" w:space="0" w:color="auto"/>
            </w:tcBorders>
            <w:vAlign w:val="center"/>
          </w:tcPr>
          <w:p w:rsidR="00DE64D2" w:rsidRPr="00C3223C" w:rsidRDefault="00DE64D2" w:rsidP="00DE64D2">
            <w:pPr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sz w:val="20"/>
                <w:szCs w:val="20"/>
              </w:rPr>
              <w:t>Overall Survival</w:t>
            </w:r>
          </w:p>
        </w:tc>
      </w:tr>
      <w:tr w:rsidR="00DE64D2" w:rsidRPr="00C3223C" w:rsidTr="00DE64D2">
        <w:trPr>
          <w:gridAfter w:val="1"/>
          <w:wAfter w:w="12" w:type="dxa"/>
          <w:trHeight w:hRule="exact" w:val="284"/>
        </w:trPr>
        <w:tc>
          <w:tcPr>
            <w:tcW w:w="2975" w:type="dxa"/>
            <w:vMerge w:val="restart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n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50" w:firstLine="100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Univariate analysis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64D2" w:rsidRPr="00C3223C" w:rsidRDefault="00DE64D2" w:rsidP="00DE64D2">
            <w:pPr>
              <w:tabs>
                <w:tab w:val="left" w:pos="142"/>
                <w:tab w:val="left" w:pos="1701"/>
              </w:tabs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Multivariate analysis</w:t>
            </w: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HR(95% CI)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i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HR(95% CI)</w:t>
            </w: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i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Sex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Male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6" w:type="dxa"/>
            <w:vMerge w:val="restart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0.536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vMerge w:val="restart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Female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1.217(0.653-2.267)</w:t>
            </w:r>
          </w:p>
        </w:tc>
        <w:tc>
          <w:tcPr>
            <w:tcW w:w="996" w:type="dxa"/>
            <w:vMerge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vMerge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Age, years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≤60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6" w:type="dxa"/>
            <w:vMerge w:val="restart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0.354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vMerge w:val="restart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&gt;60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1.284(0.757-2.177)</w:t>
            </w:r>
          </w:p>
        </w:tc>
        <w:tc>
          <w:tcPr>
            <w:tcW w:w="996" w:type="dxa"/>
            <w:vMerge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vMerge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HBsAg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Negative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6" w:type="dxa"/>
            <w:vMerge w:val="restart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0.570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vMerge w:val="restart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1.259(0.568-2.791)</w:t>
            </w:r>
          </w:p>
        </w:tc>
        <w:tc>
          <w:tcPr>
            <w:tcW w:w="996" w:type="dxa"/>
            <w:vMerge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vMerge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HBcAb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tabs>
                <w:tab w:val="left" w:pos="142"/>
                <w:tab w:val="left" w:pos="1701"/>
              </w:tabs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vMerge w:val="restart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color w:val="00000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6" w:type="dxa"/>
            <w:vMerge w:val="restart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Cs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bCs/>
                <w:color w:val="000000"/>
                <w:kern w:val="0"/>
                <w:sz w:val="20"/>
                <w:szCs w:val="20"/>
              </w:rPr>
              <w:t>0.876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tabs>
                <w:tab w:val="left" w:pos="142"/>
                <w:tab w:val="left" w:pos="1701"/>
              </w:tabs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vMerge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1.066(0.480-2.367)</w:t>
            </w:r>
          </w:p>
        </w:tc>
        <w:tc>
          <w:tcPr>
            <w:tcW w:w="996" w:type="dxa"/>
            <w:vMerge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tabs>
                <w:tab w:val="left" w:pos="142"/>
                <w:tab w:val="left" w:pos="1701"/>
              </w:tabs>
              <w:ind w:left="100" w:hangingChars="50" w:hanging="100"/>
              <w:jc w:val="left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 xml:space="preserve">                  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C3223C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721" w:type="dxa"/>
            <w:gridSpan w:val="2"/>
            <w:vMerge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Liver cirrhosis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Absence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6" w:type="dxa"/>
            <w:vMerge w:val="restart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0.360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vMerge w:val="restart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Presence</w:t>
            </w:r>
          </w:p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sz w:val="20"/>
                <w:szCs w:val="20"/>
              </w:rPr>
            </w:pPr>
          </w:p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1.321(0.728-2.399)</w:t>
            </w:r>
          </w:p>
        </w:tc>
        <w:tc>
          <w:tcPr>
            <w:tcW w:w="996" w:type="dxa"/>
            <w:vMerge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vMerge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Tumor size, cm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≤5cm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6" w:type="dxa"/>
            <w:vMerge w:val="restart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b/>
                <w:sz w:val="20"/>
                <w:szCs w:val="20"/>
              </w:rPr>
              <w:t>＜</w:t>
            </w:r>
            <w:r w:rsidRPr="00C3223C">
              <w:rPr>
                <w:rFonts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21" w:type="dxa"/>
            <w:gridSpan w:val="2"/>
            <w:vMerge w:val="restart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  <w:t>0.048</w:t>
            </w: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＞</w:t>
            </w:r>
            <w:r w:rsidRPr="00C3223C">
              <w:rPr>
                <w:rFonts w:cs="Times New Roman"/>
                <w:sz w:val="20"/>
                <w:szCs w:val="20"/>
              </w:rPr>
              <w:t>5cm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2.674(1.566-4.567)</w:t>
            </w:r>
          </w:p>
        </w:tc>
        <w:tc>
          <w:tcPr>
            <w:tcW w:w="996" w:type="dxa"/>
            <w:vMerge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1.939(1.005-3.739)</w:t>
            </w:r>
          </w:p>
        </w:tc>
        <w:tc>
          <w:tcPr>
            <w:tcW w:w="721" w:type="dxa"/>
            <w:gridSpan w:val="2"/>
            <w:vMerge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AFP, ng/mL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&lt;20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6" w:type="dxa"/>
            <w:vMerge w:val="restart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0.675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vMerge w:val="restart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≥20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0.894(0.531-1.507)</w:t>
            </w:r>
          </w:p>
        </w:tc>
        <w:tc>
          <w:tcPr>
            <w:tcW w:w="996" w:type="dxa"/>
            <w:vMerge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vMerge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Capsulation formation formation formation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Absence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6" w:type="dxa"/>
            <w:vMerge w:val="restart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0.073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vMerge w:val="restart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Presence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0.612 (0.358-1.047)</w:t>
            </w:r>
          </w:p>
        </w:tc>
        <w:tc>
          <w:tcPr>
            <w:tcW w:w="996" w:type="dxa"/>
            <w:vMerge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vMerge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Microvascular invasion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Absence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6" w:type="dxa"/>
            <w:vMerge w:val="restart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b/>
                <w:sz w:val="20"/>
                <w:szCs w:val="20"/>
              </w:rPr>
              <w:t>＜</w:t>
            </w:r>
            <w:r w:rsidRPr="00C3223C">
              <w:rPr>
                <w:rFonts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21" w:type="dxa"/>
            <w:gridSpan w:val="2"/>
            <w:vMerge w:val="restart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  <w:t>0.032</w:t>
            </w: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Presence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3.040(1.705-5.420)</w:t>
            </w:r>
          </w:p>
        </w:tc>
        <w:tc>
          <w:tcPr>
            <w:tcW w:w="996" w:type="dxa"/>
            <w:vMerge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2.025(1.062-3.861)</w:t>
            </w:r>
          </w:p>
        </w:tc>
        <w:tc>
          <w:tcPr>
            <w:tcW w:w="721" w:type="dxa"/>
            <w:gridSpan w:val="2"/>
            <w:vMerge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Edmondson-Steiner grade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I &amp; II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6" w:type="dxa"/>
            <w:vMerge w:val="restart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21" w:type="dxa"/>
            <w:gridSpan w:val="2"/>
            <w:vMerge w:val="restart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noWrap/>
            <w:vAlign w:val="bottom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200" w:firstLine="400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III &amp; IV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2.309(1.367-3.900)</w:t>
            </w:r>
          </w:p>
        </w:tc>
        <w:tc>
          <w:tcPr>
            <w:tcW w:w="996" w:type="dxa"/>
            <w:vMerge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1.054(0.545-2.039)</w:t>
            </w:r>
          </w:p>
        </w:tc>
        <w:tc>
          <w:tcPr>
            <w:tcW w:w="721" w:type="dxa"/>
            <w:gridSpan w:val="2"/>
            <w:vMerge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bottom"/>
          </w:tcPr>
          <w:p w:rsidR="00DE64D2" w:rsidRPr="00C3223C" w:rsidRDefault="00DE64D2" w:rsidP="00DE64D2">
            <w:pPr>
              <w:tabs>
                <w:tab w:val="left" w:pos="142"/>
                <w:tab w:val="left" w:pos="1701"/>
              </w:tabs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miR-296-5p expression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center"/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bottom"/>
          </w:tcPr>
          <w:p w:rsidR="00DE64D2" w:rsidRPr="00C3223C" w:rsidRDefault="00DE64D2" w:rsidP="00DE64D2">
            <w:pPr>
              <w:tabs>
                <w:tab w:val="left" w:pos="142"/>
                <w:tab w:val="left" w:pos="1701"/>
              </w:tabs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 xml:space="preserve">    Low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6" w:type="dxa"/>
            <w:vMerge w:val="restart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21" w:type="dxa"/>
            <w:gridSpan w:val="2"/>
            <w:vMerge w:val="restart"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  <w:t>0.017</w:t>
            </w:r>
          </w:p>
        </w:tc>
      </w:tr>
      <w:tr w:rsidR="00DE64D2" w:rsidRPr="00C3223C" w:rsidTr="00DE64D2">
        <w:trPr>
          <w:trHeight w:hRule="exact" w:val="284"/>
        </w:trPr>
        <w:tc>
          <w:tcPr>
            <w:tcW w:w="2975" w:type="dxa"/>
            <w:shd w:val="clear" w:color="auto" w:fill="auto"/>
            <w:noWrap/>
            <w:vAlign w:val="bottom"/>
          </w:tcPr>
          <w:p w:rsidR="00DE64D2" w:rsidRPr="00C3223C" w:rsidRDefault="00DE64D2" w:rsidP="00DE64D2">
            <w:pPr>
              <w:tabs>
                <w:tab w:val="left" w:pos="142"/>
                <w:tab w:val="left" w:pos="1701"/>
              </w:tabs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 xml:space="preserve">    High</w:t>
            </w:r>
          </w:p>
        </w:tc>
        <w:tc>
          <w:tcPr>
            <w:tcW w:w="709" w:type="dxa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ind w:firstLineChars="100" w:firstLine="20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0.386(0.225-0.664)</w:t>
            </w:r>
          </w:p>
        </w:tc>
        <w:tc>
          <w:tcPr>
            <w:tcW w:w="996" w:type="dxa"/>
            <w:vMerge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:rsidR="00DE64D2" w:rsidRPr="00C3223C" w:rsidRDefault="00DE64D2" w:rsidP="00DE64D2">
            <w:pPr>
              <w:tabs>
                <w:tab w:val="left" w:pos="142"/>
                <w:tab w:val="left" w:pos="1701"/>
              </w:tabs>
              <w:jc w:val="left"/>
              <w:rPr>
                <w:rFonts w:cs="Times New Roman"/>
                <w:sz w:val="20"/>
                <w:szCs w:val="20"/>
              </w:rPr>
            </w:pPr>
            <w:r w:rsidRPr="00C3223C">
              <w:rPr>
                <w:rFonts w:cs="Times New Roman"/>
                <w:sz w:val="20"/>
                <w:szCs w:val="20"/>
              </w:rPr>
              <w:t>0.479(0.263-0.875)</w:t>
            </w:r>
          </w:p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vMerge/>
            <w:shd w:val="clear" w:color="auto" w:fill="auto"/>
            <w:vAlign w:val="center"/>
          </w:tcPr>
          <w:p w:rsidR="00DE64D2" w:rsidRPr="00C3223C" w:rsidRDefault="00DE64D2" w:rsidP="00DE64D2">
            <w:pPr>
              <w:widowControl/>
              <w:tabs>
                <w:tab w:val="left" w:pos="142"/>
                <w:tab w:val="left" w:pos="1701"/>
              </w:tabs>
              <w:jc w:val="left"/>
              <w:rPr>
                <w:rFonts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</w:tbl>
    <w:p w:rsidR="007553AC" w:rsidRDefault="007553AC" w:rsidP="00DE64D2">
      <w:pPr>
        <w:tabs>
          <w:tab w:val="left" w:pos="142"/>
          <w:tab w:val="left" w:pos="1701"/>
        </w:tabs>
      </w:pPr>
    </w:p>
    <w:sectPr w:rsidR="007553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E79" w:rsidRDefault="00127E79" w:rsidP="00DE64D2">
      <w:r>
        <w:separator/>
      </w:r>
    </w:p>
  </w:endnote>
  <w:endnote w:type="continuationSeparator" w:id="0">
    <w:p w:rsidR="00127E79" w:rsidRDefault="00127E79" w:rsidP="00DE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E79" w:rsidRDefault="00127E79" w:rsidP="00DE64D2">
      <w:r>
        <w:separator/>
      </w:r>
    </w:p>
  </w:footnote>
  <w:footnote w:type="continuationSeparator" w:id="0">
    <w:p w:rsidR="00127E79" w:rsidRDefault="00127E79" w:rsidP="00DE64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485B75"/>
    <w:rsid w:val="00127E79"/>
    <w:rsid w:val="00365610"/>
    <w:rsid w:val="003D5237"/>
    <w:rsid w:val="003E49C3"/>
    <w:rsid w:val="00485B75"/>
    <w:rsid w:val="0055764D"/>
    <w:rsid w:val="007553AC"/>
    <w:rsid w:val="00DE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4D2"/>
    <w:pPr>
      <w:widowControl w:val="0"/>
      <w:jc w:val="both"/>
    </w:pPr>
    <w:rPr>
      <w:rFonts w:ascii="Times New Roman" w:eastAsia="SimSu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6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E64D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64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E64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4D2"/>
    <w:pPr>
      <w:widowControl w:val="0"/>
      <w:jc w:val="both"/>
    </w:pPr>
    <w:rPr>
      <w:rFonts w:ascii="Times New Roman" w:eastAsia="SimSu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6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E64D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64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E64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1048</Characters>
  <Application>Microsoft Office Word</Application>
  <DocSecurity>0</DocSecurity>
  <Lines>349</Lines>
  <Paragraphs>154</Paragraphs>
  <ScaleCrop>false</ScaleCrop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GCREDO</cp:lastModifiedBy>
  <cp:revision>4</cp:revision>
  <dcterms:created xsi:type="dcterms:W3CDTF">2018-07-06T07:30:00Z</dcterms:created>
  <dcterms:modified xsi:type="dcterms:W3CDTF">2018-11-13T09:42:00Z</dcterms:modified>
</cp:coreProperties>
</file>