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b/>
          <w:sz w:val="24"/>
          <w:szCs w:val="24"/>
        </w:rPr>
      </w:pPr>
      <w:r>
        <w:rPr>
          <w:rFonts w:hint="eastAsia" w:ascii="Times New Roman" w:hAnsi="Times New Roman"/>
          <w:b/>
          <w:sz w:val="24"/>
          <w:szCs w:val="24"/>
        </w:rPr>
        <w:t>Supplementary</w:t>
      </w:r>
    </w:p>
    <w:p>
      <w:pPr>
        <w:spacing w:line="360" w:lineRule="auto"/>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S1</w:t>
      </w:r>
    </w:p>
    <w:p>
      <w:r>
        <w:rPr>
          <w:rFonts w:hint="eastAsia"/>
        </w:rPr>
        <w:t xml:space="preserve"> </w:t>
      </w:r>
      <w:r>
        <w:drawing>
          <wp:inline distT="0" distB="0" distL="0" distR="0">
            <wp:extent cx="5488940" cy="5391150"/>
            <wp:effectExtent l="0" t="0" r="0" b="0"/>
            <wp:docPr id="3" name="图片 3" descr="D:\学习\基因芯片资料\GAGE12I-SPIN4\GAGE12I论文资料\论文稿件\改为GAGE7b\补充部分实验后\J EXP CLIN CANC RES\修改后图片\S 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学习\基因芯片资料\GAGE12I-SPIN4\GAGE12I论文资料\论文稿件\改为GAGE7b\补充部分实验后\J EXP CLIN CANC RES\修改后图片\S Figure 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496489" cy="5398337"/>
                    </a:xfrm>
                    <a:prstGeom prst="rect">
                      <a:avLst/>
                    </a:prstGeom>
                    <a:noFill/>
                    <a:ln>
                      <a:noFill/>
                    </a:ln>
                  </pic:spPr>
                </pic:pic>
              </a:graphicData>
            </a:graphic>
          </wp:inline>
        </w:drawing>
      </w:r>
    </w:p>
    <w:p>
      <w:pPr>
        <w:spacing w:line="360" w:lineRule="auto"/>
        <w:rPr>
          <w:rFonts w:ascii="Times New Roman" w:hAnsi="Times New Roman"/>
          <w:b/>
          <w:bCs/>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bCs/>
          <w:sz w:val="24"/>
          <w:szCs w:val="24"/>
        </w:rPr>
        <w:t>F</w:t>
      </w:r>
      <w:r>
        <w:rPr>
          <w:rFonts w:ascii="Times New Roman" w:hAnsi="Times New Roman"/>
          <w:b/>
          <w:bCs/>
          <w:sz w:val="24"/>
          <w:szCs w:val="24"/>
        </w:rPr>
        <w:t xml:space="preserve">igure </w:t>
      </w:r>
      <w:r>
        <w:rPr>
          <w:rFonts w:hint="eastAsia" w:ascii="Times New Roman" w:hAnsi="Times New Roman"/>
          <w:b/>
          <w:bCs/>
          <w:sz w:val="24"/>
          <w:szCs w:val="24"/>
        </w:rPr>
        <w:t>S1</w:t>
      </w:r>
      <w:r>
        <w:rPr>
          <w:rFonts w:ascii="Times New Roman" w:hAnsi="Times New Roman"/>
          <w:b/>
          <w:bCs/>
          <w:sz w:val="24"/>
          <w:szCs w:val="24"/>
        </w:rPr>
        <w:t>: GAGE7B enhanced the migration and invasion ability of gastric cancer cells.</w:t>
      </w:r>
    </w:p>
    <w:p>
      <w:pPr>
        <w:spacing w:line="360" w:lineRule="auto"/>
        <w:rPr>
          <w:rFonts w:ascii="Times New Roman" w:hAnsi="Times New Roman"/>
          <w:sz w:val="24"/>
          <w:szCs w:val="24"/>
        </w:rPr>
      </w:pPr>
      <w:r>
        <w:rPr>
          <w:rFonts w:hint="eastAsia" w:ascii="Times New Roman" w:hAnsi="Times New Roman"/>
          <w:sz w:val="24"/>
          <w:szCs w:val="24"/>
        </w:rPr>
        <w:t>a</w:t>
      </w:r>
      <w:r>
        <w:rPr>
          <w:rFonts w:ascii="Times New Roman" w:hAnsi="Times New Roman"/>
          <w:sz w:val="24"/>
          <w:szCs w:val="24"/>
        </w:rPr>
        <w:t xml:space="preserve"> and </w:t>
      </w:r>
      <w:r>
        <w:rPr>
          <w:rFonts w:hint="eastAsia" w:ascii="Times New Roman" w:hAnsi="Times New Roman"/>
          <w:sz w:val="24"/>
          <w:szCs w:val="24"/>
        </w:rPr>
        <w:t>b.</w:t>
      </w:r>
      <w:r>
        <w:rPr>
          <w:rFonts w:ascii="Times New Roman" w:hAnsi="Times New Roman"/>
          <w:sz w:val="24"/>
          <w:szCs w:val="24"/>
        </w:rPr>
        <w:t xml:space="preserve"> The MKN45 cells were transfected with PcDNA3.1-GAGE7B or PcDNA3.1-empty plasmid, </w:t>
      </w:r>
      <w:r>
        <w:rPr>
          <w:rFonts w:hint="eastAsia" w:ascii="Times New Roman" w:hAnsi="Times New Roman"/>
          <w:sz w:val="24"/>
          <w:szCs w:val="24"/>
        </w:rPr>
        <w:t>the results of Western-blot showed that GAGE7B was successfully overexpressed in MKN45 cells</w:t>
      </w:r>
      <w:r>
        <w:rPr>
          <w:rFonts w:ascii="Times New Roman" w:hAnsi="Times New Roman"/>
          <w:sz w:val="24"/>
          <w:szCs w:val="24"/>
        </w:rPr>
        <w:t xml:space="preserve"> </w:t>
      </w:r>
      <w:r>
        <w:rPr>
          <w:rFonts w:hint="eastAsia" w:ascii="Times New Roman" w:hAnsi="Times New Roman"/>
          <w:sz w:val="24"/>
          <w:szCs w:val="24"/>
        </w:rPr>
        <w:t>(a), and the</w:t>
      </w:r>
      <w:r>
        <w:rPr>
          <w:rFonts w:ascii="Times New Roman" w:hAnsi="Times New Roman"/>
          <w:sz w:val="24"/>
          <w:szCs w:val="24"/>
        </w:rPr>
        <w:t xml:space="preserve"> migration and invasion ability of</w:t>
      </w:r>
      <w:r>
        <w:rPr>
          <w:rFonts w:hint="eastAsia" w:ascii="Times New Roman" w:hAnsi="Times New Roman"/>
          <w:sz w:val="24"/>
          <w:szCs w:val="24"/>
        </w:rPr>
        <w:t xml:space="preserve"> </w:t>
      </w:r>
      <w:r>
        <w:rPr>
          <w:rFonts w:ascii="Times New Roman" w:hAnsi="Times New Roman"/>
          <w:sz w:val="24"/>
          <w:szCs w:val="24"/>
        </w:rPr>
        <w:t>MKN45</w:t>
      </w:r>
      <w:r>
        <w:rPr>
          <w:rFonts w:hint="eastAsia" w:ascii="Times New Roman" w:hAnsi="Times New Roman"/>
          <w:sz w:val="24"/>
          <w:szCs w:val="24"/>
        </w:rPr>
        <w:t xml:space="preserve"> cells was significantly </w:t>
      </w:r>
      <w:r>
        <w:rPr>
          <w:rFonts w:ascii="Times New Roman" w:hAnsi="Times New Roman"/>
          <w:sz w:val="24"/>
          <w:szCs w:val="24"/>
        </w:rPr>
        <w:t>enhanced</w:t>
      </w:r>
      <w:r>
        <w:rPr>
          <w:rFonts w:hint="eastAsia" w:ascii="Times New Roman" w:hAnsi="Times New Roman"/>
          <w:sz w:val="24"/>
          <w:szCs w:val="24"/>
        </w:rPr>
        <w:t xml:space="preserve"> by GAGE7B</w:t>
      </w:r>
      <w:r>
        <w:rPr>
          <w:rFonts w:ascii="Times New Roman" w:hAnsi="Times New Roman"/>
          <w:sz w:val="24"/>
          <w:szCs w:val="24"/>
        </w:rPr>
        <w:t xml:space="preserve"> </w:t>
      </w:r>
      <w:r>
        <w:rPr>
          <w:rFonts w:hint="eastAsia" w:ascii="Times New Roman" w:hAnsi="Times New Roman"/>
          <w:sz w:val="24"/>
          <w:szCs w:val="24"/>
        </w:rPr>
        <w:t>(b)</w:t>
      </w:r>
      <w:r>
        <w:rPr>
          <w:rFonts w:ascii="Times New Roman" w:hAnsi="Times New Roman"/>
          <w:sz w:val="24"/>
          <w:szCs w:val="24"/>
        </w:rPr>
        <w:t xml:space="preserve"> </w:t>
      </w:r>
      <w:r>
        <w:rPr>
          <w:sz w:val="24"/>
          <w:szCs w:val="24"/>
        </w:rPr>
        <w:t>(</w:t>
      </w:r>
      <w:r>
        <w:rPr>
          <w:rFonts w:hint="eastAsia" w:ascii="Times New Roman" w:hAnsi="Times New Roman"/>
          <w:i/>
          <w:iCs/>
          <w:sz w:val="24"/>
          <w:szCs w:val="24"/>
        </w:rPr>
        <w:t>t-test, **P &lt; 0.01, *P &lt; 0.05</w:t>
      </w:r>
      <w:r>
        <w:rPr>
          <w:sz w:val="24"/>
          <w:szCs w:val="24"/>
        </w:rPr>
        <w:t>)</w:t>
      </w:r>
      <w:r>
        <w:rPr>
          <w:rFonts w:ascii="Times New Roman" w:hAnsi="Times New Roman"/>
          <w:sz w:val="24"/>
          <w:szCs w:val="24"/>
        </w:rPr>
        <w:t xml:space="preserve">.   </w:t>
      </w:r>
    </w:p>
    <w:p>
      <w:pPr>
        <w:spacing w:line="360" w:lineRule="auto"/>
        <w:rPr>
          <w:rFonts w:ascii="Times New Roman" w:hAnsi="Times New Roman"/>
          <w:sz w:val="24"/>
          <w:szCs w:val="24"/>
        </w:rPr>
      </w:pPr>
      <w:r>
        <w:rPr>
          <w:rFonts w:hint="eastAsia" w:ascii="Times New Roman" w:hAnsi="Times New Roman"/>
          <w:sz w:val="24"/>
          <w:szCs w:val="24"/>
        </w:rPr>
        <w:t>c-f</w:t>
      </w:r>
      <w:r>
        <w:rPr>
          <w:rFonts w:ascii="Times New Roman" w:hAnsi="Times New Roman"/>
          <w:sz w:val="24"/>
          <w:szCs w:val="24"/>
        </w:rPr>
        <w:t xml:space="preserve">. </w:t>
      </w:r>
      <w:r>
        <w:rPr>
          <w:rFonts w:hint="eastAsia" w:ascii="Times New Roman" w:hAnsi="Times New Roman"/>
          <w:sz w:val="24"/>
          <w:szCs w:val="24"/>
        </w:rPr>
        <w:t>AGS and BGC823 cells were transfected with siRNA</w:t>
      </w:r>
      <w:r>
        <w:rPr>
          <w:rFonts w:ascii="Times New Roman" w:hAnsi="Times New Roman"/>
          <w:sz w:val="24"/>
          <w:szCs w:val="24"/>
        </w:rPr>
        <w:t xml:space="preserve"> (</w:t>
      </w:r>
      <w:r>
        <w:rPr>
          <w:rFonts w:hint="eastAsia" w:ascii="Times New Roman" w:hAnsi="Times New Roman"/>
          <w:sz w:val="24"/>
          <w:szCs w:val="24"/>
        </w:rPr>
        <w:t xml:space="preserve">si-GAGE7B-1 </w:t>
      </w:r>
      <w:r>
        <w:rPr>
          <w:rFonts w:ascii="Times New Roman" w:hAnsi="Times New Roman"/>
          <w:sz w:val="24"/>
          <w:szCs w:val="24"/>
        </w:rPr>
        <w:t xml:space="preserve">and </w:t>
      </w:r>
      <w:r>
        <w:rPr>
          <w:rFonts w:hint="eastAsia" w:ascii="Times New Roman" w:hAnsi="Times New Roman"/>
          <w:sz w:val="24"/>
          <w:szCs w:val="24"/>
        </w:rPr>
        <w:t>si-GAGE7B-2</w:t>
      </w:r>
      <w:r>
        <w:rPr>
          <w:rFonts w:ascii="Times New Roman" w:hAnsi="Times New Roman"/>
          <w:sz w:val="24"/>
          <w:szCs w:val="24"/>
        </w:rPr>
        <w:t>)</w:t>
      </w:r>
      <w:r>
        <w:rPr>
          <w:rFonts w:hint="eastAsia" w:ascii="Times New Roman" w:hAnsi="Times New Roman"/>
          <w:sz w:val="24"/>
          <w:szCs w:val="24"/>
        </w:rPr>
        <w:t xml:space="preserve"> </w:t>
      </w:r>
      <w:r>
        <w:rPr>
          <w:rFonts w:ascii="Times New Roman" w:hAnsi="Times New Roman"/>
          <w:sz w:val="24"/>
          <w:szCs w:val="24"/>
        </w:rPr>
        <w:t>against GAGE7B,</w:t>
      </w:r>
      <w:r>
        <w:rPr>
          <w:rFonts w:hint="eastAsia" w:ascii="Times New Roman" w:hAnsi="Times New Roman"/>
          <w:sz w:val="24"/>
          <w:szCs w:val="24"/>
        </w:rPr>
        <w:t xml:space="preserve"> or negative control, the result suggested that si-GAGE7B-1 decreased GAGE7B mRNA expression dramatically in gastric cancer cells and the knockdown of GAGE7B by si-GAGE7B-1 was more </w:t>
      </w:r>
      <w:r>
        <w:rPr>
          <w:rFonts w:ascii="Times New Roman" w:hAnsi="Times New Roman"/>
          <w:sz w:val="24"/>
          <w:szCs w:val="24"/>
        </w:rPr>
        <w:t>significant</w:t>
      </w:r>
      <w:r>
        <w:rPr>
          <w:rFonts w:hint="eastAsia" w:ascii="Times New Roman" w:hAnsi="Times New Roman"/>
          <w:sz w:val="24"/>
          <w:szCs w:val="24"/>
        </w:rPr>
        <w:t xml:space="preserve"> than </w:t>
      </w:r>
      <w:r>
        <w:rPr>
          <w:rFonts w:ascii="Times New Roman" w:hAnsi="Times New Roman"/>
          <w:sz w:val="24"/>
          <w:szCs w:val="24"/>
        </w:rPr>
        <w:t xml:space="preserve">that </w:t>
      </w:r>
      <w:r>
        <w:rPr>
          <w:rFonts w:hint="eastAsia" w:ascii="Times New Roman" w:hAnsi="Times New Roman"/>
          <w:sz w:val="24"/>
          <w:szCs w:val="24"/>
        </w:rPr>
        <w:t xml:space="preserve">by si-GAGE7B-2 (c) detected by RT-qPCR. Therefore, si-GAGE7B-1 was selected for further study. In addition, the protein expression of GAGE7B were dramatically downregulated by si-GAGE7B-1 in gastric cancer cells in Western-blot assay (d). </w:t>
      </w:r>
      <w:r>
        <w:rPr>
          <w:sz w:val="24"/>
          <w:szCs w:val="24"/>
        </w:rPr>
        <w:t>(</w:t>
      </w:r>
      <w:r>
        <w:rPr>
          <w:rFonts w:hint="eastAsia" w:ascii="Times New Roman" w:hAnsi="Times New Roman"/>
          <w:i/>
          <w:iCs/>
          <w:sz w:val="24"/>
          <w:szCs w:val="24"/>
        </w:rPr>
        <w:t>t-test, ***P &lt; 0.0</w:t>
      </w:r>
      <w:r>
        <w:rPr>
          <w:rFonts w:ascii="Times New Roman" w:hAnsi="Times New Roman"/>
          <w:i/>
          <w:iCs/>
          <w:sz w:val="24"/>
          <w:szCs w:val="24"/>
        </w:rPr>
        <w:t>0</w:t>
      </w:r>
      <w:r>
        <w:rPr>
          <w:rFonts w:hint="eastAsia" w:ascii="Times New Roman" w:hAnsi="Times New Roman"/>
          <w:i/>
          <w:iCs/>
          <w:sz w:val="24"/>
          <w:szCs w:val="24"/>
        </w:rPr>
        <w:t>1, *P &lt; 0.05</w:t>
      </w:r>
      <w:r>
        <w:rPr>
          <w:sz w:val="24"/>
          <w:szCs w:val="24"/>
        </w:rPr>
        <w:t>)</w:t>
      </w:r>
      <w:r>
        <w:rPr>
          <w:rFonts w:hint="eastAsia" w:ascii="Times New Roman" w:hAnsi="Times New Roman"/>
          <w:sz w:val="24"/>
          <w:szCs w:val="24"/>
        </w:rPr>
        <w:t xml:space="preserve">. The migration and invasion ability of AGS and BGC823 cells was significantly reduced after the downregulation of GAGE7B (e and f). </w:t>
      </w:r>
      <w:r>
        <w:rPr>
          <w:sz w:val="24"/>
          <w:szCs w:val="24"/>
        </w:rPr>
        <w:t>(</w:t>
      </w:r>
      <w:r>
        <w:rPr>
          <w:rFonts w:hint="eastAsia" w:ascii="Times New Roman" w:hAnsi="Times New Roman"/>
          <w:i/>
          <w:iCs/>
          <w:sz w:val="24"/>
          <w:szCs w:val="24"/>
        </w:rPr>
        <w:t>t-test, **P &lt; 0.01, *P &lt; 0.05</w:t>
      </w:r>
      <w:r>
        <w:rPr>
          <w:sz w:val="24"/>
          <w:szCs w:val="24"/>
        </w:rPr>
        <w:t>)</w:t>
      </w:r>
      <w:r>
        <w:rPr>
          <w:rFonts w:ascii="Times New Roman" w:hAnsi="Times New Roman"/>
          <w:sz w:val="24"/>
          <w:szCs w:val="24"/>
        </w:rPr>
        <w:t xml:space="preserve">. </w:t>
      </w: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S2</w:t>
      </w:r>
    </w:p>
    <w:p>
      <w:pPr>
        <w:rPr>
          <w:rFonts w:ascii="Times New Roman" w:hAnsi="Times New Roman"/>
          <w:sz w:val="24"/>
          <w:szCs w:val="24"/>
        </w:rPr>
      </w:pPr>
      <w:r>
        <w:rPr>
          <w:rFonts w:ascii="Times New Roman" w:hAnsi="Times New Roman"/>
          <w:sz w:val="24"/>
          <w:szCs w:val="24"/>
        </w:rPr>
        <w:drawing>
          <wp:inline distT="0" distB="0" distL="0" distR="0">
            <wp:extent cx="5132070" cy="2714625"/>
            <wp:effectExtent l="0" t="0" r="0" b="0"/>
            <wp:docPr id="4" name="图片 4" descr="D:\学习\基因芯片资料\GAGE12I-SPIN4\GAGE12I论文资料\论文稿件\改为GAGE7b\补充部分实验后\J EXP CLIN CANC RES\修改后图片\折线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学习\基因芯片资料\GAGE12I-SPIN4\GAGE12I论文资料\论文稿件\改为GAGE7b\补充部分实验后\J EXP CLIN CANC RES\修改后图片\折线图.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32338" cy="2714625"/>
                    </a:xfrm>
                    <a:prstGeom prst="rect">
                      <a:avLst/>
                    </a:prstGeom>
                    <a:noFill/>
                    <a:ln>
                      <a:noFill/>
                    </a:ln>
                  </pic:spPr>
                </pic:pic>
              </a:graphicData>
            </a:graphic>
          </wp:inline>
        </w:drawing>
      </w:r>
    </w:p>
    <w:p>
      <w:pPr>
        <w:spacing w:line="360" w:lineRule="auto"/>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S2. GAGE7B was successfully overexpressed in gastric cancer cells.</w:t>
      </w:r>
    </w:p>
    <w:p>
      <w:pPr>
        <w:spacing w:line="360" w:lineRule="auto"/>
        <w:rPr>
          <w:rFonts w:ascii="Times New Roman" w:hAnsi="Times New Roman"/>
          <w:sz w:val="24"/>
          <w:szCs w:val="24"/>
        </w:rPr>
      </w:pPr>
      <w:r>
        <w:rPr>
          <w:rFonts w:hint="eastAsia" w:ascii="Times New Roman" w:hAnsi="Times New Roman"/>
          <w:bCs/>
          <w:sz w:val="24"/>
          <w:szCs w:val="24"/>
        </w:rPr>
        <w:t>The gastric cancer cells BGC823 were transfected with LV-GV416-GAGE7B and LV-GV416-Negative control with GFP as mark protein. The transfected cells successfully expressed mark protein GFP</w:t>
      </w:r>
      <w:r>
        <w:rPr>
          <w:rFonts w:ascii="Times New Roman" w:hAnsi="Times New Roman"/>
          <w:bCs/>
          <w:sz w:val="24"/>
          <w:szCs w:val="24"/>
        </w:rPr>
        <w:t xml:space="preserve"> ( </w:t>
      </w:r>
      <w:r>
        <w:rPr>
          <w:rFonts w:ascii="Arial" w:hAnsi="Arial" w:cs="Arial"/>
          <w:bCs/>
          <w:sz w:val="24"/>
          <w:szCs w:val="24"/>
        </w:rPr>
        <w:t xml:space="preserve">× </w:t>
      </w:r>
      <w:r>
        <w:rPr>
          <w:rFonts w:ascii="Times New Roman" w:hAnsi="Times New Roman"/>
          <w:bCs/>
          <w:sz w:val="24"/>
          <w:szCs w:val="24"/>
        </w:rPr>
        <w:t>100)</w:t>
      </w:r>
      <w:r>
        <w:rPr>
          <w:rFonts w:hint="eastAsia" w:ascii="Times New Roman" w:hAnsi="Times New Roman"/>
          <w:bCs/>
          <w:sz w:val="24"/>
          <w:szCs w:val="24"/>
        </w:rPr>
        <w:t xml:space="preserve"> (a) and the GAGE7B was stably overexpressed in </w:t>
      </w:r>
      <w:r>
        <w:rPr>
          <w:rFonts w:ascii="Times New Roman" w:hAnsi="Times New Roman"/>
          <w:bCs/>
          <w:sz w:val="24"/>
          <w:szCs w:val="24"/>
        </w:rPr>
        <w:t>gastric cancer cells</w:t>
      </w:r>
      <w:r>
        <w:rPr>
          <w:rFonts w:hint="eastAsia" w:ascii="Times New Roman" w:hAnsi="Times New Roman"/>
          <w:bCs/>
          <w:sz w:val="24"/>
          <w:szCs w:val="24"/>
        </w:rPr>
        <w:t xml:space="preserve"> during 6 weeks of the experiment examined by RT-qPCR, compared with negative control cells</w:t>
      </w:r>
      <w:r>
        <w:rPr>
          <w:rFonts w:ascii="Times New Roman" w:hAnsi="Times New Roman"/>
          <w:bCs/>
          <w:sz w:val="24"/>
          <w:szCs w:val="24"/>
        </w:rPr>
        <w:t xml:space="preserve"> </w:t>
      </w:r>
      <w:r>
        <w:rPr>
          <w:sz w:val="24"/>
          <w:szCs w:val="24"/>
        </w:rPr>
        <w:t>(</w:t>
      </w:r>
      <w:r>
        <w:rPr>
          <w:rFonts w:hint="eastAsia" w:ascii="Times New Roman" w:hAnsi="Times New Roman"/>
          <w:i/>
          <w:iCs/>
          <w:sz w:val="24"/>
          <w:szCs w:val="24"/>
        </w:rPr>
        <w:t>t-test, **P &lt; 0.01</w:t>
      </w:r>
      <w:r>
        <w:rPr>
          <w:sz w:val="24"/>
          <w:szCs w:val="24"/>
        </w:rPr>
        <w:t>)</w:t>
      </w:r>
      <w:r>
        <w:rPr>
          <w:rFonts w:hint="eastAsia" w:ascii="Times New Roman" w:hAnsi="Times New Roman"/>
          <w:bCs/>
          <w:sz w:val="24"/>
          <w:szCs w:val="24"/>
        </w:rPr>
        <w:t xml:space="preserve"> (b).</w:t>
      </w: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S3.</w:t>
      </w:r>
    </w:p>
    <w:p>
      <w:pPr>
        <w:rPr>
          <w:rFonts w:ascii="Times New Roman" w:hAnsi="Times New Roman"/>
          <w:b/>
          <w:sz w:val="24"/>
          <w:szCs w:val="24"/>
        </w:rPr>
      </w:pPr>
      <w:r>
        <w:rPr>
          <w:rFonts w:ascii="Times New Roman" w:hAnsi="Times New Roman"/>
          <w:b/>
          <w:sz w:val="24"/>
          <w:szCs w:val="24"/>
        </w:rPr>
        <w:drawing>
          <wp:inline distT="0" distB="0" distL="0" distR="0">
            <wp:extent cx="5410200" cy="6515100"/>
            <wp:effectExtent l="0" t="0" r="0" b="0"/>
            <wp:docPr id="15" name="图片 15" descr="D:\学习\基因芯片资料\GAGE12I-SPIN4\GAGE12I论文资料\论文稿件\改为GAGE7b\补充部分实验后\J EXP CLIN CANC RES\修改后图片\S 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学习\基因芯片资料\GAGE12I-SPIN4\GAGE12I论文资料\论文稿件\改为GAGE7b\补充部分实验后\J EXP CLIN CANC RES\修改后图片\S Figure 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414439" cy="6520615"/>
                    </a:xfrm>
                    <a:prstGeom prst="rect">
                      <a:avLst/>
                    </a:prstGeom>
                    <a:noFill/>
                    <a:ln>
                      <a:noFill/>
                    </a:ln>
                  </pic:spPr>
                </pic:pic>
              </a:graphicData>
            </a:graphic>
          </wp:inline>
        </w:drawing>
      </w:r>
    </w:p>
    <w:p>
      <w:pPr>
        <w:spacing w:line="360" w:lineRule="auto"/>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S3. Overexpression of GAGE7B had no effect on gastric cancer cells</w:t>
      </w:r>
      <w:r>
        <w:rPr>
          <w:rFonts w:ascii="Times New Roman" w:hAnsi="Times New Roman"/>
          <w:b/>
          <w:sz w:val="24"/>
          <w:szCs w:val="24"/>
        </w:rPr>
        <w:t>’</w:t>
      </w:r>
      <w:r>
        <w:rPr>
          <w:rFonts w:hint="eastAsia" w:ascii="Times New Roman" w:hAnsi="Times New Roman"/>
          <w:b/>
          <w:sz w:val="24"/>
          <w:szCs w:val="24"/>
        </w:rPr>
        <w:t xml:space="preserve"> proliferation ability in </w:t>
      </w:r>
      <w:r>
        <w:rPr>
          <w:rFonts w:hint="eastAsia" w:ascii="Times New Roman" w:hAnsi="Times New Roman"/>
          <w:b/>
          <w:i/>
          <w:iCs/>
          <w:sz w:val="24"/>
          <w:szCs w:val="24"/>
        </w:rPr>
        <w:t>vitro</w:t>
      </w:r>
      <w:r>
        <w:rPr>
          <w:rFonts w:hint="eastAsia" w:ascii="Times New Roman" w:hAnsi="Times New Roman"/>
          <w:b/>
          <w:sz w:val="24"/>
          <w:szCs w:val="24"/>
        </w:rPr>
        <w:t>.</w:t>
      </w:r>
    </w:p>
    <w:p>
      <w:pPr>
        <w:spacing w:line="360" w:lineRule="auto"/>
        <w:rPr>
          <w:rFonts w:ascii="Times New Roman" w:hAnsi="Times New Roman"/>
          <w:bCs/>
          <w:sz w:val="24"/>
          <w:szCs w:val="24"/>
        </w:rPr>
      </w:pPr>
      <w:r>
        <w:rPr>
          <w:rFonts w:hint="eastAsia" w:ascii="Times New Roman" w:hAnsi="Times New Roman"/>
          <w:sz w:val="24"/>
          <w:szCs w:val="24"/>
        </w:rPr>
        <w:t xml:space="preserve">The AGS and BGC823 cells were first transfected with PcDNA3.1-GAGE7B or PcDNA3.1-empty plasmid, then the proliferation and apoptosis ability of the cells were investigated by EDU, flow cytometry and MTS assays. The </w:t>
      </w:r>
      <w:r>
        <w:rPr>
          <w:rFonts w:ascii="Times New Roman" w:hAnsi="Times New Roman"/>
          <w:sz w:val="24"/>
          <w:szCs w:val="24"/>
        </w:rPr>
        <w:t xml:space="preserve">results of </w:t>
      </w:r>
      <w:r>
        <w:rPr>
          <w:rFonts w:hint="eastAsia" w:ascii="Times New Roman" w:hAnsi="Times New Roman"/>
          <w:sz w:val="24"/>
          <w:szCs w:val="24"/>
        </w:rPr>
        <w:t>EDU assay suggested that there was no significant difference of proliferate rate between the cells overexpressing GAGE7B and the negative control cells</w:t>
      </w:r>
      <w:r>
        <w:rPr>
          <w:rFonts w:ascii="Times New Roman" w:hAnsi="Times New Roman"/>
          <w:sz w:val="24"/>
          <w:szCs w:val="24"/>
        </w:rPr>
        <w:t xml:space="preserve"> (</w:t>
      </w:r>
      <w:r>
        <w:rPr>
          <w:rFonts w:hint="eastAsia" w:ascii="Times New Roman" w:hAnsi="Times New Roman"/>
          <w:sz w:val="24"/>
          <w:szCs w:val="24"/>
        </w:rPr>
        <w:t>a and b</w:t>
      </w:r>
      <w:r>
        <w:rPr>
          <w:rFonts w:ascii="Times New Roman" w:hAnsi="Times New Roman"/>
          <w:sz w:val="24"/>
          <w:szCs w:val="24"/>
        </w:rPr>
        <w:t>)</w:t>
      </w:r>
      <w:r>
        <w:rPr>
          <w:rFonts w:hint="eastAsia" w:ascii="Times New Roman" w:hAnsi="Times New Roman"/>
          <w:sz w:val="24"/>
          <w:szCs w:val="24"/>
        </w:rPr>
        <w:t>. GAGE7B had no significant influence on gastric cancer cells</w:t>
      </w:r>
      <w:r>
        <w:rPr>
          <w:rFonts w:ascii="Times New Roman" w:hAnsi="Times New Roman"/>
          <w:sz w:val="24"/>
          <w:szCs w:val="24"/>
        </w:rPr>
        <w:t>’</w:t>
      </w:r>
      <w:r>
        <w:rPr>
          <w:rFonts w:hint="eastAsia" w:ascii="Times New Roman" w:hAnsi="Times New Roman"/>
          <w:sz w:val="24"/>
          <w:szCs w:val="24"/>
        </w:rPr>
        <w:t xml:space="preserve"> apoptosis rate </w:t>
      </w:r>
      <w:r>
        <w:rPr>
          <w:rFonts w:ascii="Times New Roman" w:hAnsi="Times New Roman"/>
          <w:sz w:val="24"/>
          <w:szCs w:val="24"/>
        </w:rPr>
        <w:t>in f</w:t>
      </w:r>
      <w:r>
        <w:rPr>
          <w:rFonts w:hint="eastAsia" w:ascii="Times New Roman" w:hAnsi="Times New Roman"/>
          <w:sz w:val="24"/>
          <w:szCs w:val="24"/>
        </w:rPr>
        <w:t>low cytometry</w:t>
      </w:r>
      <w:r>
        <w:rPr>
          <w:rFonts w:ascii="Times New Roman" w:hAnsi="Times New Roman"/>
          <w:sz w:val="24"/>
          <w:szCs w:val="24"/>
        </w:rPr>
        <w:t xml:space="preserve"> assay </w:t>
      </w:r>
      <w:r>
        <w:rPr>
          <w:rFonts w:hint="eastAsia" w:ascii="Times New Roman" w:hAnsi="Times New Roman"/>
          <w:sz w:val="24"/>
          <w:szCs w:val="24"/>
        </w:rPr>
        <w:t>(c</w:t>
      </w:r>
      <w:r>
        <w:rPr>
          <w:rFonts w:ascii="Times New Roman" w:hAnsi="Times New Roman"/>
          <w:sz w:val="24"/>
          <w:szCs w:val="24"/>
        </w:rPr>
        <w:t>)</w:t>
      </w:r>
      <w:r>
        <w:rPr>
          <w:rFonts w:hint="eastAsia" w:ascii="Times New Roman" w:hAnsi="Times New Roman"/>
          <w:sz w:val="24"/>
          <w:szCs w:val="24"/>
        </w:rPr>
        <w:t>. Consistently, no significant effect on the proliferation ability of AGS and BGC823 cells was observed between the GAGE7B group and negative control group in MTS assay (d</w:t>
      </w:r>
      <w:r>
        <w:rPr>
          <w:rFonts w:ascii="Times New Roman" w:hAnsi="Times New Roman"/>
          <w:sz w:val="24"/>
          <w:szCs w:val="24"/>
        </w:rPr>
        <w:t xml:space="preserve"> </w:t>
      </w:r>
      <w:r>
        <w:rPr>
          <w:rFonts w:hint="eastAsia" w:ascii="Times New Roman" w:hAnsi="Times New Roman"/>
          <w:sz w:val="24"/>
          <w:szCs w:val="24"/>
        </w:rPr>
        <w:t>and e).</w:t>
      </w:r>
      <w:r>
        <w:rPr>
          <w:rFonts w:ascii="Times New Roman" w:hAnsi="Times New Roman"/>
          <w:bCs/>
          <w:sz w:val="24"/>
          <w:szCs w:val="24"/>
        </w:rPr>
        <w:t xml:space="preserve"> </w:t>
      </w:r>
      <w:r>
        <w:rPr>
          <w:sz w:val="24"/>
          <w:szCs w:val="24"/>
        </w:rPr>
        <w:t>(</w:t>
      </w:r>
      <w:r>
        <w:rPr>
          <w:rFonts w:hint="eastAsia" w:ascii="Times New Roman" w:hAnsi="Times New Roman"/>
          <w:i/>
          <w:iCs/>
          <w:sz w:val="24"/>
          <w:szCs w:val="24"/>
        </w:rPr>
        <w:t>t-test, P &gt; 0.05</w:t>
      </w:r>
      <w:r>
        <w:rPr>
          <w:sz w:val="24"/>
          <w:szCs w:val="24"/>
        </w:rPr>
        <w:t>)</w:t>
      </w:r>
      <w:r>
        <w:rPr>
          <w:rFonts w:hint="eastAsia" w:ascii="Times New Roman" w:hAnsi="Times New Roman"/>
          <w:bCs/>
          <w:sz w:val="24"/>
          <w:szCs w:val="24"/>
        </w:rPr>
        <w:t>.</w:t>
      </w:r>
    </w:p>
    <w:p>
      <w:pPr>
        <w:spacing w:line="360" w:lineRule="auto"/>
        <w:rPr>
          <w:rFonts w:ascii="Times New Roman" w:hAnsi="Times New Roman"/>
          <w:bCs/>
          <w:sz w:val="24"/>
          <w:szCs w:val="24"/>
        </w:rPr>
      </w:pPr>
    </w:p>
    <w:p>
      <w:pPr>
        <w:spacing w:line="360" w:lineRule="auto"/>
        <w:rPr>
          <w:rFonts w:ascii="Times New Roman" w:hAnsi="Times New Roman"/>
          <w:bCs/>
          <w:sz w:val="24"/>
          <w:szCs w:val="24"/>
        </w:rPr>
      </w:pPr>
    </w:p>
    <w:p>
      <w:pPr>
        <w:spacing w:line="360" w:lineRule="auto"/>
        <w:rPr>
          <w:rFonts w:ascii="Times New Roman" w:hAnsi="Times New Roman"/>
          <w:bCs/>
          <w:sz w:val="24"/>
          <w:szCs w:val="24"/>
        </w:rPr>
      </w:pPr>
    </w:p>
    <w:p>
      <w:pPr>
        <w:spacing w:line="360" w:lineRule="auto"/>
        <w:rPr>
          <w:rFonts w:ascii="Times New Roman" w:hAnsi="Times New Roman"/>
          <w:bCs/>
          <w:sz w:val="24"/>
          <w:szCs w:val="24"/>
        </w:rPr>
      </w:pPr>
    </w:p>
    <w:p>
      <w:pPr>
        <w:spacing w:line="360" w:lineRule="auto"/>
        <w:rPr>
          <w:rFonts w:ascii="Times New Roman" w:hAnsi="Times New Roman"/>
          <w:bCs/>
          <w:sz w:val="24"/>
          <w:szCs w:val="24"/>
        </w:rPr>
      </w:pPr>
    </w:p>
    <w:p>
      <w:pPr>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 xml:space="preserve">Figure S4. </w:t>
      </w:r>
    </w:p>
    <w:p>
      <w:pPr>
        <w:rPr>
          <w:rFonts w:ascii="Times New Roman" w:hAnsi="Times New Roman"/>
          <w:b/>
          <w:sz w:val="24"/>
          <w:szCs w:val="24"/>
        </w:rPr>
      </w:pPr>
      <w:r>
        <w:rPr>
          <w:rFonts w:ascii="Times New Roman" w:hAnsi="Times New Roman"/>
          <w:b/>
          <w:sz w:val="24"/>
          <w:szCs w:val="24"/>
        </w:rPr>
        <w:drawing>
          <wp:inline distT="0" distB="0" distL="0" distR="0">
            <wp:extent cx="5274310" cy="3515995"/>
            <wp:effectExtent l="0" t="0" r="2540" b="8255"/>
            <wp:docPr id="14" name="图片 14" descr="D:\学习\基因芯片资料\GAGE12I-SPIN4\GAGE12I论文资料\论文稿件\改为GAGE7b\补充部分实验后\J EXP CLIN CANC RES\修改后图片\S Fig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学习\基因芯片资料\GAGE12I-SPIN4\GAGE12I论文资料\论文稿件\改为GAGE7b\补充部分实验后\J EXP CLIN CANC RES\修改后图片\S Figure 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3516207"/>
                    </a:xfrm>
                    <a:prstGeom prst="rect">
                      <a:avLst/>
                    </a:prstGeom>
                    <a:noFill/>
                    <a:ln>
                      <a:noFill/>
                    </a:ln>
                  </pic:spPr>
                </pic:pic>
              </a:graphicData>
            </a:graphic>
          </wp:inline>
        </w:drawing>
      </w:r>
    </w:p>
    <w:p>
      <w:pPr>
        <w:spacing w:line="360" w:lineRule="auto"/>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 xml:space="preserve">Figure S4. Downregulation of GAGE7B could not influence the proliferation ability of gastric cancer cells </w:t>
      </w:r>
      <w:r>
        <w:rPr>
          <w:rFonts w:hint="eastAsia" w:ascii="Times New Roman" w:hAnsi="Times New Roman"/>
          <w:b/>
          <w:i/>
          <w:iCs/>
          <w:sz w:val="24"/>
          <w:szCs w:val="24"/>
        </w:rPr>
        <w:t>in vitro</w:t>
      </w:r>
      <w:r>
        <w:rPr>
          <w:rFonts w:hint="eastAsia" w:ascii="Times New Roman" w:hAnsi="Times New Roman"/>
          <w:b/>
          <w:sz w:val="24"/>
          <w:szCs w:val="24"/>
        </w:rPr>
        <w:t>.</w:t>
      </w:r>
    </w:p>
    <w:p>
      <w:pPr>
        <w:spacing w:line="360" w:lineRule="auto"/>
        <w:rPr>
          <w:rFonts w:ascii="Times New Roman" w:hAnsi="Times New Roman"/>
          <w:sz w:val="24"/>
          <w:szCs w:val="24"/>
        </w:rPr>
      </w:pPr>
      <w:r>
        <w:rPr>
          <w:rFonts w:hint="eastAsia" w:ascii="Times New Roman" w:hAnsi="Times New Roman"/>
          <w:sz w:val="24"/>
          <w:szCs w:val="24"/>
        </w:rPr>
        <w:t>The GAGE7B expression in AGS and BGC823 cells was downregulated by si-GAGE7B-1, then the influence on the cells</w:t>
      </w:r>
      <w:r>
        <w:rPr>
          <w:rFonts w:ascii="Times New Roman" w:hAnsi="Times New Roman"/>
          <w:sz w:val="24"/>
          <w:szCs w:val="24"/>
        </w:rPr>
        <w:t>’</w:t>
      </w:r>
      <w:r>
        <w:rPr>
          <w:rFonts w:hint="eastAsia" w:ascii="Times New Roman" w:hAnsi="Times New Roman"/>
          <w:sz w:val="24"/>
          <w:szCs w:val="24"/>
        </w:rPr>
        <w:t xml:space="preserve"> proliferation ability was detected in </w:t>
      </w:r>
      <w:r>
        <w:rPr>
          <w:rFonts w:hint="eastAsia" w:ascii="Times New Roman" w:hAnsi="Times New Roman"/>
          <w:i/>
          <w:iCs/>
          <w:sz w:val="24"/>
          <w:szCs w:val="24"/>
        </w:rPr>
        <w:t>vitro</w:t>
      </w:r>
      <w:r>
        <w:rPr>
          <w:rFonts w:ascii="Times New Roman" w:hAnsi="Times New Roman"/>
          <w:i/>
          <w:iCs/>
          <w:sz w:val="24"/>
          <w:szCs w:val="24"/>
        </w:rPr>
        <w:t>.</w:t>
      </w:r>
      <w:r>
        <w:rPr>
          <w:rFonts w:hint="eastAsia" w:ascii="Times New Roman" w:hAnsi="Times New Roman"/>
          <w:sz w:val="24"/>
          <w:szCs w:val="24"/>
        </w:rPr>
        <w:t xml:space="preserve"> The data indicated that downregulation of GAGE7B could not influence the proliferation of AGS and BGC823 cells detected by EDU (a and b), MTS (c and d) and CCK8 (e and f) assays. </w:t>
      </w:r>
      <w:r>
        <w:rPr>
          <w:sz w:val="24"/>
          <w:szCs w:val="24"/>
        </w:rPr>
        <w:t>(</w:t>
      </w:r>
      <w:r>
        <w:rPr>
          <w:rFonts w:hint="eastAsia" w:ascii="Times New Roman" w:hAnsi="Times New Roman"/>
          <w:i/>
          <w:iCs/>
          <w:sz w:val="24"/>
          <w:szCs w:val="24"/>
        </w:rPr>
        <w:t>t-test, P &gt; 0.05</w:t>
      </w:r>
      <w:r>
        <w:rPr>
          <w:sz w:val="24"/>
          <w:szCs w:val="24"/>
        </w:rPr>
        <w:t>)</w:t>
      </w:r>
      <w:r>
        <w:rPr>
          <w:rFonts w:hint="eastAsia" w:ascii="Times New Roman" w:hAnsi="Times New Roman"/>
          <w:bCs/>
          <w:sz w:val="24"/>
          <w:szCs w:val="24"/>
        </w:rPr>
        <w:t>.</w:t>
      </w:r>
    </w:p>
    <w:p>
      <w:pPr>
        <w:rPr>
          <w:rFonts w:ascii="Times New Roman" w:hAnsi="Times New Roman"/>
          <w:b/>
          <w:sz w:val="24"/>
          <w:szCs w:val="24"/>
        </w:rPr>
      </w:pPr>
    </w:p>
    <w:p>
      <w:pPr>
        <w:tabs>
          <w:tab w:val="left" w:pos="5176"/>
        </w:tabs>
        <w:rPr>
          <w:rFonts w:ascii="Times New Roman" w:hAnsi="Times New Roman"/>
          <w:b/>
          <w:sz w:val="24"/>
          <w:szCs w:val="24"/>
        </w:rPr>
      </w:pPr>
      <w:r>
        <w:rPr>
          <w:rFonts w:hint="eastAsia" w:ascii="Times New Roman" w:hAnsi="Times New Roman"/>
          <w:b/>
          <w:sz w:val="24"/>
          <w:szCs w:val="24"/>
        </w:rPr>
        <w:tab/>
      </w:r>
    </w:p>
    <w:p>
      <w:pPr>
        <w:rPr>
          <w:rFonts w:ascii="Times New Roman" w:hAnsi="Times New Roman"/>
          <w:b/>
          <w:sz w:val="24"/>
          <w:szCs w:val="24"/>
        </w:rPr>
      </w:pPr>
      <w:r>
        <w:rPr>
          <w:rFonts w:ascii="Times New Roman" w:hAnsi="Times New Roman"/>
          <w:b/>
          <w:sz w:val="24"/>
          <w:szCs w:val="24"/>
        </w:rPr>
        <w:t xml:space="preserve">       </w:t>
      </w:r>
    </w:p>
    <w:p>
      <w:pPr>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w:t>
      </w:r>
      <w:r>
        <w:rPr>
          <w:rFonts w:ascii="Times New Roman" w:hAnsi="Times New Roman"/>
          <w:b/>
          <w:sz w:val="24"/>
          <w:szCs w:val="24"/>
        </w:rPr>
        <w:t>5</w:t>
      </w:r>
    </w:p>
    <w:p>
      <w:pPr>
        <w:rPr>
          <w:rFonts w:ascii="Times New Roman" w:hAnsi="Times New Roman"/>
          <w:b/>
          <w:bCs/>
          <w:sz w:val="24"/>
          <w:szCs w:val="24"/>
        </w:rPr>
      </w:pPr>
    </w:p>
    <w:p>
      <w:pPr>
        <w:rPr>
          <w:rFonts w:ascii="Times New Roman" w:hAnsi="Times New Roman"/>
          <w:sz w:val="24"/>
          <w:szCs w:val="24"/>
        </w:rPr>
      </w:pPr>
      <w:r>
        <w:rPr>
          <w:rFonts w:hint="eastAsia" w:ascii="Times New Roman" w:hAnsi="Times New Roman"/>
          <w:sz w:val="24"/>
          <w:szCs w:val="24"/>
        </w:rPr>
        <w:drawing>
          <wp:inline distT="0" distB="0" distL="114300" distR="114300">
            <wp:extent cx="5908675" cy="3378835"/>
            <wp:effectExtent l="0" t="0" r="15875" b="12065"/>
            <wp:docPr id="18" name="图片 18" descr="tong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tonglu"/>
                    <pic:cNvPicPr>
                      <a:picLocks noChangeAspect="1"/>
                    </pic:cNvPicPr>
                  </pic:nvPicPr>
                  <pic:blipFill>
                    <a:blip r:embed="rId8"/>
                    <a:stretch>
                      <a:fillRect/>
                    </a:stretch>
                  </pic:blipFill>
                  <pic:spPr>
                    <a:xfrm>
                      <a:off x="0" y="0"/>
                      <a:ext cx="5908675" cy="3378835"/>
                    </a:xfrm>
                    <a:prstGeom prst="rect">
                      <a:avLst/>
                    </a:prstGeom>
                  </pic:spPr>
                </pic:pic>
              </a:graphicData>
            </a:graphic>
          </wp:inline>
        </w:drawing>
      </w:r>
    </w:p>
    <w:p>
      <w:pPr>
        <w:spacing w:line="360" w:lineRule="auto"/>
        <w:rPr>
          <w:rFonts w:ascii="Times New Roman" w:hAnsi="Times New Roman"/>
          <w:sz w:val="24"/>
          <w:szCs w:val="24"/>
        </w:rPr>
      </w:pPr>
      <w:r>
        <w:rPr>
          <w:rFonts w:ascii="Times New Roman" w:hAnsi="Times New Roman"/>
          <w:b/>
          <w:sz w:val="24"/>
        </w:rPr>
        <w:t>Additional file</w:t>
      </w:r>
      <w:r>
        <w:rPr>
          <w:rFonts w:ascii="Times New Roman" w:hAnsi="Times New Roman"/>
          <w:b/>
          <w:sz w:val="24"/>
          <w:szCs w:val="24"/>
        </w:rPr>
        <w:t>,</w:t>
      </w:r>
      <w:r>
        <w:rPr>
          <w:rFonts w:ascii="Times New Roman" w:hAnsi="Times New Roman"/>
          <w:b/>
          <w:bCs/>
          <w:sz w:val="24"/>
          <w:szCs w:val="24"/>
        </w:rPr>
        <w:t xml:space="preserve"> </w:t>
      </w:r>
      <w:r>
        <w:rPr>
          <w:rFonts w:hint="eastAsia" w:ascii="Times New Roman" w:hAnsi="Times New Roman"/>
          <w:b/>
          <w:bCs/>
          <w:sz w:val="24"/>
          <w:szCs w:val="24"/>
        </w:rPr>
        <w:t>Figure S</w:t>
      </w:r>
      <w:r>
        <w:rPr>
          <w:rFonts w:ascii="Times New Roman" w:hAnsi="Times New Roman"/>
          <w:b/>
          <w:bCs/>
          <w:sz w:val="24"/>
          <w:szCs w:val="24"/>
        </w:rPr>
        <w:t>5</w:t>
      </w:r>
      <w:r>
        <w:rPr>
          <w:rFonts w:hint="eastAsia" w:ascii="Times New Roman" w:hAnsi="Times New Roman"/>
          <w:b/>
          <w:bCs/>
          <w:sz w:val="24"/>
          <w:szCs w:val="24"/>
        </w:rPr>
        <w:t xml:space="preserve">: The activity of </w:t>
      </w:r>
      <w:r>
        <w:rPr>
          <w:rFonts w:ascii="Times New Roman" w:hAnsi="Times New Roman"/>
          <w:b/>
          <w:bCs/>
          <w:color w:val="FF0000"/>
          <w:sz w:val="24"/>
        </w:rPr>
        <w:t>p38δ/ pMAPKAPK2/ pHSP27</w:t>
      </w:r>
      <w:r>
        <w:rPr>
          <w:rFonts w:hint="default" w:ascii="Times New Roman" w:hAnsi="Times New Roman"/>
          <w:b/>
          <w:bCs/>
          <w:color w:val="FF0000"/>
          <w:sz w:val="24"/>
          <w:lang w:val="en-US"/>
        </w:rPr>
        <w:t xml:space="preserve"> </w:t>
      </w:r>
      <w:r>
        <w:rPr>
          <w:rFonts w:hint="default" w:ascii="Times New Roman" w:hAnsi="Times New Roman"/>
          <w:b/>
          <w:bCs/>
          <w:color w:val="FF0000"/>
          <w:sz w:val="24"/>
          <w:szCs w:val="24"/>
          <w:lang w:val="en-US"/>
        </w:rPr>
        <w:t>and PI3K/AKT</w:t>
      </w:r>
      <w:r>
        <w:rPr>
          <w:rFonts w:hint="eastAsia" w:ascii="Times New Roman" w:hAnsi="Times New Roman"/>
          <w:b/>
          <w:bCs/>
          <w:color w:val="FF0000"/>
          <w:sz w:val="24"/>
          <w:szCs w:val="24"/>
        </w:rPr>
        <w:t xml:space="preserve"> pathway</w:t>
      </w:r>
      <w:r>
        <w:rPr>
          <w:rFonts w:hint="default" w:ascii="Times New Roman" w:hAnsi="Times New Roman"/>
          <w:b/>
          <w:bCs/>
          <w:color w:val="FF0000"/>
          <w:sz w:val="24"/>
          <w:szCs w:val="24"/>
          <w:lang w:val="en-US"/>
        </w:rPr>
        <w:t>s</w:t>
      </w:r>
      <w:r>
        <w:rPr>
          <w:rFonts w:hint="eastAsia" w:ascii="Times New Roman" w:hAnsi="Times New Roman"/>
          <w:b/>
          <w:bCs/>
          <w:color w:val="FF0000"/>
          <w:sz w:val="24"/>
          <w:szCs w:val="24"/>
        </w:rPr>
        <w:t xml:space="preserve"> w</w:t>
      </w:r>
      <w:r>
        <w:rPr>
          <w:rFonts w:hint="default" w:ascii="Times New Roman" w:hAnsi="Times New Roman"/>
          <w:b/>
          <w:bCs/>
          <w:color w:val="FF0000"/>
          <w:sz w:val="24"/>
          <w:szCs w:val="24"/>
          <w:lang w:val="en-US"/>
        </w:rPr>
        <w:t>ere</w:t>
      </w:r>
      <w:r>
        <w:rPr>
          <w:rFonts w:hint="eastAsia" w:ascii="Times New Roman" w:hAnsi="Times New Roman"/>
          <w:b/>
          <w:bCs/>
          <w:sz w:val="24"/>
          <w:szCs w:val="24"/>
        </w:rPr>
        <w:t xml:space="preserve"> enhanced by GAGE7B in gastric cancer.</w:t>
      </w:r>
      <w:r>
        <w:rPr>
          <w:rFonts w:hint="eastAsia" w:ascii="Times New Roman" w:hAnsi="Times New Roman"/>
          <w:sz w:val="24"/>
          <w:szCs w:val="24"/>
        </w:rPr>
        <w:t xml:space="preserve"> </w:t>
      </w:r>
    </w:p>
    <w:p>
      <w:pPr>
        <w:spacing w:line="360" w:lineRule="auto"/>
        <w:rPr>
          <w:rFonts w:ascii="Times New Roman" w:hAnsi="Times New Roman"/>
          <w:sz w:val="24"/>
          <w:szCs w:val="24"/>
        </w:rPr>
      </w:pPr>
      <w:r>
        <w:rPr>
          <w:rFonts w:hint="eastAsia" w:ascii="Times New Roman" w:hAnsi="Times New Roman"/>
          <w:sz w:val="24"/>
          <w:szCs w:val="24"/>
        </w:rPr>
        <w:t xml:space="preserve">The BGC823 cells were transfected with PcDNA3.1-GAGE7B or PcDNA3.1-empty plasmid then were subjected to mRNA microarray assay. The differentially expressed pathways that related to </w:t>
      </w:r>
      <w:r>
        <w:rPr>
          <w:rFonts w:ascii="Times New Roman" w:hAnsi="Times New Roman"/>
          <w:sz w:val="24"/>
          <w:szCs w:val="24"/>
        </w:rPr>
        <w:t>tumor</w:t>
      </w:r>
      <w:r>
        <w:rPr>
          <w:rFonts w:hint="eastAsia" w:ascii="Times New Roman" w:hAnsi="Times New Roman"/>
          <w:sz w:val="24"/>
          <w:szCs w:val="24"/>
        </w:rPr>
        <w:t xml:space="preserve"> progression were selected for further analysis. The results showed that the activity of </w:t>
      </w:r>
      <w:r>
        <w:rPr>
          <w:rFonts w:ascii="Times New Roman" w:hAnsi="Times New Roman"/>
          <w:b w:val="0"/>
          <w:bCs w:val="0"/>
          <w:color w:val="FF0000"/>
          <w:sz w:val="24"/>
        </w:rPr>
        <w:t>p38δ/pMAPKAPK2/pHSP27</w:t>
      </w:r>
      <w:r>
        <w:rPr>
          <w:rFonts w:hint="default" w:ascii="Times New Roman" w:hAnsi="Times New Roman"/>
          <w:b w:val="0"/>
          <w:bCs w:val="0"/>
          <w:color w:val="FF0000"/>
          <w:sz w:val="24"/>
          <w:lang w:val="en-US"/>
        </w:rPr>
        <w:t xml:space="preserve"> </w:t>
      </w:r>
      <w:r>
        <w:rPr>
          <w:rFonts w:hint="default" w:ascii="Times New Roman" w:hAnsi="Times New Roman"/>
          <w:b w:val="0"/>
          <w:bCs w:val="0"/>
          <w:color w:val="FF0000"/>
          <w:sz w:val="24"/>
          <w:szCs w:val="24"/>
          <w:lang w:val="en-US"/>
        </w:rPr>
        <w:t>and PI3K/AKT</w:t>
      </w:r>
      <w:r>
        <w:rPr>
          <w:rFonts w:hint="eastAsia" w:ascii="Times New Roman" w:hAnsi="Times New Roman"/>
          <w:b w:val="0"/>
          <w:bCs w:val="0"/>
          <w:color w:val="FF0000"/>
          <w:sz w:val="24"/>
          <w:szCs w:val="24"/>
        </w:rPr>
        <w:t xml:space="preserve"> pathway</w:t>
      </w:r>
      <w:r>
        <w:rPr>
          <w:rFonts w:hint="default" w:ascii="Times New Roman" w:hAnsi="Times New Roman"/>
          <w:b w:val="0"/>
          <w:bCs w:val="0"/>
          <w:color w:val="FF0000"/>
          <w:sz w:val="24"/>
          <w:szCs w:val="24"/>
          <w:lang w:val="en-US"/>
        </w:rPr>
        <w:t>s</w:t>
      </w:r>
      <w:r>
        <w:rPr>
          <w:rFonts w:hint="eastAsia" w:ascii="Times New Roman" w:hAnsi="Times New Roman"/>
          <w:b w:val="0"/>
          <w:bCs w:val="0"/>
          <w:color w:val="FF0000"/>
          <w:sz w:val="24"/>
          <w:szCs w:val="24"/>
        </w:rPr>
        <w:t xml:space="preserve"> w</w:t>
      </w:r>
      <w:r>
        <w:rPr>
          <w:rFonts w:hint="default" w:ascii="Times New Roman" w:hAnsi="Times New Roman"/>
          <w:b w:val="0"/>
          <w:bCs w:val="0"/>
          <w:color w:val="FF0000"/>
          <w:sz w:val="24"/>
          <w:szCs w:val="24"/>
          <w:lang w:val="en-US"/>
        </w:rPr>
        <w:t>ere</w:t>
      </w:r>
      <w:r>
        <w:rPr>
          <w:rFonts w:hint="eastAsia" w:ascii="Times New Roman" w:hAnsi="Times New Roman"/>
          <w:sz w:val="24"/>
          <w:szCs w:val="24"/>
        </w:rPr>
        <w:t xml:space="preserve"> enhanced by GAGE7B, as the </w:t>
      </w:r>
      <w:r>
        <w:rPr>
          <w:rFonts w:ascii="Times New Roman" w:hAnsi="Times New Roman"/>
          <w:sz w:val="24"/>
          <w:szCs w:val="24"/>
        </w:rPr>
        <w:t xml:space="preserve">expressions of </w:t>
      </w:r>
      <w:r>
        <w:rPr>
          <w:rFonts w:hint="eastAsia" w:ascii="Times New Roman" w:hAnsi="Times New Roman"/>
          <w:sz w:val="24"/>
          <w:szCs w:val="24"/>
        </w:rPr>
        <w:t>p38</w:t>
      </w:r>
      <w:r>
        <w:rPr>
          <w:rFonts w:ascii="Times New Roman" w:hAnsi="Times New Roman"/>
          <w:sz w:val="24"/>
          <w:szCs w:val="24"/>
        </w:rPr>
        <w:t xml:space="preserve"> </w:t>
      </w:r>
      <w:r>
        <w:rPr>
          <w:rFonts w:hint="eastAsia" w:ascii="Times New Roman" w:hAnsi="Times New Roman"/>
          <w:sz w:val="24"/>
          <w:szCs w:val="24"/>
        </w:rPr>
        <w:t xml:space="preserve">and </w:t>
      </w:r>
      <w:r>
        <w:rPr>
          <w:rFonts w:ascii="Times New Roman" w:hAnsi="Times New Roman"/>
          <w:sz w:val="24"/>
          <w:szCs w:val="24"/>
        </w:rPr>
        <w:t>PI3K were upregulated (</w:t>
      </w:r>
      <w:r>
        <w:rPr>
          <w:rFonts w:hint="eastAsia" w:ascii="Times New Roman" w:hAnsi="Times New Roman"/>
          <w:sz w:val="24"/>
          <w:szCs w:val="24"/>
        </w:rPr>
        <w:t>≧</w:t>
      </w:r>
      <w:r>
        <w:rPr>
          <w:rFonts w:ascii="Times New Roman" w:hAnsi="Times New Roman"/>
          <w:sz w:val="24"/>
          <w:szCs w:val="24"/>
        </w:rPr>
        <w:t>2.0 fold) in microarray assay.</w:t>
      </w:r>
      <w:r>
        <w:rPr>
          <w:rFonts w:hint="eastAsia" w:ascii="Times New Roman" w:hAnsi="Times New Roman"/>
          <w:sz w:val="24"/>
          <w:szCs w:val="24"/>
        </w:rPr>
        <w:t xml:space="preserve"> </w:t>
      </w: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sz w:val="24"/>
          <w:szCs w:val="24"/>
        </w:rPr>
      </w:pPr>
    </w:p>
    <w:p>
      <w:pPr>
        <w:rPr>
          <w:rFonts w:ascii="Times New Roman" w:hAnsi="Times New Roman"/>
          <w:b/>
          <w:bCs/>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w:t>
      </w:r>
      <w:r>
        <w:rPr>
          <w:rFonts w:ascii="Times New Roman" w:hAnsi="Times New Roman"/>
          <w:b/>
          <w:sz w:val="24"/>
          <w:szCs w:val="24"/>
        </w:rPr>
        <w:t>6</w:t>
      </w:r>
    </w:p>
    <w:p>
      <w:pPr>
        <w:rPr>
          <w:rFonts w:ascii="Times New Roman" w:hAnsi="Times New Roman"/>
          <w:sz w:val="24"/>
          <w:szCs w:val="24"/>
        </w:rPr>
      </w:pPr>
    </w:p>
    <w:p/>
    <w:p>
      <w:pPr>
        <w:rPr>
          <w:rFonts w:hint="eastAsia" w:ascii="Times New Roman" w:hAnsi="Times New Roman" w:eastAsia="宋体"/>
          <w:b/>
          <w:bCs/>
          <w:sz w:val="24"/>
          <w:szCs w:val="24"/>
          <w:lang w:eastAsia="zh-CN"/>
        </w:rPr>
      </w:pPr>
      <w:r>
        <w:rPr>
          <w:rFonts w:hint="eastAsia" w:ascii="Times New Roman" w:hAnsi="Times New Roman" w:eastAsia="宋体"/>
          <w:b/>
          <w:bCs/>
          <w:sz w:val="24"/>
          <w:szCs w:val="24"/>
          <w:lang w:eastAsia="zh-CN"/>
        </w:rPr>
        <w:drawing>
          <wp:inline distT="0" distB="0" distL="114300" distR="114300">
            <wp:extent cx="4058920" cy="2665095"/>
            <wp:effectExtent l="0" t="0" r="17780" b="1905"/>
            <wp:docPr id="5" name="图片 5" descr="S 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 Figure 6"/>
                    <pic:cNvPicPr>
                      <a:picLocks noChangeAspect="1"/>
                    </pic:cNvPicPr>
                  </pic:nvPicPr>
                  <pic:blipFill>
                    <a:blip r:embed="rId9"/>
                    <a:stretch>
                      <a:fillRect/>
                    </a:stretch>
                  </pic:blipFill>
                  <pic:spPr>
                    <a:xfrm>
                      <a:off x="0" y="0"/>
                      <a:ext cx="4058920" cy="2665095"/>
                    </a:xfrm>
                    <a:prstGeom prst="rect">
                      <a:avLst/>
                    </a:prstGeom>
                  </pic:spPr>
                </pic:pic>
              </a:graphicData>
            </a:graphic>
          </wp:inline>
        </w:drawing>
      </w:r>
    </w:p>
    <w:p>
      <w:pPr>
        <w:rPr>
          <w:rFonts w:ascii="Times New Roman" w:hAnsi="Times New Roman"/>
          <w:b/>
          <w:sz w:val="24"/>
          <w:szCs w:val="24"/>
        </w:rPr>
      </w:pPr>
    </w:p>
    <w:p>
      <w:pPr>
        <w:rPr>
          <w:rFonts w:ascii="Times New Roman" w:hAnsi="Times New Roman"/>
          <w:b/>
          <w:color w:val="FF0000"/>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w:t>
      </w:r>
      <w:r>
        <w:rPr>
          <w:rFonts w:ascii="Times New Roman" w:hAnsi="Times New Roman"/>
          <w:b/>
          <w:sz w:val="24"/>
          <w:szCs w:val="24"/>
        </w:rPr>
        <w:t>6</w:t>
      </w:r>
      <w:r>
        <w:rPr>
          <w:rFonts w:hint="eastAsia" w:ascii="Times New Roman" w:hAnsi="Times New Roman"/>
          <w:b/>
          <w:sz w:val="24"/>
          <w:szCs w:val="24"/>
        </w:rPr>
        <w:t xml:space="preserve">. </w:t>
      </w:r>
      <w:r>
        <w:rPr>
          <w:rFonts w:hint="eastAsia" w:ascii="Times New Roman" w:hAnsi="Times New Roman"/>
          <w:b/>
          <w:color w:val="FF0000"/>
          <w:sz w:val="24"/>
          <w:szCs w:val="24"/>
        </w:rPr>
        <w:t xml:space="preserve">The </w:t>
      </w:r>
      <w:r>
        <w:rPr>
          <w:rFonts w:hint="eastAsia" w:ascii="Times New Roman" w:hAnsi="Times New Roman"/>
          <w:b/>
          <w:color w:val="FF0000"/>
          <w:sz w:val="24"/>
          <w:szCs w:val="24"/>
          <w:lang w:val="en-US" w:eastAsia="zh-CN"/>
        </w:rPr>
        <w:t xml:space="preserve">expression of </w:t>
      </w:r>
      <w:r>
        <w:rPr>
          <w:rFonts w:hint="eastAsia" w:ascii="Times New Roman" w:hAnsi="Times New Roman"/>
          <w:b/>
          <w:color w:val="FF0000"/>
          <w:sz w:val="24"/>
          <w:szCs w:val="24"/>
        </w:rPr>
        <w:t>GAGE7B</w:t>
      </w:r>
      <w:r>
        <w:rPr>
          <w:rFonts w:hint="eastAsia" w:ascii="Times New Roman" w:hAnsi="Times New Roman"/>
          <w:b/>
          <w:color w:val="FF0000"/>
          <w:sz w:val="24"/>
          <w:szCs w:val="24"/>
          <w:lang w:val="en-US" w:eastAsia="zh-CN"/>
        </w:rPr>
        <w:t xml:space="preserve"> was associated with tumor </w:t>
      </w:r>
      <w:r>
        <w:rPr>
          <w:rFonts w:hint="eastAsia" w:ascii="Times New Roman" w:hAnsi="Times New Roman"/>
          <w:b/>
          <w:color w:val="FF0000"/>
          <w:sz w:val="24"/>
          <w:szCs w:val="24"/>
        </w:rPr>
        <w:t>angiogenesis.</w:t>
      </w:r>
    </w:p>
    <w:p>
      <w:pPr>
        <w:spacing w:line="360" w:lineRule="auto"/>
        <w:rPr>
          <w:rFonts w:ascii="Times New Roman" w:hAnsi="Times New Roman"/>
          <w:bCs/>
          <w:sz w:val="24"/>
          <w:szCs w:val="24"/>
        </w:rPr>
      </w:pPr>
      <w:r>
        <w:rPr>
          <w:rFonts w:ascii="Times New Roman" w:hAnsi="Times New Roman"/>
          <w:bCs/>
          <w:sz w:val="24"/>
          <w:szCs w:val="24"/>
        </w:rPr>
        <w:t>IHC was performed for CD34 staining in 132 cases of gastric cancer tissues. The CD34+ microvessel number was counted in each case and was further analyzed between GAGE7B low expression group and GAGE7B high expression group (</w:t>
      </w:r>
      <w:r>
        <w:rPr>
          <w:rFonts w:ascii="Times New Roman" w:hAnsi="Times New Roman"/>
          <w:sz w:val="24"/>
          <w:szCs w:val="24"/>
        </w:rPr>
        <w:t xml:space="preserve"> × 400</w:t>
      </w:r>
      <w:r>
        <w:rPr>
          <w:rFonts w:ascii="Times New Roman" w:hAnsi="Times New Roman"/>
          <w:bCs/>
          <w:sz w:val="24"/>
          <w:szCs w:val="24"/>
        </w:rPr>
        <w:t xml:space="preserve">). The </w:t>
      </w:r>
      <w:r>
        <w:rPr>
          <w:rFonts w:hint="eastAsia" w:ascii="Times New Roman" w:hAnsi="Times New Roman"/>
          <w:bCs/>
          <w:sz w:val="24"/>
          <w:szCs w:val="24"/>
        </w:rPr>
        <w:t xml:space="preserve">GAGE7B high group showed more number </w:t>
      </w:r>
      <w:r>
        <w:rPr>
          <w:rFonts w:ascii="Times New Roman" w:hAnsi="Times New Roman"/>
          <w:bCs/>
          <w:sz w:val="24"/>
          <w:szCs w:val="24"/>
        </w:rPr>
        <w:t>CD34+ microvessel</w:t>
      </w:r>
      <w:r>
        <w:rPr>
          <w:rFonts w:hint="eastAsia" w:ascii="Times New Roman" w:hAnsi="Times New Roman"/>
          <w:bCs/>
          <w:sz w:val="24"/>
          <w:szCs w:val="24"/>
        </w:rPr>
        <w:t>s</w:t>
      </w:r>
      <w:r>
        <w:rPr>
          <w:rFonts w:ascii="Times New Roman" w:hAnsi="Times New Roman"/>
          <w:bCs/>
          <w:sz w:val="24"/>
          <w:szCs w:val="24"/>
        </w:rPr>
        <w:t xml:space="preserve"> than that in </w:t>
      </w:r>
      <w:r>
        <w:rPr>
          <w:rFonts w:hint="eastAsia" w:ascii="Times New Roman" w:hAnsi="Times New Roman"/>
          <w:bCs/>
          <w:sz w:val="24"/>
          <w:szCs w:val="24"/>
        </w:rPr>
        <w:t xml:space="preserve">GAGE7B low expression group, which suggested that the </w:t>
      </w:r>
      <w:r>
        <w:rPr>
          <w:rFonts w:ascii="Times New Roman" w:hAnsi="Times New Roman"/>
          <w:bCs/>
          <w:sz w:val="24"/>
          <w:szCs w:val="24"/>
        </w:rPr>
        <w:t>CD34+ microvessel</w:t>
      </w:r>
      <w:r>
        <w:rPr>
          <w:rFonts w:hint="eastAsia" w:ascii="Times New Roman" w:hAnsi="Times New Roman"/>
          <w:bCs/>
          <w:sz w:val="24"/>
          <w:szCs w:val="24"/>
        </w:rPr>
        <w:t xml:space="preserve"> number was positively associated with GAGE7B expression in gastric cancer </w:t>
      </w:r>
      <w:r>
        <w:rPr>
          <w:rFonts w:ascii="Times New Roman" w:hAnsi="Times New Roman"/>
          <w:bCs/>
          <w:sz w:val="24"/>
          <w:szCs w:val="24"/>
        </w:rPr>
        <w:t>(</w:t>
      </w:r>
      <w:r>
        <w:rPr>
          <w:rFonts w:hint="eastAsia" w:ascii="Times New Roman" w:hAnsi="Times New Roman"/>
          <w:i/>
          <w:iCs/>
          <w:sz w:val="24"/>
          <w:szCs w:val="24"/>
        </w:rPr>
        <w:t>t-test, *P &lt; 0.05</w:t>
      </w:r>
      <w:r>
        <w:rPr>
          <w:rFonts w:ascii="Times New Roman" w:hAnsi="Times New Roman"/>
          <w:bCs/>
          <w:sz w:val="24"/>
          <w:szCs w:val="24"/>
        </w:rPr>
        <w:t>)</w:t>
      </w:r>
      <w:r>
        <w:rPr>
          <w:rFonts w:hint="eastAsia" w:ascii="Times New Roman" w:hAnsi="Times New Roman"/>
          <w:bCs/>
          <w:sz w:val="24"/>
          <w:szCs w:val="24"/>
        </w:rPr>
        <w:t>.</w:t>
      </w:r>
    </w:p>
    <w:p>
      <w:pPr>
        <w:spacing w:line="360" w:lineRule="auto"/>
        <w:rPr>
          <w:rFonts w:ascii="Times New Roman" w:hAnsi="Times New Roman"/>
          <w:bCs/>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ascii="Times New Roman" w:hAnsi="Times New Roman"/>
          <w:b/>
          <w:sz w:val="24"/>
          <w:szCs w:val="24"/>
        </w:rPr>
      </w:pPr>
    </w:p>
    <w:p>
      <w:pPr>
        <w:rPr>
          <w:rFonts w:hint="eastAsia" w:ascii="Times New Roman" w:hAnsi="Times New Roman" w:eastAsia="宋体"/>
          <w:b/>
          <w:sz w:val="24"/>
          <w:szCs w:val="24"/>
          <w:lang w:eastAsia="zh-CN"/>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w:t>
      </w:r>
      <w:r>
        <w:rPr>
          <w:rFonts w:hint="eastAsia" w:ascii="Times New Roman" w:hAnsi="Times New Roman"/>
          <w:b/>
          <w:color w:val="FF0000"/>
          <w:sz w:val="24"/>
          <w:szCs w:val="24"/>
          <w:lang w:val="en-US" w:eastAsia="zh-CN"/>
        </w:rPr>
        <w:t>7</w:t>
      </w:r>
    </w:p>
    <w:p>
      <w:pPr>
        <w:rPr>
          <w:rFonts w:ascii="Times New Roman" w:hAnsi="Times New Roman"/>
          <w:b/>
          <w:bCs/>
          <w:sz w:val="24"/>
          <w:szCs w:val="24"/>
        </w:rPr>
      </w:pPr>
      <w:r>
        <w:rPr>
          <w:rFonts w:ascii="Times New Roman" w:hAnsi="Times New Roman"/>
          <w:b/>
          <w:bCs/>
          <w:sz w:val="24"/>
          <w:szCs w:val="24"/>
        </w:rPr>
        <w:drawing>
          <wp:inline distT="0" distB="0" distL="0" distR="0">
            <wp:extent cx="5480050" cy="2952750"/>
            <wp:effectExtent l="0" t="0" r="6350" b="0"/>
            <wp:docPr id="19" name="图片 19" descr="D:\学习\基因芯片资料\GAGE12I-SPIN4\GAGE12I论文资料\论文稿件\改为GAGE7b\补充部分实验后\J EXP CLIN CANC RES\修改后图片\S Fig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学习\基因芯片资料\GAGE12I-SPIN4\GAGE12I论文资料\论文稿件\改为GAGE7b\补充部分实验后\J EXP CLIN CANC RES\修改后图片\S Figure 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80104" cy="2952750"/>
                    </a:xfrm>
                    <a:prstGeom prst="rect">
                      <a:avLst/>
                    </a:prstGeom>
                    <a:noFill/>
                    <a:ln>
                      <a:noFill/>
                    </a:ln>
                  </pic:spPr>
                </pic:pic>
              </a:graphicData>
            </a:graphic>
          </wp:inline>
        </w:drawing>
      </w:r>
    </w:p>
    <w:p>
      <w:pPr>
        <w:rPr>
          <w:rFonts w:ascii="Times New Roman" w:hAnsi="Times New Roman"/>
          <w:b/>
          <w:sz w:val="24"/>
          <w:szCs w:val="24"/>
        </w:rPr>
      </w:pPr>
    </w:p>
    <w:p>
      <w:pPr>
        <w:rPr>
          <w:rFonts w:ascii="Times New Roman" w:hAnsi="Times New Roman"/>
          <w:b/>
          <w:bCs/>
          <w:sz w:val="24"/>
          <w:szCs w:val="24"/>
        </w:rPr>
      </w:pPr>
    </w:p>
    <w:p>
      <w:pPr>
        <w:spacing w:line="360" w:lineRule="auto"/>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 S</w:t>
      </w:r>
      <w:r>
        <w:rPr>
          <w:rFonts w:hint="eastAsia" w:ascii="Times New Roman" w:hAnsi="Times New Roman"/>
          <w:b/>
          <w:color w:val="FF0000"/>
          <w:sz w:val="24"/>
          <w:szCs w:val="24"/>
          <w:lang w:val="en-US" w:eastAsia="zh-CN"/>
        </w:rPr>
        <w:t>7</w:t>
      </w:r>
      <w:r>
        <w:rPr>
          <w:rFonts w:hint="eastAsia" w:ascii="Times New Roman" w:hAnsi="Times New Roman"/>
          <w:b/>
          <w:sz w:val="24"/>
          <w:szCs w:val="24"/>
        </w:rPr>
        <w:t>. GAGE7B and p38</w:t>
      </w:r>
      <w:r>
        <w:rPr>
          <w:rFonts w:ascii="Times New Roman" w:hAnsi="Times New Roman"/>
          <w:sz w:val="24"/>
        </w:rPr>
        <w:t xml:space="preserve">δ </w:t>
      </w:r>
      <w:r>
        <w:rPr>
          <w:rFonts w:hint="eastAsia" w:ascii="宋体" w:hAnsi="宋体" w:cs="宋体"/>
          <w:b/>
          <w:sz w:val="24"/>
          <w:szCs w:val="24"/>
        </w:rPr>
        <w:t>(MAPK13)</w:t>
      </w:r>
      <w:r>
        <w:rPr>
          <w:rFonts w:hint="eastAsia" w:ascii="Times New Roman" w:hAnsi="Times New Roman"/>
          <w:b/>
          <w:sz w:val="24"/>
          <w:szCs w:val="24"/>
        </w:rPr>
        <w:t xml:space="preserve"> w</w:t>
      </w:r>
      <w:r>
        <w:rPr>
          <w:rFonts w:ascii="Times New Roman" w:hAnsi="Times New Roman"/>
          <w:b/>
          <w:sz w:val="24"/>
          <w:szCs w:val="24"/>
        </w:rPr>
        <w:t>ere</w:t>
      </w:r>
      <w:r>
        <w:rPr>
          <w:rFonts w:hint="eastAsia" w:ascii="Times New Roman" w:hAnsi="Times New Roman"/>
          <w:b/>
          <w:sz w:val="24"/>
          <w:szCs w:val="24"/>
        </w:rPr>
        <w:t xml:space="preserve"> negatively regulated by miR-30</w:t>
      </w:r>
      <w:r>
        <w:rPr>
          <w:rFonts w:ascii="Times New Roman" w:hAnsi="Times New Roman"/>
          <w:b/>
          <w:sz w:val="24"/>
          <w:szCs w:val="24"/>
        </w:rPr>
        <w:t>C</w:t>
      </w:r>
      <w:r>
        <w:rPr>
          <w:rFonts w:hint="eastAsia" w:ascii="Times New Roman" w:hAnsi="Times New Roman"/>
          <w:b/>
          <w:sz w:val="24"/>
          <w:szCs w:val="24"/>
        </w:rPr>
        <w:t>.</w:t>
      </w:r>
    </w:p>
    <w:p>
      <w:pPr>
        <w:spacing w:line="360" w:lineRule="auto"/>
        <w:rPr>
          <w:rFonts w:ascii="Times New Roman" w:hAnsi="Times New Roman"/>
          <w:bCs/>
          <w:sz w:val="24"/>
          <w:szCs w:val="24"/>
        </w:rPr>
      </w:pPr>
      <w:r>
        <w:rPr>
          <w:rFonts w:hint="eastAsia" w:ascii="Times New Roman" w:hAnsi="Times New Roman"/>
          <w:bCs/>
          <w:sz w:val="24"/>
          <w:szCs w:val="24"/>
        </w:rPr>
        <w:t>a-c</w:t>
      </w:r>
      <w:r>
        <w:rPr>
          <w:rFonts w:ascii="Times New Roman" w:hAnsi="Times New Roman"/>
          <w:bCs/>
          <w:sz w:val="24"/>
          <w:szCs w:val="24"/>
        </w:rPr>
        <w:t>.</w:t>
      </w:r>
      <w:r>
        <w:rPr>
          <w:rFonts w:hint="eastAsia" w:ascii="Times New Roman" w:hAnsi="Times New Roman"/>
          <w:bCs/>
          <w:sz w:val="24"/>
          <w:szCs w:val="24"/>
        </w:rPr>
        <w:t xml:space="preserve"> The miRNAs that </w:t>
      </w:r>
      <w:r>
        <w:rPr>
          <w:rFonts w:ascii="Times New Roman" w:hAnsi="Times New Roman"/>
          <w:bCs/>
          <w:sz w:val="24"/>
          <w:szCs w:val="24"/>
        </w:rPr>
        <w:t xml:space="preserve">could </w:t>
      </w:r>
      <w:r>
        <w:rPr>
          <w:rFonts w:hint="eastAsia" w:ascii="Times New Roman" w:hAnsi="Times New Roman"/>
          <w:bCs/>
          <w:sz w:val="24"/>
          <w:szCs w:val="24"/>
        </w:rPr>
        <w:t xml:space="preserve">negatively regulate GAGE7B were predicted by software and then dual-luciferase reporter assay was performed to identify the </w:t>
      </w:r>
      <w:r>
        <w:rPr>
          <w:rFonts w:ascii="Times New Roman" w:hAnsi="Times New Roman"/>
          <w:bCs/>
          <w:sz w:val="24"/>
          <w:szCs w:val="24"/>
        </w:rPr>
        <w:t xml:space="preserve">target </w:t>
      </w:r>
      <w:r>
        <w:rPr>
          <w:rFonts w:hint="eastAsia" w:ascii="Times New Roman" w:hAnsi="Times New Roman"/>
          <w:bCs/>
          <w:sz w:val="24"/>
          <w:szCs w:val="24"/>
        </w:rPr>
        <w:t>miRNAs. The prediction showed miR-320b</w:t>
      </w:r>
      <w:r>
        <w:rPr>
          <w:rFonts w:ascii="Times New Roman" w:hAnsi="Times New Roman"/>
          <w:bCs/>
          <w:sz w:val="24"/>
          <w:szCs w:val="24"/>
        </w:rPr>
        <w:t xml:space="preserve"> </w:t>
      </w:r>
      <w:r>
        <w:rPr>
          <w:rFonts w:hint="eastAsia" w:ascii="Times New Roman" w:hAnsi="Times New Roman"/>
          <w:bCs/>
          <w:sz w:val="24"/>
          <w:szCs w:val="24"/>
        </w:rPr>
        <w:t>(a), miR-887-5p</w:t>
      </w:r>
      <w:r>
        <w:rPr>
          <w:rFonts w:ascii="Times New Roman" w:hAnsi="Times New Roman"/>
          <w:bCs/>
          <w:sz w:val="24"/>
          <w:szCs w:val="24"/>
        </w:rPr>
        <w:t xml:space="preserve"> </w:t>
      </w:r>
      <w:r>
        <w:rPr>
          <w:rFonts w:hint="eastAsia" w:ascii="Times New Roman" w:hAnsi="Times New Roman"/>
          <w:bCs/>
          <w:sz w:val="24"/>
          <w:szCs w:val="24"/>
        </w:rPr>
        <w:t>(b) and miR-590-3p</w:t>
      </w:r>
      <w:r>
        <w:rPr>
          <w:rFonts w:ascii="Times New Roman" w:hAnsi="Times New Roman"/>
          <w:bCs/>
          <w:sz w:val="24"/>
          <w:szCs w:val="24"/>
        </w:rPr>
        <w:t xml:space="preserve"> </w:t>
      </w:r>
      <w:r>
        <w:rPr>
          <w:rFonts w:hint="eastAsia" w:ascii="Times New Roman" w:hAnsi="Times New Roman"/>
          <w:bCs/>
          <w:sz w:val="24"/>
          <w:szCs w:val="24"/>
        </w:rPr>
        <w:t>(c) potentially bind to the 3</w:t>
      </w:r>
      <w:r>
        <w:rPr>
          <w:rFonts w:ascii="Times New Roman" w:hAnsi="Times New Roman"/>
          <w:bCs/>
          <w:sz w:val="24"/>
          <w:szCs w:val="24"/>
        </w:rPr>
        <w:t>’</w:t>
      </w:r>
      <w:r>
        <w:rPr>
          <w:rFonts w:hint="eastAsia" w:ascii="Times New Roman" w:hAnsi="Times New Roman"/>
          <w:bCs/>
          <w:sz w:val="24"/>
          <w:szCs w:val="24"/>
        </w:rPr>
        <w:t xml:space="preserve">-UTR region of GAGE7B, however, the results of dual-luciferase reporter assay suggested that the luciferase activity </w:t>
      </w:r>
      <w:r>
        <w:rPr>
          <w:rFonts w:ascii="Times New Roman" w:hAnsi="Times New Roman"/>
          <w:bCs/>
          <w:sz w:val="24"/>
          <w:szCs w:val="24"/>
        </w:rPr>
        <w:t xml:space="preserve">of </w:t>
      </w:r>
      <w:r>
        <w:rPr>
          <w:rFonts w:hint="eastAsia" w:ascii="Times New Roman" w:hAnsi="Times New Roman"/>
          <w:sz w:val="24"/>
          <w:szCs w:val="24"/>
        </w:rPr>
        <w:t>GAGE7B pmirGLO-3</w:t>
      </w:r>
      <w:r>
        <w:rPr>
          <w:rFonts w:ascii="Times New Roman" w:hAnsi="Times New Roman"/>
          <w:sz w:val="24"/>
          <w:szCs w:val="24"/>
        </w:rPr>
        <w:t>’</w:t>
      </w:r>
      <w:r>
        <w:rPr>
          <w:rFonts w:hint="eastAsia" w:ascii="Times New Roman" w:hAnsi="Times New Roman"/>
          <w:sz w:val="24"/>
          <w:szCs w:val="24"/>
        </w:rPr>
        <w:t xml:space="preserve"> UTR vector</w:t>
      </w:r>
      <w:r>
        <w:rPr>
          <w:rFonts w:ascii="Times New Roman" w:hAnsi="Times New Roman"/>
          <w:sz w:val="24"/>
          <w:szCs w:val="24"/>
        </w:rPr>
        <w:t xml:space="preserve"> </w:t>
      </w:r>
      <w:r>
        <w:rPr>
          <w:rFonts w:hint="eastAsia" w:ascii="Times New Roman" w:hAnsi="Times New Roman"/>
          <w:bCs/>
          <w:sz w:val="24"/>
          <w:szCs w:val="24"/>
        </w:rPr>
        <w:t xml:space="preserve">was not significantly influenced by the above </w:t>
      </w:r>
      <w:r>
        <w:rPr>
          <w:rFonts w:ascii="Times New Roman" w:hAnsi="Times New Roman"/>
          <w:bCs/>
          <w:sz w:val="24"/>
          <w:szCs w:val="24"/>
        </w:rPr>
        <w:t xml:space="preserve">three </w:t>
      </w:r>
      <w:r>
        <w:rPr>
          <w:rFonts w:hint="eastAsia" w:ascii="Times New Roman" w:hAnsi="Times New Roman"/>
          <w:bCs/>
          <w:sz w:val="24"/>
          <w:szCs w:val="24"/>
        </w:rPr>
        <w:t>miRNAs.</w:t>
      </w:r>
      <w:r>
        <w:rPr>
          <w:rFonts w:ascii="Times New Roman" w:hAnsi="Times New Roman"/>
          <w:bCs/>
          <w:sz w:val="24"/>
          <w:szCs w:val="24"/>
        </w:rPr>
        <w:t xml:space="preserve"> </w:t>
      </w:r>
      <w:r>
        <w:rPr>
          <w:sz w:val="24"/>
          <w:szCs w:val="24"/>
        </w:rPr>
        <w:t>(</w:t>
      </w:r>
      <w:r>
        <w:rPr>
          <w:rFonts w:hint="eastAsia" w:ascii="Times New Roman" w:hAnsi="Times New Roman"/>
          <w:i/>
          <w:iCs/>
          <w:sz w:val="24"/>
          <w:szCs w:val="24"/>
        </w:rPr>
        <w:t>t-test, P &gt; 0.05</w:t>
      </w:r>
      <w:r>
        <w:rPr>
          <w:sz w:val="24"/>
          <w:szCs w:val="24"/>
        </w:rPr>
        <w:t>)</w:t>
      </w:r>
      <w:r>
        <w:rPr>
          <w:rFonts w:hint="eastAsia" w:ascii="Times New Roman" w:hAnsi="Times New Roman"/>
          <w:bCs/>
          <w:sz w:val="24"/>
          <w:szCs w:val="24"/>
        </w:rPr>
        <w:t xml:space="preserve"> </w:t>
      </w:r>
    </w:p>
    <w:p>
      <w:pPr>
        <w:spacing w:line="360" w:lineRule="auto"/>
        <w:rPr>
          <w:rFonts w:ascii="Times New Roman" w:hAnsi="Times New Roman"/>
          <w:bCs/>
          <w:sz w:val="24"/>
          <w:szCs w:val="24"/>
        </w:rPr>
      </w:pPr>
      <w:r>
        <w:rPr>
          <w:rFonts w:hint="eastAsia" w:ascii="Times New Roman" w:hAnsi="Times New Roman"/>
          <w:bCs/>
          <w:sz w:val="24"/>
          <w:szCs w:val="24"/>
        </w:rPr>
        <w:t>d</w:t>
      </w:r>
      <w:r>
        <w:rPr>
          <w:rFonts w:ascii="Times New Roman" w:hAnsi="Times New Roman"/>
          <w:bCs/>
          <w:sz w:val="24"/>
          <w:szCs w:val="24"/>
        </w:rPr>
        <w:t xml:space="preserve">. </w:t>
      </w:r>
      <w:r>
        <w:rPr>
          <w:rFonts w:hint="eastAsia" w:ascii="Times New Roman" w:hAnsi="Times New Roman"/>
          <w:bCs/>
          <w:sz w:val="24"/>
          <w:szCs w:val="24"/>
        </w:rPr>
        <w:t>When the binding site of miR-30</w:t>
      </w:r>
      <w:r>
        <w:rPr>
          <w:rFonts w:ascii="Times New Roman" w:hAnsi="Times New Roman"/>
          <w:bCs/>
          <w:sz w:val="24"/>
          <w:szCs w:val="24"/>
        </w:rPr>
        <w:t>c</w:t>
      </w:r>
      <w:r>
        <w:rPr>
          <w:rFonts w:hint="eastAsia" w:ascii="Times New Roman" w:hAnsi="Times New Roman"/>
          <w:bCs/>
          <w:sz w:val="24"/>
          <w:szCs w:val="24"/>
        </w:rPr>
        <w:t xml:space="preserve"> in the GAGE7B</w:t>
      </w:r>
      <w:r>
        <w:rPr>
          <w:rFonts w:ascii="Times New Roman" w:hAnsi="Times New Roman"/>
          <w:bCs/>
          <w:sz w:val="24"/>
          <w:szCs w:val="24"/>
        </w:rPr>
        <w:t>-</w:t>
      </w:r>
      <w:r>
        <w:rPr>
          <w:rFonts w:hint="eastAsia" w:ascii="Times New Roman" w:hAnsi="Times New Roman"/>
          <w:bCs/>
          <w:sz w:val="24"/>
          <w:szCs w:val="24"/>
        </w:rPr>
        <w:t>3</w:t>
      </w:r>
      <w:r>
        <w:rPr>
          <w:rFonts w:ascii="Times New Roman" w:hAnsi="Times New Roman"/>
          <w:bCs/>
          <w:sz w:val="24"/>
          <w:szCs w:val="24"/>
        </w:rPr>
        <w:t>’</w:t>
      </w:r>
      <w:r>
        <w:rPr>
          <w:rFonts w:hint="eastAsia" w:ascii="Times New Roman" w:hAnsi="Times New Roman"/>
          <w:bCs/>
          <w:sz w:val="24"/>
          <w:szCs w:val="24"/>
        </w:rPr>
        <w:t>UTR</w:t>
      </w:r>
      <w:r>
        <w:rPr>
          <w:rFonts w:ascii="Times New Roman" w:hAnsi="Times New Roman"/>
          <w:bCs/>
          <w:sz w:val="24"/>
          <w:szCs w:val="24"/>
        </w:rPr>
        <w:t xml:space="preserve"> </w:t>
      </w:r>
      <w:r>
        <w:rPr>
          <w:rFonts w:hint="eastAsia" w:ascii="Times New Roman" w:hAnsi="Times New Roman"/>
          <w:bCs/>
          <w:sz w:val="24"/>
          <w:szCs w:val="24"/>
        </w:rPr>
        <w:t>was mutated, the repression of luciferase activity by miR-30</w:t>
      </w:r>
      <w:r>
        <w:rPr>
          <w:rFonts w:ascii="Times New Roman" w:hAnsi="Times New Roman"/>
          <w:bCs/>
          <w:sz w:val="24"/>
          <w:szCs w:val="24"/>
        </w:rPr>
        <w:t xml:space="preserve">c </w:t>
      </w:r>
      <w:r>
        <w:rPr>
          <w:rFonts w:hint="eastAsia" w:ascii="Times New Roman" w:hAnsi="Times New Roman"/>
          <w:bCs/>
          <w:sz w:val="24"/>
          <w:szCs w:val="24"/>
        </w:rPr>
        <w:t xml:space="preserve">was attenuated in duel-luciferase </w:t>
      </w:r>
      <w:r>
        <w:rPr>
          <w:rFonts w:hint="eastAsia" w:ascii="Times New Roman" w:hAnsi="Times New Roman"/>
          <w:sz w:val="24"/>
          <w:szCs w:val="24"/>
        </w:rPr>
        <w:t>reporter</w:t>
      </w:r>
      <w:r>
        <w:rPr>
          <w:rFonts w:ascii="Times New Roman" w:hAnsi="Times New Roman"/>
          <w:sz w:val="24"/>
          <w:szCs w:val="24"/>
        </w:rPr>
        <w:t xml:space="preserve"> </w:t>
      </w:r>
      <w:r>
        <w:rPr>
          <w:rFonts w:hint="eastAsia" w:ascii="Times New Roman" w:hAnsi="Times New Roman"/>
          <w:bCs/>
          <w:sz w:val="24"/>
          <w:szCs w:val="24"/>
        </w:rPr>
        <w:t>assay</w:t>
      </w:r>
      <w:r>
        <w:rPr>
          <w:rFonts w:ascii="Times New Roman" w:hAnsi="Times New Roman"/>
          <w:bCs/>
          <w:sz w:val="24"/>
          <w:szCs w:val="24"/>
        </w:rPr>
        <w:t xml:space="preserve">. </w:t>
      </w:r>
      <w:r>
        <w:rPr>
          <w:sz w:val="24"/>
          <w:szCs w:val="24"/>
        </w:rPr>
        <w:t>(</w:t>
      </w:r>
      <w:r>
        <w:rPr>
          <w:rFonts w:hint="eastAsia" w:ascii="Times New Roman" w:hAnsi="Times New Roman"/>
          <w:i/>
          <w:iCs/>
          <w:sz w:val="24"/>
          <w:szCs w:val="24"/>
        </w:rPr>
        <w:t>t-test, P &gt; 0.05</w:t>
      </w:r>
      <w:r>
        <w:rPr>
          <w:sz w:val="24"/>
          <w:szCs w:val="24"/>
        </w:rPr>
        <w:t>)</w:t>
      </w:r>
    </w:p>
    <w:p>
      <w:pPr>
        <w:spacing w:line="360" w:lineRule="auto"/>
        <w:rPr>
          <w:sz w:val="24"/>
          <w:szCs w:val="24"/>
        </w:rPr>
      </w:pPr>
      <w:r>
        <w:rPr>
          <w:rFonts w:hint="eastAsia" w:ascii="Times New Roman" w:hAnsi="Times New Roman"/>
          <w:bCs/>
          <w:sz w:val="24"/>
          <w:szCs w:val="24"/>
        </w:rPr>
        <w:t>e</w:t>
      </w:r>
      <w:r>
        <w:rPr>
          <w:rFonts w:ascii="Times New Roman" w:hAnsi="Times New Roman"/>
          <w:bCs/>
          <w:sz w:val="24"/>
          <w:szCs w:val="24"/>
        </w:rPr>
        <w:t xml:space="preserve"> and </w:t>
      </w:r>
      <w:r>
        <w:rPr>
          <w:rFonts w:hint="eastAsia" w:ascii="Times New Roman" w:hAnsi="Times New Roman"/>
          <w:bCs/>
          <w:sz w:val="24"/>
          <w:szCs w:val="24"/>
        </w:rPr>
        <w:t>f</w:t>
      </w:r>
      <w:r>
        <w:rPr>
          <w:rFonts w:ascii="Times New Roman" w:hAnsi="Times New Roman"/>
          <w:bCs/>
          <w:sz w:val="24"/>
          <w:szCs w:val="24"/>
        </w:rPr>
        <w:t>.</w:t>
      </w:r>
      <w:r>
        <w:rPr>
          <w:rFonts w:hint="eastAsia" w:ascii="Times New Roman" w:hAnsi="Times New Roman"/>
          <w:bCs/>
          <w:sz w:val="24"/>
          <w:szCs w:val="24"/>
        </w:rPr>
        <w:t xml:space="preserve"> </w:t>
      </w:r>
      <w:r>
        <w:rPr>
          <w:rFonts w:ascii="Times New Roman" w:hAnsi="Times New Roman"/>
          <w:bCs/>
          <w:sz w:val="24"/>
          <w:szCs w:val="24"/>
        </w:rPr>
        <w:t>W</w:t>
      </w:r>
      <w:r>
        <w:rPr>
          <w:rFonts w:hint="eastAsia" w:ascii="Times New Roman" w:hAnsi="Times New Roman"/>
          <w:bCs/>
          <w:sz w:val="24"/>
          <w:szCs w:val="24"/>
        </w:rPr>
        <w:t>hen the two binding sites of miR-30</w:t>
      </w:r>
      <w:r>
        <w:rPr>
          <w:rFonts w:ascii="Times New Roman" w:hAnsi="Times New Roman"/>
          <w:bCs/>
          <w:sz w:val="24"/>
          <w:szCs w:val="24"/>
        </w:rPr>
        <w:t>c</w:t>
      </w:r>
      <w:r>
        <w:rPr>
          <w:rFonts w:hint="eastAsia" w:ascii="Times New Roman" w:hAnsi="Times New Roman"/>
          <w:bCs/>
          <w:sz w:val="24"/>
          <w:szCs w:val="24"/>
        </w:rPr>
        <w:t xml:space="preserve"> in the p38</w:t>
      </w:r>
      <w:r>
        <w:rPr>
          <w:rFonts w:ascii="Times New Roman" w:hAnsi="Times New Roman"/>
          <w:sz w:val="24"/>
        </w:rPr>
        <w:t xml:space="preserve">δ </w:t>
      </w:r>
      <w:r>
        <w:rPr>
          <w:rFonts w:hint="eastAsia" w:ascii="Times New Roman" w:hAnsi="Times New Roman"/>
          <w:bCs/>
          <w:sz w:val="24"/>
          <w:szCs w:val="24"/>
        </w:rPr>
        <w:t>(MAPK13)</w:t>
      </w:r>
      <w:r>
        <w:rPr>
          <w:rFonts w:ascii="Times New Roman" w:hAnsi="Times New Roman"/>
          <w:bCs/>
          <w:sz w:val="24"/>
          <w:szCs w:val="24"/>
        </w:rPr>
        <w:t>-</w:t>
      </w:r>
      <w:r>
        <w:rPr>
          <w:rFonts w:hint="eastAsia" w:ascii="Times New Roman" w:hAnsi="Times New Roman"/>
          <w:bCs/>
          <w:sz w:val="24"/>
          <w:szCs w:val="24"/>
        </w:rPr>
        <w:t>3</w:t>
      </w:r>
      <w:r>
        <w:rPr>
          <w:rFonts w:ascii="Times New Roman" w:hAnsi="Times New Roman"/>
          <w:bCs/>
          <w:sz w:val="24"/>
          <w:szCs w:val="24"/>
        </w:rPr>
        <w:t>’</w:t>
      </w:r>
      <w:r>
        <w:rPr>
          <w:rFonts w:hint="eastAsia" w:ascii="Times New Roman" w:hAnsi="Times New Roman"/>
          <w:bCs/>
          <w:sz w:val="24"/>
          <w:szCs w:val="24"/>
        </w:rPr>
        <w:t>UTR were mutated respectively, no significant influence on the luciferase activity was detected between the cells transfected with miR-30</w:t>
      </w:r>
      <w:r>
        <w:rPr>
          <w:rFonts w:ascii="Times New Roman" w:hAnsi="Times New Roman"/>
          <w:bCs/>
          <w:sz w:val="24"/>
          <w:szCs w:val="24"/>
        </w:rPr>
        <w:t>c</w:t>
      </w:r>
      <w:r>
        <w:rPr>
          <w:rFonts w:hint="eastAsia" w:ascii="Times New Roman" w:hAnsi="Times New Roman"/>
          <w:bCs/>
          <w:sz w:val="24"/>
          <w:szCs w:val="24"/>
        </w:rPr>
        <w:t xml:space="preserve"> and the cells of negative control group (e and f). </w:t>
      </w:r>
      <w:r>
        <w:rPr>
          <w:sz w:val="24"/>
          <w:szCs w:val="24"/>
        </w:rPr>
        <w:t>(</w:t>
      </w:r>
      <w:r>
        <w:rPr>
          <w:rFonts w:hint="eastAsia" w:ascii="Times New Roman" w:hAnsi="Times New Roman"/>
          <w:i/>
          <w:iCs/>
          <w:sz w:val="24"/>
          <w:szCs w:val="24"/>
        </w:rPr>
        <w:t>t-test, P &gt; 0.05</w:t>
      </w:r>
      <w:r>
        <w:rPr>
          <w:sz w:val="24"/>
          <w:szCs w:val="24"/>
        </w:rPr>
        <w:t>)</w:t>
      </w:r>
      <w:r>
        <w:rPr>
          <w:rFonts w:hint="eastAsia"/>
          <w:sz w:val="24"/>
          <w:szCs w:val="24"/>
        </w:rPr>
        <w:t>.</w:t>
      </w:r>
    </w:p>
    <w:p>
      <w:pPr>
        <w:spacing w:line="360" w:lineRule="auto"/>
        <w:rPr>
          <w:sz w:val="24"/>
          <w:szCs w:val="24"/>
        </w:rPr>
      </w:pPr>
    </w:p>
    <w:p>
      <w:pPr>
        <w:spacing w:line="360" w:lineRule="auto"/>
        <w:rPr>
          <w:sz w:val="24"/>
          <w:szCs w:val="24"/>
        </w:rPr>
      </w:pPr>
    </w:p>
    <w:p>
      <w:pPr>
        <w:rPr>
          <w:rFonts w:hint="eastAsia" w:eastAsia="宋体"/>
          <w:lang w:eastAsia="zh-CN"/>
        </w:rPr>
      </w:pPr>
      <w:r>
        <w:rPr>
          <w:rFonts w:ascii="Times New Roman" w:hAnsi="Times New Roman"/>
          <w:b/>
          <w:sz w:val="24"/>
        </w:rPr>
        <w:t>Additional file</w:t>
      </w:r>
      <w:r>
        <w:rPr>
          <w:rFonts w:ascii="Times New Roman" w:hAnsi="Times New Roman"/>
          <w:b/>
          <w:sz w:val="24"/>
          <w:szCs w:val="24"/>
        </w:rPr>
        <w:t>,</w:t>
      </w:r>
      <w:r>
        <w:rPr>
          <w:rFonts w:hint="eastAsia" w:ascii="Times New Roman" w:hAnsi="Times New Roman"/>
          <w:b/>
          <w:sz w:val="24"/>
          <w:szCs w:val="24"/>
        </w:rPr>
        <w:t xml:space="preserve"> Figure S</w:t>
      </w:r>
      <w:r>
        <w:rPr>
          <w:rFonts w:hint="eastAsia" w:ascii="Times New Roman" w:hAnsi="Times New Roman"/>
          <w:b/>
          <w:color w:val="FF0000"/>
          <w:sz w:val="24"/>
          <w:szCs w:val="24"/>
          <w:lang w:val="en-US" w:eastAsia="zh-CN"/>
        </w:rPr>
        <w:t>8</w:t>
      </w:r>
    </w:p>
    <w:p>
      <w:pPr>
        <w:spacing w:line="360" w:lineRule="auto"/>
        <w:rPr>
          <w:sz w:val="24"/>
          <w:szCs w:val="24"/>
        </w:rPr>
      </w:pPr>
    </w:p>
    <w:p>
      <w:pPr>
        <w:spacing w:line="360" w:lineRule="auto"/>
        <w:rPr>
          <w:rFonts w:ascii="Times New Roman" w:hAnsi="Times New Roman"/>
          <w:bCs/>
          <w:sz w:val="24"/>
          <w:szCs w:val="24"/>
        </w:rPr>
      </w:pPr>
      <w:r>
        <w:rPr>
          <w:rFonts w:ascii="Times New Roman" w:hAnsi="Times New Roman"/>
          <w:bCs/>
          <w:sz w:val="24"/>
          <w:szCs w:val="24"/>
        </w:rPr>
        <w:drawing>
          <wp:inline distT="0" distB="0" distL="0" distR="0">
            <wp:extent cx="4899660" cy="2992120"/>
            <wp:effectExtent l="0" t="0" r="0" b="0"/>
            <wp:docPr id="21" name="图片 21" descr="D:\学习\基因芯片资料\GAGE12I-SPIN4\GAGE12I论文资料\论文稿件\改为GAGE7b\补充部分实验后\J EXP CLIN CANC RES\修改后图片\S Figur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学习\基因芯片资料\GAGE12I-SPIN4\GAGE12I论文资料\论文稿件\改为GAGE7b\补充部分实验后\J EXP CLIN CANC RES\修改后图片\S Figure 1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903901" cy="2995086"/>
                    </a:xfrm>
                    <a:prstGeom prst="rect">
                      <a:avLst/>
                    </a:prstGeom>
                    <a:noFill/>
                    <a:ln>
                      <a:noFill/>
                    </a:ln>
                  </pic:spPr>
                </pic:pic>
              </a:graphicData>
            </a:graphic>
          </wp:inline>
        </w:drawing>
      </w:r>
    </w:p>
    <w:p>
      <w:pPr>
        <w:spacing w:line="360" w:lineRule="auto"/>
        <w:rPr>
          <w:rFonts w:ascii="Times New Roman" w:hAnsi="Times New Roman"/>
          <w:b/>
          <w:sz w:val="24"/>
          <w:szCs w:val="24"/>
        </w:rPr>
      </w:pPr>
      <w:r>
        <w:rPr>
          <w:rFonts w:ascii="Times New Roman" w:hAnsi="Times New Roman"/>
          <w:b/>
          <w:sz w:val="24"/>
          <w:szCs w:val="24"/>
        </w:rPr>
        <w:t>Additional file,</w:t>
      </w:r>
      <w:r>
        <w:rPr>
          <w:rFonts w:hint="eastAsia" w:ascii="Times New Roman" w:hAnsi="Times New Roman"/>
          <w:b/>
          <w:sz w:val="24"/>
          <w:szCs w:val="24"/>
        </w:rPr>
        <w:t xml:space="preserve"> Figure S</w:t>
      </w:r>
      <w:r>
        <w:rPr>
          <w:rFonts w:hint="eastAsia" w:ascii="Times New Roman" w:hAnsi="Times New Roman"/>
          <w:b/>
          <w:color w:val="FF0000"/>
          <w:sz w:val="24"/>
          <w:szCs w:val="24"/>
          <w:lang w:val="en-US" w:eastAsia="zh-CN"/>
        </w:rPr>
        <w:t>8</w:t>
      </w:r>
      <w:r>
        <w:rPr>
          <w:rFonts w:ascii="Times New Roman" w:hAnsi="Times New Roman"/>
          <w:b/>
          <w:sz w:val="24"/>
          <w:szCs w:val="24"/>
        </w:rPr>
        <w:t xml:space="preserve">. The expression of miR-30C was </w:t>
      </w:r>
      <w:r>
        <w:rPr>
          <w:rFonts w:hint="eastAsia" w:ascii="Times New Roman" w:hAnsi="Times New Roman"/>
          <w:b/>
          <w:sz w:val="24"/>
          <w:szCs w:val="24"/>
        </w:rPr>
        <w:t xml:space="preserve">successfully </w:t>
      </w:r>
      <w:r>
        <w:rPr>
          <w:rFonts w:ascii="Times New Roman" w:hAnsi="Times New Roman"/>
          <w:b/>
          <w:sz w:val="24"/>
          <w:szCs w:val="24"/>
        </w:rPr>
        <w:t>overexpressed and inhibited respectively in MKN45 and BGC823 cells.</w:t>
      </w:r>
    </w:p>
    <w:p>
      <w:pPr>
        <w:spacing w:line="360" w:lineRule="auto"/>
        <w:rPr>
          <w:rFonts w:ascii="Times New Roman" w:hAnsi="Times New Roman"/>
          <w:bCs/>
          <w:sz w:val="24"/>
          <w:szCs w:val="24"/>
        </w:rPr>
      </w:pPr>
      <w:r>
        <w:rPr>
          <w:rFonts w:ascii="Times New Roman" w:hAnsi="Times New Roman"/>
          <w:bCs/>
          <w:sz w:val="24"/>
          <w:szCs w:val="24"/>
        </w:rPr>
        <w:t xml:space="preserve">a and b. The expressions of miR-30c-1-3p and miR-30c-2-3p in AGS and BGC823 cells were examined 24, 48 and 72 hours after the transfection, the results indicated that miR-30c-1-3p and miR-30c-2-3p were successfully overexpressed in gastric cancer cells. </w:t>
      </w:r>
    </w:p>
    <w:p>
      <w:pPr>
        <w:spacing w:line="360" w:lineRule="auto"/>
        <w:rPr>
          <w:rFonts w:ascii="Times New Roman" w:hAnsi="Times New Roman"/>
          <w:bCs/>
          <w:sz w:val="24"/>
          <w:szCs w:val="24"/>
        </w:rPr>
      </w:pPr>
      <w:r>
        <w:rPr>
          <w:rFonts w:ascii="Times New Roman" w:hAnsi="Times New Roman"/>
          <w:bCs/>
          <w:sz w:val="24"/>
          <w:szCs w:val="24"/>
        </w:rPr>
        <w:t>c and d. The expressions of miR-30c-1-3p and miR-30c-2-3p in MKN45 and BGC823 cells were dramatically downregulated, 24, 48 and 72 hours after the transfection of miR-30c inhibitors.</w:t>
      </w:r>
    </w:p>
    <w:p>
      <w:pPr>
        <w:spacing w:line="360" w:lineRule="auto"/>
        <w:rPr>
          <w:rFonts w:ascii="Times New Roman" w:hAnsi="Times New Roman"/>
          <w:bCs/>
          <w:sz w:val="24"/>
          <w:szCs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pPr>
        <w:rPr>
          <w:rFonts w:ascii="Times New Roman" w:hAnsi="Times New Roman"/>
          <w:b/>
          <w:sz w:val="24"/>
        </w:rPr>
      </w:pPr>
    </w:p>
    <w:p>
      <w:r>
        <w:rPr>
          <w:rFonts w:ascii="Times New Roman" w:hAnsi="Times New Roman"/>
          <w:b/>
          <w:sz w:val="24"/>
        </w:rPr>
        <w:t>Additional file</w:t>
      </w:r>
      <w:r>
        <w:rPr>
          <w:rFonts w:ascii="Times New Roman" w:hAnsi="Times New Roman"/>
          <w:b/>
          <w:sz w:val="24"/>
          <w:szCs w:val="24"/>
        </w:rPr>
        <w:t>,</w:t>
      </w:r>
      <w:r>
        <w:rPr>
          <w:rFonts w:hint="eastAsia" w:ascii="Times New Roman" w:hAnsi="Times New Roman"/>
          <w:b/>
          <w:sz w:val="24"/>
          <w:szCs w:val="24"/>
        </w:rPr>
        <w:t xml:space="preserve"> Figure S</w:t>
      </w:r>
      <w:r>
        <w:rPr>
          <w:rFonts w:hint="eastAsia" w:ascii="Times New Roman" w:hAnsi="Times New Roman"/>
          <w:b/>
          <w:color w:val="FF0000"/>
          <w:sz w:val="24"/>
          <w:szCs w:val="24"/>
          <w:lang w:val="en-US" w:eastAsia="zh-CN"/>
        </w:rPr>
        <w:t>9</w:t>
      </w:r>
      <w:r>
        <w:rPr>
          <w:rFonts w:ascii="Times New Roman" w:hAnsi="Times New Roman"/>
          <w:b/>
          <w:sz w:val="24"/>
          <w:szCs w:val="24"/>
        </w:rPr>
        <w:t>.</w:t>
      </w:r>
    </w:p>
    <w:p>
      <w:pPr>
        <w:spacing w:line="360" w:lineRule="auto"/>
        <w:rPr>
          <w:rFonts w:ascii="Times New Roman" w:hAnsi="Times New Roman"/>
          <w:b/>
          <w:sz w:val="24"/>
          <w:szCs w:val="24"/>
        </w:rPr>
      </w:pPr>
      <w:r>
        <w:rPr>
          <w:rFonts w:ascii="Times New Roman" w:hAnsi="Times New Roman"/>
          <w:b/>
          <w:sz w:val="24"/>
          <w:szCs w:val="24"/>
        </w:rPr>
        <w:drawing>
          <wp:inline distT="0" distB="0" distL="0" distR="0">
            <wp:extent cx="5324475" cy="6040755"/>
            <wp:effectExtent l="0" t="0" r="0" b="0"/>
            <wp:docPr id="22" name="图片 22" descr="D:\学习\基因芯片资料\GAGE12I-SPIN4\GAGE12I论文资料\论文稿件\改为GAGE7b\补充部分实验后\J EXP CLIN CANC RES\修改后图片\S Figure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D:\学习\基因芯片资料\GAGE12I-SPIN4\GAGE12I论文资料\论文稿件\改为GAGE7b\补充部分实验后\J EXP CLIN CANC RES\修改后图片\S Figure 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324475" cy="6040772"/>
                    </a:xfrm>
                    <a:prstGeom prst="rect">
                      <a:avLst/>
                    </a:prstGeom>
                    <a:noFill/>
                    <a:ln>
                      <a:noFill/>
                    </a:ln>
                  </pic:spPr>
                </pic:pic>
              </a:graphicData>
            </a:graphic>
          </wp:inline>
        </w:drawing>
      </w:r>
    </w:p>
    <w:p>
      <w:pPr>
        <w:spacing w:line="360" w:lineRule="auto"/>
        <w:rPr>
          <w:rFonts w:ascii="Times New Roman" w:hAnsi="Times New Roman"/>
          <w:b/>
          <w:sz w:val="24"/>
          <w:szCs w:val="24"/>
        </w:rPr>
      </w:pPr>
      <w:bookmarkStart w:id="0" w:name="OLE_LINK1"/>
      <w:r>
        <w:rPr>
          <w:rFonts w:ascii="Times New Roman" w:hAnsi="Times New Roman"/>
          <w:b/>
          <w:sz w:val="24"/>
        </w:rPr>
        <w:t>Additional file</w:t>
      </w:r>
      <w:r>
        <w:rPr>
          <w:rFonts w:ascii="Times New Roman" w:hAnsi="Times New Roman"/>
          <w:b/>
          <w:sz w:val="24"/>
          <w:szCs w:val="24"/>
        </w:rPr>
        <w:t xml:space="preserve">, </w:t>
      </w:r>
      <w:bookmarkEnd w:id="0"/>
      <w:r>
        <w:rPr>
          <w:rFonts w:hint="eastAsia" w:ascii="Times New Roman" w:hAnsi="Times New Roman"/>
          <w:b/>
          <w:sz w:val="24"/>
          <w:szCs w:val="24"/>
        </w:rPr>
        <w:t>Figure S</w:t>
      </w:r>
      <w:r>
        <w:rPr>
          <w:rFonts w:hint="eastAsia" w:ascii="Times New Roman" w:hAnsi="Times New Roman"/>
          <w:b/>
          <w:color w:val="FF0000"/>
          <w:sz w:val="24"/>
          <w:szCs w:val="24"/>
          <w:lang w:val="en-US" w:eastAsia="zh-CN"/>
        </w:rPr>
        <w:t>9</w:t>
      </w:r>
      <w:r>
        <w:rPr>
          <w:rFonts w:ascii="Times New Roman" w:hAnsi="Times New Roman"/>
          <w:b/>
          <w:sz w:val="24"/>
          <w:szCs w:val="24"/>
        </w:rPr>
        <w:t>.</w:t>
      </w:r>
      <w:r>
        <w:rPr>
          <w:rFonts w:hint="eastAsia" w:ascii="Times New Roman" w:hAnsi="Times New Roman"/>
          <w:b/>
          <w:sz w:val="24"/>
          <w:szCs w:val="24"/>
        </w:rPr>
        <w:t xml:space="preserve"> The proliferation ability of gastric cancer cells could not be affected </w:t>
      </w:r>
      <w:r>
        <w:rPr>
          <w:rFonts w:ascii="Times New Roman" w:hAnsi="Times New Roman"/>
          <w:b/>
          <w:sz w:val="24"/>
          <w:szCs w:val="24"/>
        </w:rPr>
        <w:t>upon</w:t>
      </w:r>
      <w:r>
        <w:rPr>
          <w:rFonts w:hint="eastAsia" w:ascii="Times New Roman" w:hAnsi="Times New Roman"/>
          <w:b/>
          <w:sz w:val="24"/>
          <w:szCs w:val="24"/>
        </w:rPr>
        <w:t xml:space="preserve"> miR-30C</w:t>
      </w:r>
      <w:r>
        <w:rPr>
          <w:rFonts w:ascii="Times New Roman" w:hAnsi="Times New Roman"/>
          <w:b/>
          <w:sz w:val="24"/>
          <w:szCs w:val="24"/>
        </w:rPr>
        <w:t xml:space="preserve"> overexpression</w:t>
      </w:r>
      <w:r>
        <w:rPr>
          <w:rFonts w:hint="eastAsia" w:ascii="Times New Roman" w:hAnsi="Times New Roman"/>
          <w:b/>
          <w:sz w:val="24"/>
          <w:szCs w:val="24"/>
        </w:rPr>
        <w:t xml:space="preserve"> in </w:t>
      </w:r>
      <w:r>
        <w:rPr>
          <w:rFonts w:hint="eastAsia" w:ascii="Times New Roman" w:hAnsi="Times New Roman"/>
          <w:b/>
          <w:i/>
          <w:iCs/>
          <w:sz w:val="24"/>
          <w:szCs w:val="24"/>
        </w:rPr>
        <w:t>vitro</w:t>
      </w:r>
      <w:r>
        <w:rPr>
          <w:rFonts w:hint="eastAsia" w:ascii="Times New Roman" w:hAnsi="Times New Roman"/>
          <w:b/>
          <w:sz w:val="24"/>
          <w:szCs w:val="24"/>
        </w:rPr>
        <w:t xml:space="preserve">. </w:t>
      </w:r>
    </w:p>
    <w:p>
      <w:pPr>
        <w:spacing w:line="360" w:lineRule="auto"/>
        <w:rPr>
          <w:sz w:val="24"/>
          <w:szCs w:val="24"/>
        </w:rPr>
      </w:pPr>
      <w:r>
        <w:rPr>
          <w:rFonts w:hint="eastAsia" w:ascii="Times New Roman" w:hAnsi="Times New Roman"/>
          <w:bCs/>
          <w:sz w:val="24"/>
          <w:szCs w:val="24"/>
        </w:rPr>
        <w:t xml:space="preserve">The proliferation and apoptosis ability of MKN45 and BGC823 cells was investigated </w:t>
      </w:r>
      <w:r>
        <w:rPr>
          <w:rFonts w:ascii="Times New Roman" w:hAnsi="Times New Roman"/>
          <w:bCs/>
          <w:sz w:val="24"/>
          <w:szCs w:val="24"/>
        </w:rPr>
        <w:t>upon</w:t>
      </w:r>
      <w:r>
        <w:rPr>
          <w:rFonts w:hint="eastAsia" w:ascii="Times New Roman" w:hAnsi="Times New Roman"/>
          <w:bCs/>
          <w:sz w:val="24"/>
          <w:szCs w:val="24"/>
        </w:rPr>
        <w:t xml:space="preserve"> overexpression of miR-30</w:t>
      </w:r>
      <w:r>
        <w:rPr>
          <w:rFonts w:ascii="Times New Roman" w:hAnsi="Times New Roman"/>
          <w:bCs/>
          <w:sz w:val="24"/>
          <w:szCs w:val="24"/>
        </w:rPr>
        <w:t>c</w:t>
      </w:r>
      <w:r>
        <w:rPr>
          <w:rFonts w:hint="eastAsia" w:ascii="Times New Roman" w:hAnsi="Times New Roman"/>
          <w:bCs/>
          <w:sz w:val="24"/>
          <w:szCs w:val="24"/>
        </w:rPr>
        <w:t>-1-3p and miR-30</w:t>
      </w:r>
      <w:r>
        <w:rPr>
          <w:rFonts w:ascii="Times New Roman" w:hAnsi="Times New Roman"/>
          <w:bCs/>
          <w:sz w:val="24"/>
          <w:szCs w:val="24"/>
        </w:rPr>
        <w:t>c</w:t>
      </w:r>
      <w:r>
        <w:rPr>
          <w:rFonts w:hint="eastAsia" w:ascii="Times New Roman" w:hAnsi="Times New Roman"/>
          <w:bCs/>
          <w:sz w:val="24"/>
          <w:szCs w:val="24"/>
        </w:rPr>
        <w:t xml:space="preserve">-2-3p. The results suggested that </w:t>
      </w:r>
      <w:r>
        <w:rPr>
          <w:rFonts w:ascii="Times New Roman" w:hAnsi="Times New Roman"/>
          <w:bCs/>
          <w:sz w:val="24"/>
          <w:szCs w:val="24"/>
        </w:rPr>
        <w:t xml:space="preserve">the </w:t>
      </w:r>
      <w:r>
        <w:rPr>
          <w:rFonts w:hint="eastAsia" w:ascii="Times New Roman" w:hAnsi="Times New Roman"/>
          <w:bCs/>
          <w:sz w:val="24"/>
          <w:szCs w:val="24"/>
        </w:rPr>
        <w:t>proliferation and apoptosis ability of MKN45 and BGC823 cells could not be affected by miR-30</w:t>
      </w:r>
      <w:r>
        <w:rPr>
          <w:rFonts w:ascii="Times New Roman" w:hAnsi="Times New Roman"/>
          <w:bCs/>
          <w:sz w:val="24"/>
          <w:szCs w:val="24"/>
        </w:rPr>
        <w:t>c</w:t>
      </w:r>
      <w:r>
        <w:rPr>
          <w:rFonts w:hint="eastAsia" w:ascii="Times New Roman" w:hAnsi="Times New Roman"/>
          <w:bCs/>
          <w:sz w:val="24"/>
          <w:szCs w:val="24"/>
        </w:rPr>
        <w:t>-1-3p and miR-30</w:t>
      </w:r>
      <w:r>
        <w:rPr>
          <w:rFonts w:ascii="Times New Roman" w:hAnsi="Times New Roman"/>
          <w:bCs/>
          <w:sz w:val="24"/>
          <w:szCs w:val="24"/>
        </w:rPr>
        <w:t>c</w:t>
      </w:r>
      <w:r>
        <w:rPr>
          <w:rFonts w:hint="eastAsia" w:ascii="Times New Roman" w:hAnsi="Times New Roman"/>
          <w:bCs/>
          <w:sz w:val="24"/>
          <w:szCs w:val="24"/>
        </w:rPr>
        <w:t xml:space="preserve">-2-3p in EDU (a and b), MTS (c and d) and </w:t>
      </w:r>
      <w:r>
        <w:rPr>
          <w:rFonts w:hint="eastAsia" w:ascii="Times New Roman" w:hAnsi="Times New Roman"/>
          <w:sz w:val="24"/>
          <w:szCs w:val="24"/>
        </w:rPr>
        <w:t xml:space="preserve">flow cytometry </w:t>
      </w:r>
      <w:r>
        <w:rPr>
          <w:rFonts w:hint="eastAsia" w:ascii="Times New Roman" w:hAnsi="Times New Roman"/>
          <w:bCs/>
          <w:sz w:val="24"/>
          <w:szCs w:val="24"/>
        </w:rPr>
        <w:t>(e )</w:t>
      </w:r>
      <w:r>
        <w:rPr>
          <w:rFonts w:ascii="Times New Roman" w:hAnsi="Times New Roman"/>
          <w:bCs/>
          <w:sz w:val="24"/>
          <w:szCs w:val="24"/>
        </w:rPr>
        <w:t xml:space="preserve"> </w:t>
      </w:r>
      <w:r>
        <w:rPr>
          <w:rFonts w:hint="eastAsia" w:ascii="Times New Roman" w:hAnsi="Times New Roman"/>
          <w:sz w:val="24"/>
          <w:szCs w:val="24"/>
        </w:rPr>
        <w:t>assays</w:t>
      </w:r>
      <w:r>
        <w:rPr>
          <w:rFonts w:hint="eastAsia" w:ascii="Times New Roman" w:hAnsi="Times New Roman"/>
          <w:bCs/>
          <w:sz w:val="24"/>
          <w:szCs w:val="24"/>
        </w:rPr>
        <w:t xml:space="preserve">. </w:t>
      </w:r>
      <w:r>
        <w:rPr>
          <w:sz w:val="24"/>
          <w:szCs w:val="24"/>
        </w:rPr>
        <w:t>(</w:t>
      </w:r>
      <w:r>
        <w:rPr>
          <w:rFonts w:hint="eastAsia" w:ascii="Times New Roman" w:hAnsi="Times New Roman"/>
          <w:i/>
          <w:iCs/>
          <w:sz w:val="24"/>
          <w:szCs w:val="24"/>
        </w:rPr>
        <w:t>t-test, P &gt; 0.05</w:t>
      </w:r>
      <w:r>
        <w:rPr>
          <w:sz w:val="24"/>
          <w:szCs w:val="24"/>
        </w:rPr>
        <w:t>)</w:t>
      </w:r>
      <w:r>
        <w:rPr>
          <w:rFonts w:hint="eastAsia"/>
          <w:sz w:val="24"/>
          <w:szCs w:val="24"/>
        </w:rPr>
        <w:t>.</w:t>
      </w:r>
    </w:p>
    <w:p>
      <w:pPr>
        <w:rPr>
          <w:sz w:val="24"/>
          <w:szCs w:val="24"/>
        </w:rPr>
      </w:pPr>
    </w:p>
    <w:p>
      <w:pPr>
        <w:rPr>
          <w:rFonts w:ascii="Times New Roman" w:hAnsi="Times New Roman"/>
          <w:b/>
          <w:sz w:val="24"/>
          <w:szCs w:val="24"/>
        </w:rPr>
      </w:pPr>
    </w:p>
    <w:p>
      <w:pPr>
        <w:rPr>
          <w:rFonts w:ascii="Times New Roman" w:hAnsi="Times New Roman"/>
          <w:b/>
          <w:sz w:val="24"/>
          <w:szCs w:val="24"/>
        </w:rPr>
      </w:pPr>
    </w:p>
    <w:p>
      <w:pPr>
        <w:rPr>
          <w:rFonts w:hint="default" w:eastAsia="宋体"/>
          <w:lang w:val="en-US" w:eastAsia="zh-CN"/>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Figure</w:t>
      </w:r>
      <w:r>
        <w:rPr>
          <w:rFonts w:ascii="Times New Roman" w:hAnsi="Times New Roman"/>
          <w:b/>
          <w:sz w:val="24"/>
          <w:szCs w:val="24"/>
        </w:rPr>
        <w:t xml:space="preserve"> S</w:t>
      </w:r>
      <w:r>
        <w:rPr>
          <w:rFonts w:hint="eastAsia" w:ascii="Times New Roman" w:hAnsi="Times New Roman"/>
          <w:b/>
          <w:color w:val="FF0000"/>
          <w:sz w:val="24"/>
          <w:szCs w:val="24"/>
          <w:lang w:val="en-US" w:eastAsia="zh-CN"/>
        </w:rPr>
        <w:t>10</w:t>
      </w:r>
    </w:p>
    <w:p>
      <w:r>
        <w:drawing>
          <wp:inline distT="0" distB="0" distL="0" distR="0">
            <wp:extent cx="5310505" cy="3686175"/>
            <wp:effectExtent l="0" t="0" r="4445" b="9525"/>
            <wp:docPr id="20" name="图片 20" descr="D:\学习\基因芯片资料\GAGE12I-SPIN4\GAGE12I论文资料\论文稿件\改为GAGE7b\补充部分实验后\J EXP CLIN CANC RES\修改后图片\30c-E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学习\基因芯片资料\GAGE12I-SPIN4\GAGE12I论文资料\论文稿件\改为GAGE7b\补充部分实验后\J EXP CLIN CANC RES\修改后图片\30c-EDU.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310505" cy="3686175"/>
                    </a:xfrm>
                    <a:prstGeom prst="rect">
                      <a:avLst/>
                    </a:prstGeom>
                    <a:noFill/>
                    <a:ln>
                      <a:noFill/>
                    </a:ln>
                  </pic:spPr>
                </pic:pic>
              </a:graphicData>
            </a:graphic>
          </wp:inline>
        </w:drawing>
      </w:r>
    </w:p>
    <w:p/>
    <w:p>
      <w:pPr>
        <w:spacing w:line="360" w:lineRule="auto"/>
        <w:rPr>
          <w:rFonts w:ascii="Times New Roman" w:hAnsi="Times New Roman"/>
          <w:b/>
          <w:sz w:val="24"/>
          <w:szCs w:val="24"/>
        </w:rPr>
      </w:pPr>
      <w:r>
        <w:rPr>
          <w:rFonts w:ascii="Times New Roman" w:hAnsi="Times New Roman"/>
          <w:b/>
          <w:sz w:val="24"/>
        </w:rPr>
        <w:t>Additional file</w:t>
      </w:r>
      <w:r>
        <w:rPr>
          <w:rFonts w:ascii="Times New Roman" w:hAnsi="Times New Roman"/>
          <w:b/>
          <w:sz w:val="24"/>
          <w:szCs w:val="24"/>
        </w:rPr>
        <w:t xml:space="preserve">, </w:t>
      </w:r>
      <w:r>
        <w:rPr>
          <w:rFonts w:hint="eastAsia" w:ascii="Times New Roman" w:hAnsi="Times New Roman"/>
          <w:b/>
          <w:sz w:val="24"/>
          <w:szCs w:val="24"/>
        </w:rPr>
        <w:t xml:space="preserve">Figure </w:t>
      </w:r>
      <w:r>
        <w:rPr>
          <w:rFonts w:ascii="Times New Roman" w:hAnsi="Times New Roman"/>
          <w:b/>
          <w:sz w:val="24"/>
          <w:szCs w:val="24"/>
        </w:rPr>
        <w:t>S</w:t>
      </w:r>
      <w:r>
        <w:rPr>
          <w:rFonts w:hint="eastAsia" w:ascii="Times New Roman" w:hAnsi="Times New Roman"/>
          <w:b/>
          <w:color w:val="FF0000"/>
          <w:sz w:val="24"/>
          <w:szCs w:val="24"/>
          <w:lang w:val="en-US" w:eastAsia="zh-CN"/>
        </w:rPr>
        <w:t>10</w:t>
      </w:r>
      <w:r>
        <w:rPr>
          <w:rFonts w:ascii="Times New Roman" w:hAnsi="Times New Roman"/>
          <w:b/>
          <w:sz w:val="24"/>
          <w:szCs w:val="24"/>
        </w:rPr>
        <w:t>.</w:t>
      </w:r>
      <w:r>
        <w:rPr>
          <w:rFonts w:hint="eastAsia" w:ascii="Times New Roman" w:hAnsi="Times New Roman"/>
          <w:b/>
          <w:sz w:val="24"/>
          <w:szCs w:val="24"/>
        </w:rPr>
        <w:t xml:space="preserve"> The proliferation ability of gastric cancer cells could not be influenced </w:t>
      </w:r>
      <w:r>
        <w:rPr>
          <w:rFonts w:ascii="Times New Roman" w:hAnsi="Times New Roman"/>
          <w:b/>
          <w:sz w:val="24"/>
          <w:szCs w:val="24"/>
        </w:rPr>
        <w:t>upon</w:t>
      </w:r>
      <w:r>
        <w:rPr>
          <w:rFonts w:hint="eastAsia" w:ascii="Times New Roman" w:hAnsi="Times New Roman"/>
          <w:b/>
          <w:sz w:val="24"/>
          <w:szCs w:val="24"/>
        </w:rPr>
        <w:t xml:space="preserve"> miR-30</w:t>
      </w:r>
      <w:r>
        <w:rPr>
          <w:rFonts w:ascii="Times New Roman" w:hAnsi="Times New Roman"/>
          <w:b/>
          <w:sz w:val="24"/>
          <w:szCs w:val="24"/>
        </w:rPr>
        <w:t>c</w:t>
      </w:r>
      <w:r>
        <w:rPr>
          <w:rFonts w:hint="eastAsia" w:ascii="Times New Roman" w:hAnsi="Times New Roman"/>
          <w:b/>
          <w:sz w:val="24"/>
          <w:szCs w:val="24"/>
        </w:rPr>
        <w:t xml:space="preserve"> downregulat</w:t>
      </w:r>
      <w:r>
        <w:rPr>
          <w:rFonts w:ascii="Times New Roman" w:hAnsi="Times New Roman"/>
          <w:b/>
          <w:sz w:val="24"/>
          <w:szCs w:val="24"/>
        </w:rPr>
        <w:t>ion</w:t>
      </w:r>
      <w:r>
        <w:rPr>
          <w:rFonts w:hint="eastAsia" w:ascii="Times New Roman" w:hAnsi="Times New Roman"/>
          <w:b/>
          <w:sz w:val="24"/>
          <w:szCs w:val="24"/>
        </w:rPr>
        <w:t xml:space="preserve"> in </w:t>
      </w:r>
      <w:r>
        <w:rPr>
          <w:rFonts w:hint="eastAsia" w:ascii="Times New Roman" w:hAnsi="Times New Roman"/>
          <w:b/>
          <w:i/>
          <w:iCs/>
          <w:sz w:val="24"/>
          <w:szCs w:val="24"/>
        </w:rPr>
        <w:t>vitro</w:t>
      </w:r>
      <w:r>
        <w:rPr>
          <w:rFonts w:hint="eastAsia" w:ascii="Times New Roman" w:hAnsi="Times New Roman"/>
          <w:b/>
          <w:sz w:val="24"/>
          <w:szCs w:val="24"/>
        </w:rPr>
        <w:t xml:space="preserve">. </w:t>
      </w:r>
    </w:p>
    <w:p>
      <w:pPr>
        <w:spacing w:line="360" w:lineRule="auto"/>
        <w:rPr>
          <w:rFonts w:ascii="Times New Roman" w:hAnsi="Times New Roman"/>
          <w:sz w:val="24"/>
          <w:szCs w:val="24"/>
        </w:rPr>
      </w:pPr>
      <w:r>
        <w:rPr>
          <w:rFonts w:ascii="Times New Roman" w:hAnsi="Times New Roman"/>
          <w:sz w:val="24"/>
          <w:szCs w:val="24"/>
        </w:rPr>
        <w:t>a and b. Knockdown of miR-30c-1-3p and miR-30c-2-3p did not affect the proliferation ability of MKN45 (a) and BGC823 (b) cells significantly, compared with th</w:t>
      </w:r>
      <w:r>
        <w:rPr>
          <w:rFonts w:hint="eastAsia" w:ascii="Times New Roman" w:hAnsi="Times New Roman"/>
          <w:sz w:val="24"/>
          <w:szCs w:val="24"/>
        </w:rPr>
        <w:t>at in</w:t>
      </w:r>
      <w:r>
        <w:rPr>
          <w:rFonts w:ascii="Times New Roman" w:hAnsi="Times New Roman"/>
          <w:sz w:val="24"/>
          <w:szCs w:val="24"/>
        </w:rPr>
        <w:t xml:space="preserve"> negative control group. (</w:t>
      </w:r>
      <w:r>
        <w:rPr>
          <w:rFonts w:ascii="Times New Roman" w:hAnsi="Times New Roman"/>
          <w:i/>
          <w:sz w:val="24"/>
          <w:szCs w:val="24"/>
        </w:rPr>
        <w:t>t-test, P &gt; 0.05</w:t>
      </w:r>
      <w:r>
        <w:rPr>
          <w:rFonts w:ascii="Times New Roman" w:hAnsi="Times New Roman"/>
          <w:sz w:val="24"/>
          <w:szCs w:val="24"/>
        </w:rPr>
        <w:t>).</w:t>
      </w:r>
    </w:p>
    <w:p>
      <w:pPr>
        <w:spacing w:line="360" w:lineRule="auto"/>
        <w:ind w:firstLine="105" w:firstLineChars="50"/>
        <w:rPr>
          <w:rFonts w:ascii="Times New Roman" w:hAnsi="Times New Roman"/>
          <w:bCs/>
          <w:sz w:val="24"/>
          <w:szCs w:val="24"/>
        </w:rPr>
      </w:pPr>
      <w:r>
        <w:t>c-f</w:t>
      </w:r>
      <w:r>
        <w:rPr>
          <w:rFonts w:ascii="Times New Roman" w:hAnsi="Times New Roman"/>
          <w:bCs/>
          <w:sz w:val="24"/>
          <w:szCs w:val="24"/>
        </w:rPr>
        <w:t>. Upon</w:t>
      </w:r>
      <w:r>
        <w:rPr>
          <w:rFonts w:hint="eastAsia" w:ascii="Times New Roman" w:hAnsi="Times New Roman"/>
          <w:bCs/>
          <w:sz w:val="24"/>
          <w:szCs w:val="24"/>
        </w:rPr>
        <w:t xml:space="preserve"> knockdown of miR-30</w:t>
      </w:r>
      <w:r>
        <w:rPr>
          <w:rFonts w:ascii="Times New Roman" w:hAnsi="Times New Roman"/>
          <w:bCs/>
          <w:sz w:val="24"/>
          <w:szCs w:val="24"/>
        </w:rPr>
        <w:t>c</w:t>
      </w:r>
      <w:r>
        <w:rPr>
          <w:rFonts w:hint="eastAsia" w:ascii="Times New Roman" w:hAnsi="Times New Roman"/>
          <w:bCs/>
          <w:sz w:val="24"/>
          <w:szCs w:val="24"/>
        </w:rPr>
        <w:t>-1-3p and miR-30c-2-3p in MKN45 and BGC823, the cells</w:t>
      </w:r>
      <w:r>
        <w:rPr>
          <w:rFonts w:ascii="Times New Roman" w:hAnsi="Times New Roman"/>
          <w:bCs/>
          <w:sz w:val="24"/>
          <w:szCs w:val="24"/>
        </w:rPr>
        <w:t>’</w:t>
      </w:r>
      <w:r>
        <w:rPr>
          <w:rFonts w:hint="eastAsia" w:ascii="Times New Roman" w:hAnsi="Times New Roman"/>
          <w:bCs/>
          <w:sz w:val="24"/>
          <w:szCs w:val="24"/>
        </w:rPr>
        <w:t xml:space="preserve"> proliferation and apoptosis ability was detected and no significant influence of miR-30</w:t>
      </w:r>
      <w:r>
        <w:rPr>
          <w:rFonts w:ascii="Times New Roman" w:hAnsi="Times New Roman"/>
          <w:bCs/>
          <w:sz w:val="24"/>
          <w:szCs w:val="24"/>
        </w:rPr>
        <w:t>c</w:t>
      </w:r>
      <w:r>
        <w:rPr>
          <w:rFonts w:hint="eastAsia" w:ascii="Times New Roman" w:hAnsi="Times New Roman"/>
          <w:bCs/>
          <w:sz w:val="24"/>
          <w:szCs w:val="24"/>
        </w:rPr>
        <w:t>-1-3p and miR-30</w:t>
      </w:r>
      <w:r>
        <w:rPr>
          <w:rFonts w:ascii="Times New Roman" w:hAnsi="Times New Roman"/>
          <w:bCs/>
          <w:sz w:val="24"/>
          <w:szCs w:val="24"/>
        </w:rPr>
        <w:t>c</w:t>
      </w:r>
      <w:r>
        <w:rPr>
          <w:rFonts w:hint="eastAsia" w:ascii="Times New Roman" w:hAnsi="Times New Roman"/>
          <w:bCs/>
          <w:sz w:val="24"/>
          <w:szCs w:val="24"/>
        </w:rPr>
        <w:t>-2-3p was found in MTS (</w:t>
      </w:r>
      <w:r>
        <w:rPr>
          <w:rFonts w:ascii="Times New Roman" w:hAnsi="Times New Roman"/>
          <w:bCs/>
          <w:sz w:val="24"/>
          <w:szCs w:val="24"/>
        </w:rPr>
        <w:t>c and d</w:t>
      </w:r>
      <w:r>
        <w:rPr>
          <w:rFonts w:hint="eastAsia" w:ascii="Times New Roman" w:hAnsi="Times New Roman"/>
          <w:bCs/>
          <w:sz w:val="24"/>
          <w:szCs w:val="24"/>
        </w:rPr>
        <w:t>) and CCK8 assays</w:t>
      </w:r>
      <w:r>
        <w:rPr>
          <w:rFonts w:ascii="Times New Roman" w:hAnsi="Times New Roman"/>
          <w:bCs/>
          <w:sz w:val="24"/>
          <w:szCs w:val="24"/>
        </w:rPr>
        <w:t xml:space="preserve"> </w:t>
      </w:r>
      <w:r>
        <w:rPr>
          <w:rFonts w:hint="eastAsia" w:ascii="Times New Roman" w:hAnsi="Times New Roman"/>
          <w:bCs/>
          <w:sz w:val="24"/>
          <w:szCs w:val="24"/>
        </w:rPr>
        <w:t>(</w:t>
      </w:r>
      <w:r>
        <w:rPr>
          <w:rFonts w:ascii="Times New Roman" w:hAnsi="Times New Roman"/>
          <w:bCs/>
          <w:sz w:val="24"/>
          <w:szCs w:val="24"/>
        </w:rPr>
        <w:t>e and f</w:t>
      </w:r>
      <w:r>
        <w:rPr>
          <w:rFonts w:hint="eastAsia" w:ascii="Times New Roman" w:hAnsi="Times New Roman"/>
          <w:bCs/>
          <w:sz w:val="24"/>
          <w:szCs w:val="24"/>
        </w:rPr>
        <w:t xml:space="preserve">). </w:t>
      </w:r>
      <w:r>
        <w:rPr>
          <w:sz w:val="24"/>
          <w:szCs w:val="24"/>
        </w:rPr>
        <w:t>(</w:t>
      </w:r>
      <w:r>
        <w:rPr>
          <w:rFonts w:hint="eastAsia" w:ascii="Times New Roman" w:hAnsi="Times New Roman"/>
          <w:i/>
          <w:iCs/>
          <w:sz w:val="24"/>
          <w:szCs w:val="24"/>
        </w:rPr>
        <w:t>t-test, P &gt; 0.05</w:t>
      </w:r>
      <w:r>
        <w:rPr>
          <w:sz w:val="24"/>
          <w:szCs w:val="24"/>
        </w:rPr>
        <w:t>)</w:t>
      </w:r>
      <w:r>
        <w:rPr>
          <w:rFonts w:hint="eastAsia"/>
          <w:sz w:val="24"/>
          <w:szCs w:val="24"/>
        </w:rPr>
        <w:t>.</w:t>
      </w:r>
    </w:p>
    <w:p/>
    <w:p/>
    <w:p>
      <w:pPr>
        <w:spacing w:line="360" w:lineRule="auto"/>
        <w:rPr>
          <w:rFonts w:ascii="Times New Roman" w:hAnsi="Times New Roman"/>
          <w:bCs/>
          <w:sz w:val="24"/>
          <w:szCs w:val="24"/>
        </w:rPr>
      </w:pPr>
    </w:p>
    <w:p/>
    <w:p/>
    <w:p>
      <w:bookmarkStart w:id="1" w:name="_GoBack"/>
      <w:bookmarkEnd w:id="1"/>
    </w:p>
    <w:p/>
    <w:p/>
    <w:tbl>
      <w:tblPr>
        <w:tblStyle w:val="5"/>
        <w:tblW w:w="8766" w:type="dxa"/>
        <w:tblInd w:w="-15" w:type="dxa"/>
        <w:tblLayout w:type="fixed"/>
        <w:tblCellMar>
          <w:top w:w="15" w:type="dxa"/>
          <w:left w:w="15" w:type="dxa"/>
          <w:bottom w:w="15" w:type="dxa"/>
          <w:right w:w="15" w:type="dxa"/>
        </w:tblCellMar>
      </w:tblPr>
      <w:tblGrid>
        <w:gridCol w:w="15"/>
        <w:gridCol w:w="2533"/>
        <w:gridCol w:w="1710"/>
        <w:gridCol w:w="1073"/>
        <w:gridCol w:w="240"/>
        <w:gridCol w:w="2205"/>
        <w:gridCol w:w="990"/>
      </w:tblGrid>
      <w:tr>
        <w:tblPrEx>
          <w:tblLayout w:type="fixed"/>
          <w:tblCellMar>
            <w:top w:w="15" w:type="dxa"/>
            <w:left w:w="15" w:type="dxa"/>
            <w:bottom w:w="15" w:type="dxa"/>
            <w:right w:w="15" w:type="dxa"/>
          </w:tblCellMar>
        </w:tblPrEx>
        <w:trPr>
          <w:gridBefore w:val="1"/>
          <w:wBefore w:w="15" w:type="dxa"/>
          <w:trHeight w:val="510" w:hRule="atLeast"/>
        </w:trPr>
        <w:tc>
          <w:tcPr>
            <w:tcW w:w="8751" w:type="dxa"/>
            <w:gridSpan w:val="6"/>
            <w:vAlign w:val="center"/>
          </w:tcPr>
          <w:p>
            <w:pPr>
              <w:widowControl/>
              <w:jc w:val="center"/>
              <w:textAlignment w:val="center"/>
              <w:rPr>
                <w:rFonts w:ascii="Times New Roman" w:hAnsi="Times New Roman"/>
                <w:b/>
                <w:color w:val="000000"/>
                <w:sz w:val="22"/>
              </w:rPr>
            </w:pPr>
            <w:r>
              <w:rPr>
                <w:rFonts w:ascii="Times New Roman" w:hAnsi="Times New Roman"/>
                <w:b/>
                <w:sz w:val="24"/>
              </w:rPr>
              <w:t>Additional file</w:t>
            </w:r>
            <w:r>
              <w:rPr>
                <w:rFonts w:ascii="Times New Roman" w:hAnsi="Times New Roman"/>
                <w:b/>
                <w:sz w:val="24"/>
                <w:szCs w:val="24"/>
              </w:rPr>
              <w:t xml:space="preserve">, </w:t>
            </w:r>
            <w:r>
              <w:rPr>
                <w:rFonts w:ascii="Times New Roman" w:hAnsi="Times New Roman"/>
                <w:b/>
                <w:bCs/>
                <w:color w:val="000000"/>
                <w:kern w:val="0"/>
                <w:sz w:val="22"/>
              </w:rPr>
              <w:t>Table</w:t>
            </w:r>
            <w:r>
              <w:rPr>
                <w:rFonts w:hint="eastAsia" w:ascii="Times New Roman" w:hAnsi="Times New Roman"/>
                <w:b/>
                <w:bCs/>
                <w:color w:val="000000"/>
                <w:kern w:val="0"/>
                <w:sz w:val="22"/>
              </w:rPr>
              <w:t xml:space="preserve"> S</w:t>
            </w:r>
            <w:r>
              <w:rPr>
                <w:rFonts w:ascii="Times New Roman" w:hAnsi="Times New Roman"/>
                <w:b/>
                <w:color w:val="000000"/>
                <w:kern w:val="0"/>
                <w:sz w:val="22"/>
                <w:lang w:bidi="ar"/>
              </w:rPr>
              <w:t>1: Multivariate analysis of DFS and OS of 132 patients with gastric cancer</w:t>
            </w:r>
          </w:p>
        </w:tc>
      </w:tr>
      <w:tr>
        <w:tblPrEx>
          <w:tblLayout w:type="fixed"/>
          <w:tblCellMar>
            <w:top w:w="0" w:type="dxa"/>
            <w:left w:w="108" w:type="dxa"/>
            <w:bottom w:w="0" w:type="dxa"/>
            <w:right w:w="108" w:type="dxa"/>
          </w:tblCellMar>
        </w:tblPrEx>
        <w:trPr>
          <w:trHeight w:val="107" w:hRule="atLeast"/>
        </w:trPr>
        <w:tc>
          <w:tcPr>
            <w:tcW w:w="8766" w:type="dxa"/>
            <w:gridSpan w:val="7"/>
            <w:tcBorders>
              <w:top w:val="nil"/>
              <w:left w:val="nil"/>
              <w:bottom w:val="nil"/>
              <w:right w:val="nil"/>
              <w:tl2br w:val="nil"/>
              <w:tr2bl w:val="nil"/>
            </w:tcBorders>
          </w:tcPr>
          <w:p>
            <w:pPr>
              <w:jc w:val="center"/>
              <w:rPr>
                <w:rFonts w:ascii="Times New Roman" w:hAnsi="Times New Roman" w:eastAsia="Times New Roman"/>
                <w:b/>
                <w:color w:val="000000"/>
                <w:sz w:val="24"/>
              </w:rPr>
            </w:pPr>
          </w:p>
        </w:tc>
      </w:tr>
      <w:tr>
        <w:tblPrEx>
          <w:tblLayout w:type="fixed"/>
          <w:tblCellMar>
            <w:top w:w="0" w:type="dxa"/>
            <w:left w:w="108" w:type="dxa"/>
            <w:bottom w:w="0" w:type="dxa"/>
            <w:right w:w="108" w:type="dxa"/>
          </w:tblCellMar>
        </w:tblPrEx>
        <w:trPr>
          <w:trHeight w:val="345" w:hRule="atLeast"/>
        </w:trPr>
        <w:tc>
          <w:tcPr>
            <w:tcW w:w="2548" w:type="dxa"/>
            <w:gridSpan w:val="2"/>
            <w:tcBorders>
              <w:top w:val="single" w:color="000000" w:sz="18" w:space="0"/>
              <w:left w:val="nil"/>
              <w:bottom w:val="nil"/>
              <w:right w:val="nil"/>
              <w:tl2br w:val="nil"/>
              <w:tr2bl w:val="nil"/>
            </w:tcBorders>
          </w:tcPr>
          <w:p>
            <w:pPr>
              <w:jc w:val="left"/>
              <w:rPr>
                <w:rFonts w:ascii="Times New Roman" w:hAnsi="Times New Roman" w:eastAsia="Times New Roman"/>
                <w:color w:val="000000"/>
                <w:sz w:val="22"/>
              </w:rPr>
            </w:pPr>
          </w:p>
        </w:tc>
        <w:tc>
          <w:tcPr>
            <w:tcW w:w="1710" w:type="dxa"/>
            <w:tcBorders>
              <w:top w:val="single" w:color="000000" w:sz="18" w:space="0"/>
              <w:left w:val="nil"/>
              <w:bottom w:val="single" w:color="000000" w:sz="18" w:space="0"/>
              <w:right w:val="nil"/>
              <w:tl2br w:val="nil"/>
              <w:tr2bl w:val="nil"/>
            </w:tcBorders>
          </w:tcPr>
          <w:p>
            <w:pPr>
              <w:jc w:val="center"/>
              <w:rPr>
                <w:rFonts w:ascii="Times New Roman" w:hAnsi="Times New Roman" w:eastAsia="Times New Roman"/>
                <w:b/>
                <w:color w:val="000000"/>
                <w:sz w:val="24"/>
              </w:rPr>
            </w:pPr>
            <w:r>
              <w:rPr>
                <w:rFonts w:hint="eastAsia" w:ascii="Times New Roman" w:hAnsi="Times New Roman" w:eastAsia="Times New Roman"/>
                <w:b/>
                <w:color w:val="000000"/>
                <w:sz w:val="24"/>
              </w:rPr>
              <w:t>Disease  Free  Survival</w:t>
            </w:r>
          </w:p>
        </w:tc>
        <w:tc>
          <w:tcPr>
            <w:tcW w:w="1073" w:type="dxa"/>
            <w:tcBorders>
              <w:top w:val="single" w:color="000000" w:sz="18" w:space="0"/>
              <w:left w:val="nil"/>
              <w:bottom w:val="single" w:color="000000" w:sz="18" w:space="0"/>
              <w:right w:val="nil"/>
              <w:tl2br w:val="nil"/>
              <w:tr2bl w:val="nil"/>
            </w:tcBorders>
          </w:tcPr>
          <w:p>
            <w:pPr>
              <w:jc w:val="center"/>
              <w:rPr>
                <w:rFonts w:ascii="Times New Roman" w:hAnsi="Times New Roman" w:eastAsia="Times New Roman"/>
                <w:b/>
                <w:color w:val="000000"/>
                <w:sz w:val="24"/>
              </w:rPr>
            </w:pPr>
          </w:p>
        </w:tc>
        <w:tc>
          <w:tcPr>
            <w:tcW w:w="240" w:type="dxa"/>
            <w:tcBorders>
              <w:top w:val="single" w:color="000000" w:sz="18" w:space="0"/>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single" w:color="000000" w:sz="18" w:space="0"/>
              <w:left w:val="nil"/>
              <w:bottom w:val="single" w:color="000000" w:sz="18" w:space="0"/>
              <w:right w:val="nil"/>
              <w:tl2br w:val="nil"/>
              <w:tr2bl w:val="nil"/>
            </w:tcBorders>
          </w:tcPr>
          <w:p>
            <w:pPr>
              <w:jc w:val="center"/>
              <w:rPr>
                <w:rFonts w:ascii="Times New Roman" w:hAnsi="Times New Roman" w:eastAsia="Times New Roman"/>
                <w:b/>
                <w:color w:val="000000"/>
                <w:sz w:val="24"/>
              </w:rPr>
            </w:pPr>
            <w:r>
              <w:rPr>
                <w:rFonts w:hint="eastAsia" w:ascii="Times New Roman" w:hAnsi="Times New Roman" w:eastAsia="Times New Roman"/>
                <w:b/>
                <w:color w:val="000000"/>
                <w:sz w:val="24"/>
              </w:rPr>
              <w:t>Overall Survival</w:t>
            </w:r>
          </w:p>
        </w:tc>
        <w:tc>
          <w:tcPr>
            <w:tcW w:w="990" w:type="dxa"/>
            <w:tcBorders>
              <w:top w:val="single" w:color="000000" w:sz="18" w:space="0"/>
              <w:left w:val="nil"/>
              <w:bottom w:val="single" w:color="000000" w:sz="18" w:space="0"/>
              <w:right w:val="nil"/>
              <w:tl2br w:val="nil"/>
              <w:tr2bl w:val="nil"/>
            </w:tcBorders>
          </w:tcPr>
          <w:p>
            <w:pPr>
              <w:jc w:val="center"/>
              <w:rPr>
                <w:rFonts w:ascii="Times New Roman" w:hAnsi="Times New Roman" w:eastAsia="Times New Roman"/>
                <w:b/>
                <w:color w:val="000000"/>
                <w:sz w:val="24"/>
              </w:rPr>
            </w:pPr>
          </w:p>
        </w:tc>
      </w:tr>
      <w:tr>
        <w:tblPrEx>
          <w:tblLayout w:type="fixed"/>
          <w:tblCellMar>
            <w:top w:w="0" w:type="dxa"/>
            <w:left w:w="108" w:type="dxa"/>
            <w:bottom w:w="0" w:type="dxa"/>
            <w:right w:w="108" w:type="dxa"/>
          </w:tblCellMar>
        </w:tblPrEx>
        <w:trPr>
          <w:trHeight w:val="64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 Variables</w:t>
            </w:r>
          </w:p>
        </w:tc>
        <w:tc>
          <w:tcPr>
            <w:tcW w:w="1710" w:type="dxa"/>
            <w:tcBorders>
              <w:top w:val="nil"/>
              <w:left w:val="nil"/>
              <w:bottom w:val="nil"/>
              <w:right w:val="nil"/>
              <w:tl2br w:val="nil"/>
              <w:tr2bl w:val="nil"/>
            </w:tcBorders>
          </w:tcPr>
          <w:p>
            <w:pPr>
              <w:jc w:val="center"/>
              <w:rPr>
                <w:rFonts w:ascii="Times New Roman" w:hAnsi="Times New Roman" w:eastAsia="Times New Roman"/>
                <w:b/>
                <w:color w:val="000000"/>
                <w:sz w:val="24"/>
              </w:rPr>
            </w:pPr>
            <w:r>
              <w:rPr>
                <w:rFonts w:hint="eastAsia" w:ascii="Times New Roman" w:hAnsi="Times New Roman" w:eastAsia="Times New Roman"/>
                <w:b/>
                <w:color w:val="000000"/>
                <w:sz w:val="24"/>
              </w:rPr>
              <w:t>HR (95% CI)</w:t>
            </w:r>
          </w:p>
        </w:tc>
        <w:tc>
          <w:tcPr>
            <w:tcW w:w="1073" w:type="dxa"/>
            <w:tcBorders>
              <w:top w:val="nil"/>
              <w:left w:val="nil"/>
              <w:bottom w:val="nil"/>
              <w:right w:val="nil"/>
              <w:tl2br w:val="nil"/>
              <w:tr2bl w:val="nil"/>
            </w:tcBorders>
          </w:tcPr>
          <w:p>
            <w:pPr>
              <w:jc w:val="center"/>
              <w:rPr>
                <w:rFonts w:ascii="Times New Roman" w:hAnsi="Times New Roman" w:eastAsia="Times New Roman"/>
                <w:b/>
                <w:i/>
                <w:color w:val="000000"/>
                <w:sz w:val="24"/>
              </w:rPr>
            </w:pPr>
            <w:r>
              <w:rPr>
                <w:rFonts w:hint="eastAsia" w:ascii="Times New Roman" w:hAnsi="Times New Roman" w:eastAsia="Times New Roman"/>
                <w:b/>
                <w:i/>
                <w:color w:val="000000"/>
                <w:sz w:val="24"/>
              </w:rPr>
              <w:t>P</w:t>
            </w: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b/>
                <w:color w:val="000000"/>
                <w:sz w:val="24"/>
              </w:rPr>
            </w:pPr>
            <w:r>
              <w:rPr>
                <w:rFonts w:hint="eastAsia" w:ascii="Times New Roman" w:hAnsi="Times New Roman" w:eastAsia="Times New Roman"/>
                <w:b/>
                <w:color w:val="000000"/>
                <w:sz w:val="24"/>
              </w:rPr>
              <w:t>HR (95% CI)</w:t>
            </w:r>
          </w:p>
        </w:tc>
        <w:tc>
          <w:tcPr>
            <w:tcW w:w="990" w:type="dxa"/>
            <w:tcBorders>
              <w:top w:val="nil"/>
              <w:left w:val="nil"/>
              <w:bottom w:val="nil"/>
              <w:right w:val="nil"/>
              <w:tl2br w:val="nil"/>
              <w:tr2bl w:val="nil"/>
            </w:tcBorders>
          </w:tcPr>
          <w:p>
            <w:pPr>
              <w:jc w:val="center"/>
              <w:rPr>
                <w:rFonts w:ascii="Times New Roman" w:hAnsi="Times New Roman" w:eastAsia="Times New Roman"/>
                <w:b/>
                <w:i/>
                <w:color w:val="000000"/>
                <w:sz w:val="24"/>
              </w:rPr>
            </w:pPr>
            <w:r>
              <w:rPr>
                <w:rFonts w:hint="eastAsia" w:ascii="Times New Roman" w:hAnsi="Times New Roman" w:eastAsia="Times New Roman"/>
                <w:b/>
                <w:i/>
                <w:color w:val="000000"/>
                <w:sz w:val="24"/>
              </w:rPr>
              <w:t>P</w:t>
            </w: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Clinical stage</w:t>
            </w:r>
          </w:p>
        </w:tc>
        <w:tc>
          <w:tcPr>
            <w:tcW w:w="171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1073"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left"/>
              <w:rPr>
                <w:rFonts w:ascii="宋体" w:hAnsi="宋体"/>
                <w:color w:val="000000"/>
                <w:sz w:val="24"/>
              </w:rPr>
            </w:pPr>
          </w:p>
        </w:tc>
        <w:tc>
          <w:tcPr>
            <w:tcW w:w="990" w:type="dxa"/>
            <w:tcBorders>
              <w:top w:val="nil"/>
              <w:left w:val="nil"/>
              <w:bottom w:val="nil"/>
              <w:right w:val="nil"/>
              <w:tl2br w:val="nil"/>
              <w:tr2bl w:val="nil"/>
            </w:tcBorders>
          </w:tcPr>
          <w:p>
            <w:pPr>
              <w:jc w:val="left"/>
              <w:rPr>
                <w:rFonts w:ascii="宋体" w:hAnsi="宋体"/>
                <w:color w:val="000000"/>
                <w:sz w:val="24"/>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I / II</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3.825</w:t>
            </w:r>
          </w:p>
        </w:tc>
        <w:tc>
          <w:tcPr>
            <w:tcW w:w="1073" w:type="dxa"/>
            <w:tcBorders>
              <w:top w:val="nil"/>
              <w:left w:val="nil"/>
              <w:bottom w:val="nil"/>
              <w:right w:val="nil"/>
              <w:tl2br w:val="nil"/>
              <w:tr2bl w:val="nil"/>
            </w:tcBorders>
          </w:tcPr>
          <w:p>
            <w:pPr>
              <w:jc w:val="center"/>
              <w:rPr>
                <w:rFonts w:ascii="Times New Roman" w:hAnsi="Times New Roman" w:eastAsia="Times New Roman"/>
                <w:b/>
                <w:i/>
                <w:color w:val="000000"/>
                <w:sz w:val="22"/>
              </w:rPr>
            </w:pPr>
            <w:r>
              <w:rPr>
                <w:rFonts w:hint="eastAsia" w:ascii="Times New Roman" w:hAnsi="Times New Roman" w:eastAsia="Times New Roman"/>
                <w:b/>
                <w:i/>
                <w:color w:val="000000"/>
                <w:sz w:val="22"/>
              </w:rPr>
              <w:t>&lt; 0.001</w:t>
            </w: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2.937</w:t>
            </w:r>
          </w:p>
        </w:tc>
        <w:tc>
          <w:tcPr>
            <w:tcW w:w="990" w:type="dxa"/>
            <w:tcBorders>
              <w:top w:val="nil"/>
              <w:left w:val="nil"/>
              <w:bottom w:val="nil"/>
              <w:right w:val="nil"/>
              <w:tl2br w:val="nil"/>
              <w:tr2bl w:val="nil"/>
            </w:tcBorders>
          </w:tcPr>
          <w:p>
            <w:pPr>
              <w:jc w:val="center"/>
              <w:rPr>
                <w:rFonts w:ascii="Times New Roman" w:hAnsi="Times New Roman" w:eastAsia="Times New Roman"/>
                <w:b/>
                <w:i/>
                <w:color w:val="000000"/>
                <w:sz w:val="22"/>
              </w:rPr>
            </w:pPr>
            <w:r>
              <w:rPr>
                <w:rFonts w:hint="eastAsia" w:ascii="Times New Roman" w:hAnsi="Times New Roman" w:eastAsia="Times New Roman"/>
                <w:b/>
                <w:i/>
                <w:color w:val="000000"/>
                <w:sz w:val="22"/>
              </w:rPr>
              <w:t>0.001</w:t>
            </w:r>
          </w:p>
        </w:tc>
      </w:tr>
      <w:tr>
        <w:tblPrEx>
          <w:tblLayout w:type="fixed"/>
          <w:tblCellMar>
            <w:top w:w="0" w:type="dxa"/>
            <w:left w:w="108" w:type="dxa"/>
            <w:bottom w:w="0" w:type="dxa"/>
            <w:right w:w="108" w:type="dxa"/>
          </w:tblCellMar>
        </w:tblPrEx>
        <w:trPr>
          <w:trHeight w:val="600"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III / IV</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(1.873 - 7.814)</w:t>
            </w:r>
          </w:p>
        </w:tc>
        <w:tc>
          <w:tcPr>
            <w:tcW w:w="1073"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(1.578 - 5.465)</w:t>
            </w:r>
          </w:p>
        </w:tc>
        <w:tc>
          <w:tcPr>
            <w:tcW w:w="990" w:type="dxa"/>
            <w:tcBorders>
              <w:top w:val="nil"/>
              <w:left w:val="nil"/>
              <w:bottom w:val="nil"/>
              <w:right w:val="nil"/>
              <w:tl2br w:val="nil"/>
              <w:tr2bl w:val="nil"/>
            </w:tcBorders>
          </w:tcPr>
          <w:p>
            <w:pPr>
              <w:jc w:val="center"/>
              <w:rPr>
                <w:rFonts w:ascii="Times New Roman" w:hAnsi="Times New Roman" w:eastAsia="Times New Roman"/>
                <w:i/>
                <w:color w:val="000000"/>
                <w:sz w:val="22"/>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Lymph node metastasis</w:t>
            </w:r>
          </w:p>
        </w:tc>
        <w:tc>
          <w:tcPr>
            <w:tcW w:w="171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1073"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990" w:type="dxa"/>
            <w:tcBorders>
              <w:top w:val="nil"/>
              <w:left w:val="nil"/>
              <w:bottom w:val="nil"/>
              <w:right w:val="nil"/>
              <w:tl2br w:val="nil"/>
              <w:tr2bl w:val="nil"/>
            </w:tcBorders>
          </w:tcPr>
          <w:p>
            <w:pPr>
              <w:jc w:val="left"/>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Yes</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1.035</w:t>
            </w:r>
          </w:p>
        </w:tc>
        <w:tc>
          <w:tcPr>
            <w:tcW w:w="1073"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0.904</w:t>
            </w: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1.369 </w:t>
            </w:r>
          </w:p>
        </w:tc>
        <w:tc>
          <w:tcPr>
            <w:tcW w:w="990"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0.267</w:t>
            </w: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No</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(0.589 - 1.819)</w:t>
            </w:r>
          </w:p>
        </w:tc>
        <w:tc>
          <w:tcPr>
            <w:tcW w:w="1073"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(0.786 -2.385)</w:t>
            </w:r>
          </w:p>
        </w:tc>
        <w:tc>
          <w:tcPr>
            <w:tcW w:w="990" w:type="dxa"/>
            <w:tcBorders>
              <w:top w:val="nil"/>
              <w:left w:val="nil"/>
              <w:bottom w:val="nil"/>
              <w:right w:val="nil"/>
              <w:tl2br w:val="nil"/>
              <w:tr2bl w:val="nil"/>
            </w:tcBorders>
          </w:tcPr>
          <w:p>
            <w:pPr>
              <w:jc w:val="left"/>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Tumor size</w:t>
            </w:r>
          </w:p>
        </w:tc>
        <w:tc>
          <w:tcPr>
            <w:tcW w:w="1710" w:type="dxa"/>
            <w:tcBorders>
              <w:top w:val="nil"/>
              <w:left w:val="nil"/>
              <w:bottom w:val="nil"/>
              <w:right w:val="nil"/>
              <w:tl2br w:val="nil"/>
              <w:tr2bl w:val="nil"/>
            </w:tcBorders>
          </w:tcPr>
          <w:p>
            <w:pPr>
              <w:jc w:val="left"/>
              <w:rPr>
                <w:rFonts w:ascii="宋体" w:hAnsi="宋体"/>
                <w:color w:val="000000"/>
                <w:sz w:val="24"/>
              </w:rPr>
            </w:pPr>
          </w:p>
        </w:tc>
        <w:tc>
          <w:tcPr>
            <w:tcW w:w="1073" w:type="dxa"/>
            <w:tcBorders>
              <w:top w:val="nil"/>
              <w:left w:val="nil"/>
              <w:bottom w:val="nil"/>
              <w:right w:val="nil"/>
              <w:tl2br w:val="nil"/>
              <w:tr2bl w:val="nil"/>
            </w:tcBorders>
          </w:tcPr>
          <w:p>
            <w:pPr>
              <w:jc w:val="left"/>
              <w:rPr>
                <w:rFonts w:ascii="宋体" w:hAnsi="宋体"/>
                <w:color w:val="000000"/>
                <w:sz w:val="24"/>
              </w:rPr>
            </w:pP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left"/>
              <w:rPr>
                <w:rFonts w:ascii="宋体" w:hAnsi="宋体"/>
                <w:color w:val="000000"/>
                <w:sz w:val="24"/>
              </w:rPr>
            </w:pPr>
          </w:p>
        </w:tc>
        <w:tc>
          <w:tcPr>
            <w:tcW w:w="990" w:type="dxa"/>
            <w:tcBorders>
              <w:top w:val="nil"/>
              <w:left w:val="nil"/>
              <w:bottom w:val="nil"/>
              <w:right w:val="nil"/>
              <w:tl2br w:val="nil"/>
              <w:tr2bl w:val="nil"/>
            </w:tcBorders>
          </w:tcPr>
          <w:p>
            <w:pPr>
              <w:jc w:val="left"/>
              <w:rPr>
                <w:rFonts w:ascii="宋体" w:hAnsi="宋体"/>
                <w:color w:val="000000"/>
                <w:sz w:val="24"/>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&lt; 5 cm</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1.745</w:t>
            </w:r>
          </w:p>
        </w:tc>
        <w:tc>
          <w:tcPr>
            <w:tcW w:w="1073" w:type="dxa"/>
            <w:tcBorders>
              <w:top w:val="nil"/>
              <w:left w:val="nil"/>
              <w:bottom w:val="nil"/>
              <w:right w:val="nil"/>
              <w:tl2br w:val="nil"/>
              <w:tr2bl w:val="nil"/>
            </w:tcBorders>
          </w:tcPr>
          <w:p>
            <w:pPr>
              <w:jc w:val="center"/>
              <w:rPr>
                <w:rFonts w:ascii="Times New Roman" w:hAnsi="Times New Roman" w:eastAsia="Times New Roman"/>
                <w:b/>
                <w:i/>
                <w:color w:val="000000"/>
                <w:sz w:val="22"/>
              </w:rPr>
            </w:pPr>
            <w:r>
              <w:rPr>
                <w:rFonts w:hint="eastAsia" w:ascii="Times New Roman" w:hAnsi="Times New Roman" w:eastAsia="Times New Roman"/>
                <w:b/>
                <w:i/>
                <w:color w:val="000000"/>
                <w:sz w:val="22"/>
              </w:rPr>
              <w:t>0.027</w:t>
            </w: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1.693 </w:t>
            </w:r>
          </w:p>
        </w:tc>
        <w:tc>
          <w:tcPr>
            <w:tcW w:w="990" w:type="dxa"/>
            <w:tcBorders>
              <w:top w:val="nil"/>
              <w:left w:val="nil"/>
              <w:bottom w:val="nil"/>
              <w:right w:val="nil"/>
              <w:tl2br w:val="nil"/>
              <w:tr2bl w:val="nil"/>
            </w:tcBorders>
          </w:tcPr>
          <w:p>
            <w:pPr>
              <w:jc w:val="center"/>
              <w:rPr>
                <w:rFonts w:ascii="Times New Roman" w:hAnsi="Times New Roman" w:eastAsia="Times New Roman"/>
                <w:b/>
                <w:i/>
                <w:color w:val="000000"/>
                <w:sz w:val="22"/>
              </w:rPr>
            </w:pPr>
            <w:r>
              <w:rPr>
                <w:rFonts w:hint="eastAsia" w:ascii="Times New Roman" w:hAnsi="Times New Roman" w:eastAsia="Times New Roman"/>
                <w:b/>
                <w:i/>
                <w:color w:val="000000"/>
                <w:sz w:val="22"/>
              </w:rPr>
              <w:t>0.024</w:t>
            </w:r>
          </w:p>
        </w:tc>
      </w:tr>
      <w:tr>
        <w:tblPrEx>
          <w:tblLayout w:type="fixed"/>
          <w:tblCellMar>
            <w:top w:w="0" w:type="dxa"/>
            <w:left w:w="108" w:type="dxa"/>
            <w:bottom w:w="0" w:type="dxa"/>
            <w:right w:w="108" w:type="dxa"/>
          </w:tblCellMar>
        </w:tblPrEx>
        <w:trPr>
          <w:trHeight w:val="600"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5cm</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(1.065 - 2.860)</w:t>
            </w:r>
          </w:p>
        </w:tc>
        <w:tc>
          <w:tcPr>
            <w:tcW w:w="1073" w:type="dxa"/>
            <w:tcBorders>
              <w:top w:val="nil"/>
              <w:left w:val="nil"/>
              <w:bottom w:val="nil"/>
              <w:right w:val="nil"/>
              <w:tl2br w:val="nil"/>
              <w:tr2bl w:val="nil"/>
            </w:tcBorders>
          </w:tcPr>
          <w:p>
            <w:pPr>
              <w:jc w:val="left"/>
              <w:rPr>
                <w:rFonts w:ascii="宋体" w:hAnsi="宋体"/>
                <w:color w:val="000000"/>
                <w:sz w:val="24"/>
              </w:rPr>
            </w:pP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(1.073 - 2.672)</w:t>
            </w:r>
          </w:p>
        </w:tc>
        <w:tc>
          <w:tcPr>
            <w:tcW w:w="990" w:type="dxa"/>
            <w:tcBorders>
              <w:top w:val="nil"/>
              <w:left w:val="nil"/>
              <w:bottom w:val="nil"/>
              <w:right w:val="nil"/>
              <w:tl2br w:val="nil"/>
              <w:tr2bl w:val="nil"/>
            </w:tcBorders>
          </w:tcPr>
          <w:p>
            <w:pPr>
              <w:jc w:val="left"/>
              <w:rPr>
                <w:rFonts w:ascii="宋体" w:hAnsi="宋体"/>
                <w:color w:val="000000"/>
                <w:sz w:val="24"/>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Lauren’s classification</w:t>
            </w:r>
          </w:p>
        </w:tc>
        <w:tc>
          <w:tcPr>
            <w:tcW w:w="1710" w:type="dxa"/>
            <w:tcBorders>
              <w:top w:val="nil"/>
              <w:left w:val="nil"/>
              <w:bottom w:val="nil"/>
              <w:right w:val="nil"/>
              <w:tl2br w:val="nil"/>
              <w:tr2bl w:val="nil"/>
            </w:tcBorders>
          </w:tcPr>
          <w:p>
            <w:pPr>
              <w:jc w:val="left"/>
              <w:rPr>
                <w:rFonts w:ascii="宋体" w:hAnsi="宋体"/>
                <w:color w:val="000000"/>
                <w:sz w:val="24"/>
              </w:rPr>
            </w:pPr>
          </w:p>
        </w:tc>
        <w:tc>
          <w:tcPr>
            <w:tcW w:w="1073" w:type="dxa"/>
            <w:tcBorders>
              <w:top w:val="nil"/>
              <w:left w:val="nil"/>
              <w:bottom w:val="nil"/>
              <w:right w:val="nil"/>
              <w:tl2br w:val="nil"/>
              <w:tr2bl w:val="nil"/>
            </w:tcBorders>
          </w:tcPr>
          <w:p>
            <w:pPr>
              <w:jc w:val="left"/>
              <w:rPr>
                <w:rFonts w:ascii="宋体" w:hAnsi="宋体"/>
                <w:color w:val="000000"/>
                <w:sz w:val="24"/>
              </w:rPr>
            </w:pP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left"/>
              <w:rPr>
                <w:rFonts w:ascii="宋体" w:hAnsi="宋体"/>
                <w:color w:val="000000"/>
                <w:sz w:val="24"/>
              </w:rPr>
            </w:pPr>
          </w:p>
        </w:tc>
        <w:tc>
          <w:tcPr>
            <w:tcW w:w="990" w:type="dxa"/>
            <w:tcBorders>
              <w:top w:val="nil"/>
              <w:left w:val="nil"/>
              <w:bottom w:val="nil"/>
              <w:right w:val="nil"/>
              <w:tl2br w:val="nil"/>
              <w:tr2bl w:val="nil"/>
            </w:tcBorders>
          </w:tcPr>
          <w:p>
            <w:pPr>
              <w:jc w:val="left"/>
              <w:rPr>
                <w:rFonts w:ascii="宋体" w:hAnsi="宋体"/>
                <w:color w:val="000000"/>
                <w:sz w:val="24"/>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Intestinal type</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1.206</w:t>
            </w:r>
          </w:p>
        </w:tc>
        <w:tc>
          <w:tcPr>
            <w:tcW w:w="1073"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0.476</w:t>
            </w: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1.254</w:t>
            </w:r>
          </w:p>
        </w:tc>
        <w:tc>
          <w:tcPr>
            <w:tcW w:w="990"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0.350 </w:t>
            </w:r>
          </w:p>
        </w:tc>
      </w:tr>
      <w:tr>
        <w:tblPrEx>
          <w:tblLayout w:type="fixed"/>
          <w:tblCellMar>
            <w:top w:w="0" w:type="dxa"/>
            <w:left w:w="108" w:type="dxa"/>
            <w:bottom w:w="0" w:type="dxa"/>
            <w:right w:w="108" w:type="dxa"/>
          </w:tblCellMar>
        </w:tblPrEx>
        <w:trPr>
          <w:trHeight w:val="600"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Diffuse type</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(0.720 - 2.018)</w:t>
            </w:r>
          </w:p>
        </w:tc>
        <w:tc>
          <w:tcPr>
            <w:tcW w:w="1073" w:type="dxa"/>
            <w:tcBorders>
              <w:top w:val="nil"/>
              <w:left w:val="nil"/>
              <w:bottom w:val="nil"/>
              <w:right w:val="nil"/>
              <w:tl2br w:val="nil"/>
              <w:tr2bl w:val="nil"/>
            </w:tcBorders>
          </w:tcPr>
          <w:p>
            <w:pPr>
              <w:jc w:val="center"/>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宋体" w:hAnsi="宋体"/>
                <w:color w:val="000000"/>
                <w:sz w:val="24"/>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(0.781 - 2.013)</w:t>
            </w:r>
          </w:p>
        </w:tc>
        <w:tc>
          <w:tcPr>
            <w:tcW w:w="990" w:type="dxa"/>
            <w:tcBorders>
              <w:top w:val="nil"/>
              <w:left w:val="nil"/>
              <w:bottom w:val="nil"/>
              <w:right w:val="nil"/>
              <w:tl2br w:val="nil"/>
              <w:tr2bl w:val="nil"/>
            </w:tcBorders>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b/>
                <w:color w:val="000000"/>
                <w:sz w:val="24"/>
              </w:rPr>
            </w:pPr>
            <w:r>
              <w:rPr>
                <w:rFonts w:hint="eastAsia" w:ascii="Times New Roman" w:hAnsi="Times New Roman" w:eastAsia="Times New Roman"/>
                <w:b/>
                <w:color w:val="000000"/>
                <w:sz w:val="24"/>
              </w:rPr>
              <w:t>GAGE7B</w:t>
            </w:r>
            <w:r>
              <w:rPr>
                <w:rFonts w:ascii="Times New Roman" w:hAnsi="Times New Roman" w:eastAsia="Times New Roman"/>
                <w:b/>
                <w:color w:val="000000"/>
                <w:sz w:val="24"/>
              </w:rPr>
              <w:t xml:space="preserve"> expression</w:t>
            </w:r>
          </w:p>
        </w:tc>
        <w:tc>
          <w:tcPr>
            <w:tcW w:w="171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1073"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990" w:type="dxa"/>
            <w:tcBorders>
              <w:top w:val="nil"/>
              <w:left w:val="nil"/>
              <w:bottom w:val="nil"/>
              <w:right w:val="nil"/>
              <w:tl2br w:val="nil"/>
              <w:tr2bl w:val="nil"/>
            </w:tcBorders>
          </w:tcPr>
          <w:p>
            <w:pPr>
              <w:jc w:val="left"/>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2548" w:type="dxa"/>
            <w:gridSpan w:val="2"/>
            <w:tcBorders>
              <w:top w:val="nil"/>
              <w:left w:val="nil"/>
              <w:bottom w:val="nil"/>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Low</w:t>
            </w:r>
          </w:p>
        </w:tc>
        <w:tc>
          <w:tcPr>
            <w:tcW w:w="1710"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1.351</w:t>
            </w:r>
          </w:p>
        </w:tc>
        <w:tc>
          <w:tcPr>
            <w:tcW w:w="1073"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0.242</w:t>
            </w:r>
          </w:p>
        </w:tc>
        <w:tc>
          <w:tcPr>
            <w:tcW w:w="240" w:type="dxa"/>
            <w:tcBorders>
              <w:top w:val="nil"/>
              <w:left w:val="nil"/>
              <w:bottom w:val="nil"/>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nil"/>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1.109</w:t>
            </w:r>
          </w:p>
        </w:tc>
        <w:tc>
          <w:tcPr>
            <w:tcW w:w="990" w:type="dxa"/>
            <w:tcBorders>
              <w:top w:val="nil"/>
              <w:left w:val="nil"/>
              <w:bottom w:val="nil"/>
              <w:right w:val="nil"/>
              <w:tl2br w:val="nil"/>
              <w:tr2bl w:val="nil"/>
            </w:tcBorders>
          </w:tcPr>
          <w:p>
            <w:pPr>
              <w:jc w:val="center"/>
              <w:rPr>
                <w:rFonts w:ascii="Times New Roman" w:hAnsi="Times New Roman" w:eastAsia="Times New Roman"/>
                <w:i/>
                <w:color w:val="000000"/>
                <w:sz w:val="22"/>
              </w:rPr>
            </w:pPr>
            <w:r>
              <w:rPr>
                <w:rFonts w:hint="eastAsia" w:ascii="Times New Roman" w:hAnsi="Times New Roman" w:eastAsia="Times New Roman"/>
                <w:i/>
                <w:color w:val="000000"/>
                <w:sz w:val="22"/>
              </w:rPr>
              <w:t>0.665</w:t>
            </w:r>
          </w:p>
        </w:tc>
      </w:tr>
      <w:tr>
        <w:tblPrEx>
          <w:tblLayout w:type="fixed"/>
          <w:tblCellMar>
            <w:top w:w="0" w:type="dxa"/>
            <w:left w:w="108" w:type="dxa"/>
            <w:bottom w:w="0" w:type="dxa"/>
            <w:right w:w="108" w:type="dxa"/>
          </w:tblCellMar>
        </w:tblPrEx>
        <w:trPr>
          <w:trHeight w:val="330" w:hRule="atLeast"/>
        </w:trPr>
        <w:tc>
          <w:tcPr>
            <w:tcW w:w="2548" w:type="dxa"/>
            <w:gridSpan w:val="2"/>
            <w:tcBorders>
              <w:top w:val="nil"/>
              <w:left w:val="nil"/>
              <w:bottom w:val="single" w:color="000000" w:sz="18" w:space="0"/>
              <w:right w:val="nil"/>
              <w:tl2br w:val="nil"/>
              <w:tr2bl w:val="nil"/>
            </w:tcBorders>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High</w:t>
            </w:r>
          </w:p>
        </w:tc>
        <w:tc>
          <w:tcPr>
            <w:tcW w:w="1710" w:type="dxa"/>
            <w:tcBorders>
              <w:top w:val="nil"/>
              <w:left w:val="nil"/>
              <w:bottom w:val="single" w:color="000000" w:sz="18" w:space="0"/>
              <w:right w:val="nil"/>
              <w:tl2br w:val="nil"/>
              <w:tr2bl w:val="nil"/>
            </w:tcBorders>
          </w:tcPr>
          <w:p>
            <w:pPr>
              <w:jc w:val="left"/>
              <w:rPr>
                <w:rFonts w:ascii="Times New Roman" w:hAnsi="Times New Roman" w:eastAsia="Times New Roman"/>
                <w:color w:val="000000"/>
                <w:sz w:val="22"/>
              </w:rPr>
            </w:pPr>
            <w:r>
              <w:rPr>
                <w:rFonts w:hint="eastAsia" w:ascii="Times New Roman" w:hAnsi="Times New Roman" w:eastAsia="Times New Roman"/>
                <w:color w:val="000000"/>
                <w:sz w:val="22"/>
              </w:rPr>
              <w:t>(0.816-2.237)</w:t>
            </w:r>
          </w:p>
        </w:tc>
        <w:tc>
          <w:tcPr>
            <w:tcW w:w="1073" w:type="dxa"/>
            <w:tcBorders>
              <w:top w:val="nil"/>
              <w:left w:val="nil"/>
              <w:bottom w:val="single" w:color="000000" w:sz="18" w:space="0"/>
              <w:right w:val="nil"/>
              <w:tl2br w:val="nil"/>
              <w:tr2bl w:val="nil"/>
            </w:tcBorders>
          </w:tcPr>
          <w:p>
            <w:pPr>
              <w:jc w:val="left"/>
              <w:rPr>
                <w:rFonts w:ascii="Times New Roman" w:hAnsi="Times New Roman" w:eastAsia="Times New Roman"/>
                <w:color w:val="000000"/>
                <w:sz w:val="22"/>
              </w:rPr>
            </w:pPr>
          </w:p>
        </w:tc>
        <w:tc>
          <w:tcPr>
            <w:tcW w:w="240" w:type="dxa"/>
            <w:tcBorders>
              <w:top w:val="nil"/>
              <w:left w:val="nil"/>
              <w:bottom w:val="single" w:color="000000" w:sz="18" w:space="0"/>
              <w:right w:val="nil"/>
              <w:tl2br w:val="nil"/>
              <w:tr2bl w:val="nil"/>
            </w:tcBorders>
          </w:tcPr>
          <w:p>
            <w:pPr>
              <w:jc w:val="left"/>
              <w:rPr>
                <w:rFonts w:ascii="Times New Roman" w:hAnsi="Times New Roman" w:eastAsia="Times New Roman"/>
                <w:color w:val="000000"/>
                <w:sz w:val="22"/>
              </w:rPr>
            </w:pPr>
          </w:p>
        </w:tc>
        <w:tc>
          <w:tcPr>
            <w:tcW w:w="2205" w:type="dxa"/>
            <w:tcBorders>
              <w:top w:val="nil"/>
              <w:left w:val="nil"/>
              <w:bottom w:val="single" w:color="000000" w:sz="18" w:space="0"/>
              <w:right w:val="nil"/>
              <w:tl2br w:val="nil"/>
              <w:tr2bl w:val="nil"/>
            </w:tcBorders>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( 0.694 - 1.771)</w:t>
            </w:r>
          </w:p>
        </w:tc>
        <w:tc>
          <w:tcPr>
            <w:tcW w:w="990" w:type="dxa"/>
            <w:tcBorders>
              <w:top w:val="nil"/>
              <w:left w:val="nil"/>
              <w:bottom w:val="single" w:color="000000" w:sz="18" w:space="0"/>
              <w:right w:val="nil"/>
              <w:tl2br w:val="nil"/>
              <w:tr2bl w:val="nil"/>
            </w:tcBorders>
          </w:tcPr>
          <w:p>
            <w:pPr>
              <w:jc w:val="right"/>
              <w:rPr>
                <w:rFonts w:ascii="宋体" w:hAnsi="宋体"/>
                <w:color w:val="000000"/>
                <w:sz w:val="24"/>
              </w:rPr>
            </w:pPr>
          </w:p>
        </w:tc>
      </w:tr>
    </w:tbl>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r>
        <w:rPr>
          <w:rFonts w:ascii="Times New Roman" w:hAnsi="Times New Roman"/>
          <w:b/>
          <w:sz w:val="24"/>
        </w:rPr>
        <w:t>Additional file</w:t>
      </w:r>
      <w:r>
        <w:rPr>
          <w:rFonts w:ascii="Times New Roman" w:hAnsi="Times New Roman"/>
          <w:b/>
          <w:sz w:val="24"/>
          <w:szCs w:val="24"/>
        </w:rPr>
        <w:t xml:space="preserve">, </w:t>
      </w:r>
      <w:r>
        <w:rPr>
          <w:rFonts w:ascii="Times New Roman" w:hAnsi="Times New Roman"/>
          <w:b/>
          <w:bCs/>
          <w:color w:val="000000"/>
          <w:kern w:val="0"/>
          <w:sz w:val="22"/>
        </w:rPr>
        <w:t>Table</w:t>
      </w:r>
      <w:r>
        <w:rPr>
          <w:rFonts w:hint="eastAsia" w:ascii="Times New Roman" w:hAnsi="Times New Roman"/>
          <w:b/>
          <w:bCs/>
          <w:color w:val="000000"/>
          <w:kern w:val="0"/>
          <w:sz w:val="22"/>
        </w:rPr>
        <w:t xml:space="preserve"> S</w:t>
      </w:r>
      <w:r>
        <w:rPr>
          <w:rFonts w:ascii="Times New Roman" w:hAnsi="Times New Roman"/>
          <w:b/>
          <w:color w:val="000000"/>
          <w:kern w:val="0"/>
          <w:sz w:val="22"/>
          <w:lang w:bidi="ar"/>
        </w:rPr>
        <w:t>2: Clinicopathologic characteristics of gastric cancers associated with miR-30c-1-3p and miR-30c-2-3p expression</w:t>
      </w:r>
    </w:p>
    <w:tbl>
      <w:tblPr>
        <w:tblStyle w:val="5"/>
        <w:tblW w:w="8738" w:type="dxa"/>
        <w:tblInd w:w="196" w:type="dxa"/>
        <w:tblLayout w:type="fixed"/>
        <w:tblCellMar>
          <w:top w:w="0" w:type="dxa"/>
          <w:left w:w="108" w:type="dxa"/>
          <w:bottom w:w="0" w:type="dxa"/>
          <w:right w:w="108" w:type="dxa"/>
        </w:tblCellMar>
      </w:tblPr>
      <w:tblGrid>
        <w:gridCol w:w="3510"/>
        <w:gridCol w:w="510"/>
        <w:gridCol w:w="1024"/>
        <w:gridCol w:w="942"/>
        <w:gridCol w:w="222"/>
        <w:gridCol w:w="14"/>
        <w:gridCol w:w="1293"/>
        <w:gridCol w:w="1223"/>
      </w:tblGrid>
      <w:tr>
        <w:tblPrEx>
          <w:tblLayout w:type="fixed"/>
          <w:tblCellMar>
            <w:top w:w="0" w:type="dxa"/>
            <w:left w:w="108" w:type="dxa"/>
            <w:bottom w:w="0" w:type="dxa"/>
            <w:right w:w="108" w:type="dxa"/>
          </w:tblCellMar>
        </w:tblPrEx>
        <w:trPr>
          <w:trHeight w:val="330" w:hRule="atLeast"/>
        </w:trPr>
        <w:tc>
          <w:tcPr>
            <w:tcW w:w="3510" w:type="dxa"/>
            <w:tcBorders>
              <w:top w:val="single" w:color="auto" w:sz="4" w:space="0"/>
              <w:left w:val="nil"/>
              <w:bottom w:val="nil"/>
              <w:right w:val="nil"/>
            </w:tcBorders>
            <w:vAlign w:val="center"/>
          </w:tcPr>
          <w:p>
            <w:pPr>
              <w:widowControl/>
              <w:jc w:val="left"/>
              <w:rPr>
                <w:kern w:val="0"/>
                <w:sz w:val="22"/>
              </w:rPr>
            </w:pPr>
            <w:r>
              <w:rPr>
                <w:kern w:val="0"/>
                <w:sz w:val="22"/>
              </w:rPr>
              <w:t>　</w:t>
            </w:r>
          </w:p>
        </w:tc>
        <w:tc>
          <w:tcPr>
            <w:tcW w:w="510" w:type="dxa"/>
            <w:tcBorders>
              <w:top w:val="single" w:color="auto" w:sz="4" w:space="0"/>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　</w:t>
            </w:r>
          </w:p>
        </w:tc>
        <w:tc>
          <w:tcPr>
            <w:tcW w:w="1966" w:type="dxa"/>
            <w:gridSpan w:val="2"/>
            <w:tcBorders>
              <w:top w:val="single" w:color="auto" w:sz="4" w:space="0"/>
              <w:left w:val="nil"/>
              <w:bottom w:val="single" w:color="auto" w:sz="8" w:space="0"/>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miR-30c-1-3p</w:t>
            </w:r>
          </w:p>
        </w:tc>
        <w:tc>
          <w:tcPr>
            <w:tcW w:w="236" w:type="dxa"/>
            <w:gridSpan w:val="2"/>
            <w:tcBorders>
              <w:top w:val="single" w:color="auto" w:sz="4" w:space="0"/>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　</w:t>
            </w:r>
          </w:p>
        </w:tc>
        <w:tc>
          <w:tcPr>
            <w:tcW w:w="2516" w:type="dxa"/>
            <w:gridSpan w:val="2"/>
            <w:tcBorders>
              <w:top w:val="single" w:color="auto" w:sz="4" w:space="0"/>
              <w:left w:val="nil"/>
              <w:bottom w:val="single" w:color="auto" w:sz="8" w:space="0"/>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miR-30C-2-3p</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Variables</w:t>
            </w:r>
          </w:p>
        </w:tc>
        <w:tc>
          <w:tcPr>
            <w:tcW w:w="510" w:type="dxa"/>
            <w:tcBorders>
              <w:top w:val="nil"/>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No.</w:t>
            </w:r>
          </w:p>
        </w:tc>
        <w:tc>
          <w:tcPr>
            <w:tcW w:w="1024" w:type="dxa"/>
            <w:tcBorders>
              <w:top w:val="nil"/>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 xml:space="preserve">Median </w:t>
            </w:r>
          </w:p>
        </w:tc>
        <w:tc>
          <w:tcPr>
            <w:tcW w:w="1164" w:type="dxa"/>
            <w:gridSpan w:val="2"/>
            <w:tcBorders>
              <w:top w:val="nil"/>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P-value</w:t>
            </w:r>
          </w:p>
        </w:tc>
        <w:tc>
          <w:tcPr>
            <w:tcW w:w="1307" w:type="dxa"/>
            <w:gridSpan w:val="2"/>
            <w:tcBorders>
              <w:top w:val="nil"/>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Median</w:t>
            </w:r>
          </w:p>
        </w:tc>
        <w:tc>
          <w:tcPr>
            <w:tcW w:w="1223" w:type="dxa"/>
            <w:tcBorders>
              <w:top w:val="nil"/>
              <w:left w:val="nil"/>
              <w:bottom w:val="nil"/>
              <w:right w:val="nil"/>
            </w:tcBorders>
            <w:vAlign w:val="center"/>
          </w:tcPr>
          <w:p>
            <w:pPr>
              <w:jc w:val="center"/>
              <w:rPr>
                <w:rFonts w:ascii="Times New Roman" w:hAnsi="Times New Roman" w:eastAsia="Times New Roman"/>
                <w:b/>
                <w:bCs/>
                <w:color w:val="000000"/>
                <w:sz w:val="22"/>
              </w:rPr>
            </w:pPr>
            <w:r>
              <w:rPr>
                <w:rFonts w:hint="eastAsia" w:ascii="Times New Roman" w:hAnsi="Times New Roman" w:eastAsia="Times New Roman"/>
                <w:b/>
                <w:bCs/>
                <w:color w:val="000000"/>
                <w:sz w:val="22"/>
              </w:rPr>
              <w:t>P-value</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Age (y)</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 60</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42</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0.011</w:t>
            </w:r>
            <w:r>
              <w:rPr>
                <w:rFonts w:ascii="Times New Roman" w:hAnsi="Times New Roman" w:eastAsia="Times New Roman"/>
                <w:color w:val="000000"/>
                <w:sz w:val="22"/>
              </w:rPr>
              <w:t>7</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033</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0.0033</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0</w:t>
            </w:r>
            <w:r>
              <w:rPr>
                <w:rFonts w:hint="eastAsia" w:ascii="Times New Roman" w:hAnsi="Times New Roman" w:eastAsia="Times New Roman"/>
                <w:color w:val="000000"/>
                <w:sz w:val="22"/>
              </w:rPr>
              <w:t>2</w:t>
            </w:r>
            <w:r>
              <w:rPr>
                <w:rFonts w:ascii="Times New Roman" w:hAnsi="Times New Roman" w:eastAsia="Times New Roman"/>
                <w:color w:val="000000"/>
                <w:sz w:val="22"/>
              </w:rPr>
              <w:t>0</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 60</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44</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0.0050</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w:t>
            </w:r>
            <w:r>
              <w:rPr>
                <w:rFonts w:ascii="Times New Roman" w:hAnsi="Times New Roman" w:eastAsia="Times New Roman"/>
                <w:color w:val="000000"/>
                <w:sz w:val="22"/>
              </w:rPr>
              <w:t>6</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Gender</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Male</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75</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0.0054</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179</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w:t>
            </w:r>
            <w:r>
              <w:rPr>
                <w:rFonts w:ascii="Times New Roman" w:hAnsi="Times New Roman" w:eastAsia="Times New Roman"/>
                <w:color w:val="000000"/>
                <w:sz w:val="22"/>
              </w:rPr>
              <w:t>8</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xml:space="preserve"> 0.</w:t>
            </w:r>
            <w:r>
              <w:rPr>
                <w:rFonts w:ascii="Times New Roman" w:hAnsi="Times New Roman" w:eastAsia="Times New Roman"/>
                <w:color w:val="000000"/>
                <w:sz w:val="22"/>
              </w:rPr>
              <w:t>1</w:t>
            </w:r>
            <w:r>
              <w:rPr>
                <w:rFonts w:hint="eastAsia" w:ascii="Times New Roman" w:hAnsi="Times New Roman" w:eastAsia="Times New Roman"/>
                <w:color w:val="000000"/>
                <w:sz w:val="22"/>
              </w:rPr>
              <w:t>0</w:t>
            </w:r>
            <w:r>
              <w:rPr>
                <w:rFonts w:ascii="Times New Roman" w:hAnsi="Times New Roman" w:eastAsia="Times New Roman"/>
                <w:color w:val="000000"/>
                <w:sz w:val="22"/>
              </w:rPr>
              <w:t>3</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Female</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11</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0.0156</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0.0093</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Tumour size (mm)</w:t>
            </w:r>
            <w:r>
              <w:rPr>
                <w:b/>
                <w:bCs/>
                <w:kern w:val="0"/>
                <w:sz w:val="24"/>
                <w:szCs w:val="24"/>
              </w:rPr>
              <w:t xml:space="preserve"> </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＜50</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45</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0.0105</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0.272</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0.0030</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078</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 50</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41</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0.0050</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w:t>
            </w:r>
            <w:r>
              <w:rPr>
                <w:rFonts w:ascii="Times New Roman" w:hAnsi="Times New Roman" w:eastAsia="Times New Roman"/>
                <w:color w:val="000000"/>
                <w:sz w:val="22"/>
              </w:rPr>
              <w:t>5</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 xml:space="preserve">Clinical stage </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I / II</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29</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0.008</w:t>
            </w:r>
            <w:r>
              <w:rPr>
                <w:rFonts w:ascii="Times New Roman" w:hAnsi="Times New Roman" w:eastAsia="Times New Roman"/>
                <w:color w:val="000000"/>
                <w:sz w:val="22"/>
              </w:rPr>
              <w:t>6</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121</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0.002</w:t>
            </w:r>
            <w:r>
              <w:rPr>
                <w:rFonts w:ascii="Times New Roman" w:hAnsi="Times New Roman" w:eastAsia="Times New Roman"/>
                <w:color w:val="000000"/>
                <w:sz w:val="22"/>
              </w:rPr>
              <w:t>6</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366</w:t>
            </w: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 xml:space="preserve">  III /IV</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57</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0.0052</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0.0017</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Lymph node metastasis</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133"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Yes</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61</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0.0105</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w:t>
            </w:r>
            <w:r>
              <w:rPr>
                <w:rFonts w:ascii="Times New Roman" w:hAnsi="Times New Roman" w:eastAsia="Times New Roman"/>
                <w:color w:val="000000"/>
                <w:sz w:val="22"/>
              </w:rPr>
              <w:t>20</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0.0018</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0.815</w:t>
            </w:r>
          </w:p>
        </w:tc>
      </w:tr>
      <w:tr>
        <w:tblPrEx>
          <w:tblLayout w:type="fixed"/>
          <w:tblCellMar>
            <w:top w:w="0" w:type="dxa"/>
            <w:left w:w="108" w:type="dxa"/>
            <w:bottom w:w="0" w:type="dxa"/>
            <w:right w:w="108" w:type="dxa"/>
          </w:tblCellMar>
        </w:tblPrEx>
        <w:trPr>
          <w:trHeight w:val="109" w:hRule="atLeast"/>
        </w:trPr>
        <w:tc>
          <w:tcPr>
            <w:tcW w:w="3510" w:type="dxa"/>
            <w:tcBorders>
              <w:top w:val="nil"/>
              <w:left w:val="nil"/>
              <w:bottom w:val="nil"/>
              <w:right w:val="nil"/>
            </w:tcBorders>
            <w:vAlign w:val="center"/>
          </w:tcPr>
          <w:p>
            <w:pPr>
              <w:jc w:val="left"/>
              <w:rPr>
                <w:rFonts w:ascii="Times New Roman" w:hAnsi="Times New Roman" w:eastAsia="Times New Roman"/>
                <w:color w:val="000000"/>
                <w:sz w:val="24"/>
              </w:rPr>
            </w:pPr>
            <w:r>
              <w:rPr>
                <w:rFonts w:hint="eastAsia" w:ascii="Times New Roman" w:hAnsi="Times New Roman" w:eastAsia="Times New Roman"/>
                <w:color w:val="000000"/>
                <w:sz w:val="24"/>
              </w:rPr>
              <w:t>No</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25</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0.0027</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0.0024</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213"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WHO histological classification</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vMerge w:val="restart"/>
            <w:tcBorders>
              <w:top w:val="nil"/>
              <w:left w:val="nil"/>
              <w:right w:val="nil"/>
            </w:tcBorders>
            <w:vAlign w:val="center"/>
          </w:tcPr>
          <w:p>
            <w:pPr>
              <w:widowControl/>
              <w:jc w:val="left"/>
              <w:rPr>
                <w:kern w:val="0"/>
                <w:sz w:val="24"/>
                <w:szCs w:val="24"/>
              </w:rPr>
            </w:pPr>
            <w:r>
              <w:rPr>
                <w:kern w:val="0"/>
                <w:sz w:val="24"/>
                <w:szCs w:val="24"/>
              </w:rPr>
              <w:t xml:space="preserve"> </w:t>
            </w:r>
            <w:r>
              <w:rPr>
                <w:rFonts w:hint="eastAsia" w:ascii="Times New Roman" w:hAnsi="Times New Roman" w:eastAsia="Times New Roman"/>
                <w:color w:val="000000"/>
                <w:sz w:val="24"/>
              </w:rPr>
              <w:t xml:space="preserve"> Well-Moderately differentiated</w:t>
            </w:r>
          </w:p>
        </w:tc>
        <w:tc>
          <w:tcPr>
            <w:tcW w:w="510"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25</w:t>
            </w:r>
          </w:p>
        </w:tc>
        <w:tc>
          <w:tcPr>
            <w:tcW w:w="1024"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0.0054</w:t>
            </w:r>
          </w:p>
        </w:tc>
        <w:tc>
          <w:tcPr>
            <w:tcW w:w="942"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0.029</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0.0018</w:t>
            </w:r>
          </w:p>
        </w:tc>
        <w:tc>
          <w:tcPr>
            <w:tcW w:w="1223"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318</w:t>
            </w:r>
          </w:p>
        </w:tc>
      </w:tr>
      <w:tr>
        <w:tblPrEx>
          <w:tblLayout w:type="fixed"/>
          <w:tblCellMar>
            <w:top w:w="0" w:type="dxa"/>
            <w:left w:w="108" w:type="dxa"/>
            <w:bottom w:w="0" w:type="dxa"/>
            <w:right w:w="108" w:type="dxa"/>
          </w:tblCellMar>
        </w:tblPrEx>
        <w:trPr>
          <w:trHeight w:val="222" w:hRule="atLeast"/>
        </w:trPr>
        <w:tc>
          <w:tcPr>
            <w:tcW w:w="3510" w:type="dxa"/>
            <w:vMerge w:val="continue"/>
            <w:tcBorders>
              <w:left w:val="nil"/>
              <w:bottom w:val="nil"/>
              <w:right w:val="nil"/>
            </w:tcBorders>
            <w:vAlign w:val="center"/>
          </w:tcPr>
          <w:p>
            <w:pPr>
              <w:widowControl/>
              <w:jc w:val="left"/>
              <w:rPr>
                <w:kern w:val="0"/>
                <w:sz w:val="24"/>
                <w:szCs w:val="24"/>
              </w:rPr>
            </w:pPr>
          </w:p>
        </w:tc>
        <w:tc>
          <w:tcPr>
            <w:tcW w:w="510"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1024"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942"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1223" w:type="dxa"/>
            <w:vMerge w:val="continue"/>
            <w:tcBorders>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vMerge w:val="restart"/>
            <w:tcBorders>
              <w:top w:val="nil"/>
              <w:left w:val="nil"/>
              <w:right w:val="nil"/>
            </w:tcBorders>
            <w:vAlign w:val="center"/>
          </w:tcPr>
          <w:p>
            <w:pPr>
              <w:widowControl/>
              <w:jc w:val="left"/>
              <w:rPr>
                <w:kern w:val="0"/>
                <w:sz w:val="24"/>
                <w:szCs w:val="24"/>
              </w:rPr>
            </w:pPr>
            <w:r>
              <w:rPr>
                <w:kern w:val="0"/>
                <w:sz w:val="24"/>
                <w:szCs w:val="24"/>
              </w:rPr>
              <w:t xml:space="preserve">  </w:t>
            </w:r>
            <w:r>
              <w:rPr>
                <w:rFonts w:hint="eastAsia" w:ascii="Times New Roman" w:hAnsi="Times New Roman" w:eastAsia="Times New Roman"/>
                <w:color w:val="000000"/>
                <w:sz w:val="24"/>
              </w:rPr>
              <w:t>Poorly differentiated</w:t>
            </w:r>
          </w:p>
        </w:tc>
        <w:tc>
          <w:tcPr>
            <w:tcW w:w="510"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61</w:t>
            </w:r>
          </w:p>
        </w:tc>
        <w:tc>
          <w:tcPr>
            <w:tcW w:w="1024"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0.0064</w:t>
            </w:r>
          </w:p>
        </w:tc>
        <w:tc>
          <w:tcPr>
            <w:tcW w:w="942" w:type="dxa"/>
            <w:vMerge w:val="restart"/>
            <w:tcBorders>
              <w:top w:val="nil"/>
              <w:left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vMerge w:val="restart"/>
            <w:tcBorders>
              <w:top w:val="nil"/>
              <w:left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0.0019</w:t>
            </w:r>
          </w:p>
        </w:tc>
        <w:tc>
          <w:tcPr>
            <w:tcW w:w="1223" w:type="dxa"/>
            <w:vMerge w:val="restart"/>
            <w:tcBorders>
              <w:top w:val="nil"/>
              <w:left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102" w:hRule="atLeast"/>
        </w:trPr>
        <w:tc>
          <w:tcPr>
            <w:tcW w:w="3510" w:type="dxa"/>
            <w:vMerge w:val="continue"/>
            <w:tcBorders>
              <w:left w:val="nil"/>
              <w:bottom w:val="nil"/>
              <w:right w:val="nil"/>
            </w:tcBorders>
            <w:vAlign w:val="center"/>
          </w:tcPr>
          <w:p>
            <w:pPr>
              <w:widowControl/>
              <w:rPr>
                <w:kern w:val="0"/>
                <w:sz w:val="24"/>
                <w:szCs w:val="24"/>
              </w:rPr>
            </w:pPr>
          </w:p>
        </w:tc>
        <w:tc>
          <w:tcPr>
            <w:tcW w:w="510"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1024"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942"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vMerge w:val="continue"/>
            <w:tcBorders>
              <w:left w:val="nil"/>
              <w:bottom w:val="nil"/>
              <w:right w:val="nil"/>
            </w:tcBorders>
            <w:vAlign w:val="center"/>
          </w:tcPr>
          <w:p>
            <w:pPr>
              <w:jc w:val="center"/>
              <w:rPr>
                <w:rFonts w:ascii="Times New Roman" w:hAnsi="Times New Roman" w:eastAsia="Times New Roman"/>
                <w:color w:val="000000"/>
                <w:sz w:val="22"/>
              </w:rPr>
            </w:pPr>
          </w:p>
        </w:tc>
        <w:tc>
          <w:tcPr>
            <w:tcW w:w="1223" w:type="dxa"/>
            <w:vMerge w:val="continue"/>
            <w:tcBorders>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b/>
                <w:bCs/>
                <w:kern w:val="0"/>
                <w:sz w:val="24"/>
                <w:szCs w:val="24"/>
              </w:rPr>
            </w:pPr>
            <w:r>
              <w:rPr>
                <w:rFonts w:hint="eastAsia" w:ascii="Times New Roman" w:hAnsi="Times New Roman" w:eastAsia="Times New Roman"/>
                <w:b/>
                <w:color w:val="000000"/>
                <w:sz w:val="24"/>
              </w:rPr>
              <w:t>Lauren’s classification</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nil"/>
              <w:right w:val="nil"/>
            </w:tcBorders>
            <w:vAlign w:val="center"/>
          </w:tcPr>
          <w:p>
            <w:pPr>
              <w:widowControl/>
              <w:rPr>
                <w:rFonts w:ascii="Times New Roman" w:hAnsi="Times New Roman" w:eastAsia="Times New Roman"/>
                <w:color w:val="000000"/>
                <w:sz w:val="24"/>
              </w:rPr>
            </w:pPr>
            <w:r>
              <w:rPr>
                <w:rFonts w:hint="eastAsia" w:ascii="Times New Roman" w:hAnsi="Times New Roman" w:eastAsia="Times New Roman"/>
                <w:color w:val="000000"/>
                <w:sz w:val="24"/>
              </w:rPr>
              <w:t xml:space="preserve">  Intestinal type </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37</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0.006</w:t>
            </w:r>
            <w:r>
              <w:rPr>
                <w:rFonts w:ascii="Times New Roman" w:hAnsi="Times New Roman" w:eastAsia="Times New Roman"/>
                <w:color w:val="000000"/>
                <w:sz w:val="22"/>
              </w:rPr>
              <w:t>9</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w:t>
            </w:r>
            <w:r>
              <w:rPr>
                <w:rFonts w:ascii="Times New Roman" w:hAnsi="Times New Roman" w:eastAsia="Times New Roman"/>
                <w:color w:val="000000"/>
                <w:sz w:val="22"/>
              </w:rPr>
              <w:t>827</w:t>
            </w: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0.0019</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0.2</w:t>
            </w:r>
            <w:r>
              <w:rPr>
                <w:rFonts w:ascii="Times New Roman" w:hAnsi="Times New Roman" w:eastAsia="Times New Roman"/>
                <w:color w:val="000000"/>
                <w:sz w:val="22"/>
              </w:rPr>
              <w:t>2</w:t>
            </w:r>
            <w:r>
              <w:rPr>
                <w:rFonts w:hint="eastAsia" w:ascii="Times New Roman" w:hAnsi="Times New Roman" w:eastAsia="Times New Roman"/>
                <w:color w:val="000000"/>
                <w:sz w:val="22"/>
              </w:rPr>
              <w:t>2</w:t>
            </w:r>
          </w:p>
        </w:tc>
      </w:tr>
      <w:tr>
        <w:tblPrEx>
          <w:tblLayout w:type="fixed"/>
          <w:tblCellMar>
            <w:top w:w="0" w:type="dxa"/>
            <w:left w:w="108" w:type="dxa"/>
            <w:bottom w:w="0" w:type="dxa"/>
            <w:right w:w="108" w:type="dxa"/>
          </w:tblCellMar>
        </w:tblPrEx>
        <w:trPr>
          <w:trHeight w:val="330" w:hRule="atLeast"/>
        </w:trPr>
        <w:tc>
          <w:tcPr>
            <w:tcW w:w="3510" w:type="dxa"/>
            <w:tcBorders>
              <w:top w:val="nil"/>
              <w:left w:val="nil"/>
              <w:bottom w:val="nil"/>
              <w:right w:val="nil"/>
            </w:tcBorders>
            <w:vAlign w:val="center"/>
          </w:tcPr>
          <w:p>
            <w:pPr>
              <w:widowControl/>
              <w:rPr>
                <w:rFonts w:ascii="Times New Roman" w:hAnsi="Times New Roman" w:eastAsia="Times New Roman"/>
                <w:color w:val="000000"/>
                <w:sz w:val="24"/>
              </w:rPr>
            </w:pPr>
            <w:r>
              <w:rPr>
                <w:rFonts w:hint="eastAsia" w:ascii="Times New Roman" w:hAnsi="Times New Roman" w:eastAsia="Times New Roman"/>
                <w:color w:val="000000"/>
                <w:sz w:val="24"/>
              </w:rPr>
              <w:t xml:space="preserve">  Diffuse type  </w:t>
            </w:r>
          </w:p>
        </w:tc>
        <w:tc>
          <w:tcPr>
            <w:tcW w:w="510"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49</w:t>
            </w:r>
          </w:p>
        </w:tc>
        <w:tc>
          <w:tcPr>
            <w:tcW w:w="1024"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0.0050</w:t>
            </w:r>
          </w:p>
        </w:tc>
        <w:tc>
          <w:tcPr>
            <w:tcW w:w="942" w:type="dxa"/>
            <w:tcBorders>
              <w:top w:val="nil"/>
              <w:left w:val="nil"/>
              <w:bottom w:val="nil"/>
              <w:right w:val="nil"/>
            </w:tcBorders>
            <w:vAlign w:val="center"/>
          </w:tcPr>
          <w:p>
            <w:pPr>
              <w:jc w:val="center"/>
              <w:rPr>
                <w:rFonts w:ascii="Times New Roman" w:hAnsi="Times New Roman" w:eastAsia="Times New Roman"/>
                <w:color w:val="000000"/>
                <w:sz w:val="22"/>
              </w:rPr>
            </w:pPr>
          </w:p>
        </w:tc>
        <w:tc>
          <w:tcPr>
            <w:tcW w:w="236" w:type="dxa"/>
            <w:gridSpan w:val="2"/>
            <w:tcBorders>
              <w:top w:val="nil"/>
              <w:left w:val="nil"/>
              <w:bottom w:val="nil"/>
              <w:right w:val="nil"/>
            </w:tcBorders>
            <w:vAlign w:val="center"/>
          </w:tcPr>
          <w:p>
            <w:pPr>
              <w:jc w:val="center"/>
              <w:rPr>
                <w:rFonts w:ascii="Times New Roman" w:hAnsi="Times New Roman" w:eastAsia="Times New Roman"/>
                <w:color w:val="000000"/>
                <w:sz w:val="22"/>
              </w:rPr>
            </w:pPr>
          </w:p>
        </w:tc>
        <w:tc>
          <w:tcPr>
            <w:tcW w:w="1293" w:type="dxa"/>
            <w:tcBorders>
              <w:top w:val="nil"/>
              <w:left w:val="nil"/>
              <w:bottom w:val="nil"/>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0.001</w:t>
            </w:r>
            <w:r>
              <w:rPr>
                <w:rFonts w:ascii="Times New Roman" w:hAnsi="Times New Roman" w:eastAsia="Times New Roman"/>
                <w:color w:val="000000"/>
                <w:sz w:val="22"/>
              </w:rPr>
              <w:t>8</w:t>
            </w:r>
          </w:p>
        </w:tc>
        <w:tc>
          <w:tcPr>
            <w:tcW w:w="1223" w:type="dxa"/>
            <w:tcBorders>
              <w:top w:val="nil"/>
              <w:left w:val="nil"/>
              <w:bottom w:val="nil"/>
              <w:right w:val="nil"/>
            </w:tcBorders>
            <w:vAlign w:val="center"/>
          </w:tcPr>
          <w:p>
            <w:pPr>
              <w:jc w:val="center"/>
              <w:rPr>
                <w:rFonts w:ascii="Times New Roman" w:hAnsi="Times New Roman" w:eastAsia="Times New Roman"/>
                <w:color w:val="000000"/>
                <w:sz w:val="22"/>
              </w:rPr>
            </w:pPr>
          </w:p>
        </w:tc>
      </w:tr>
      <w:tr>
        <w:tblPrEx>
          <w:tblLayout w:type="fixed"/>
          <w:tblCellMar>
            <w:top w:w="0" w:type="dxa"/>
            <w:left w:w="108" w:type="dxa"/>
            <w:bottom w:w="0" w:type="dxa"/>
            <w:right w:w="108" w:type="dxa"/>
          </w:tblCellMar>
        </w:tblPrEx>
        <w:trPr>
          <w:trHeight w:val="315" w:hRule="atLeast"/>
        </w:trPr>
        <w:tc>
          <w:tcPr>
            <w:tcW w:w="3510" w:type="dxa"/>
            <w:tcBorders>
              <w:top w:val="nil"/>
              <w:left w:val="nil"/>
              <w:bottom w:val="single" w:color="auto" w:sz="4" w:space="0"/>
              <w:right w:val="nil"/>
            </w:tcBorders>
            <w:vAlign w:val="center"/>
          </w:tcPr>
          <w:p>
            <w:pPr>
              <w:widowControl/>
              <w:rPr>
                <w:b/>
                <w:bCs/>
                <w:kern w:val="0"/>
                <w:sz w:val="24"/>
                <w:szCs w:val="24"/>
              </w:rPr>
            </w:pPr>
          </w:p>
        </w:tc>
        <w:tc>
          <w:tcPr>
            <w:tcW w:w="510" w:type="dxa"/>
            <w:tcBorders>
              <w:top w:val="nil"/>
              <w:left w:val="nil"/>
              <w:bottom w:val="single" w:color="auto" w:sz="4" w:space="0"/>
              <w:right w:val="nil"/>
            </w:tcBorders>
            <w:vAlign w:val="center"/>
          </w:tcPr>
          <w:p>
            <w:pPr>
              <w:jc w:val="center"/>
              <w:rPr>
                <w:rFonts w:ascii="Times New Roman" w:hAnsi="Times New Roman" w:eastAsia="Times New Roman"/>
                <w:color w:val="000000"/>
                <w:sz w:val="22"/>
              </w:rPr>
            </w:pPr>
          </w:p>
        </w:tc>
        <w:tc>
          <w:tcPr>
            <w:tcW w:w="1024" w:type="dxa"/>
            <w:tcBorders>
              <w:top w:val="nil"/>
              <w:left w:val="nil"/>
              <w:bottom w:val="single" w:color="auto" w:sz="4" w:space="0"/>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w:t>
            </w:r>
          </w:p>
        </w:tc>
        <w:tc>
          <w:tcPr>
            <w:tcW w:w="942" w:type="dxa"/>
            <w:tcBorders>
              <w:top w:val="nil"/>
              <w:left w:val="nil"/>
              <w:bottom w:val="single" w:color="auto" w:sz="4" w:space="0"/>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w:t>
            </w:r>
          </w:p>
        </w:tc>
        <w:tc>
          <w:tcPr>
            <w:tcW w:w="236" w:type="dxa"/>
            <w:gridSpan w:val="2"/>
            <w:tcBorders>
              <w:top w:val="nil"/>
              <w:left w:val="nil"/>
              <w:bottom w:val="single" w:color="auto" w:sz="4" w:space="0"/>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w:t>
            </w:r>
          </w:p>
        </w:tc>
        <w:tc>
          <w:tcPr>
            <w:tcW w:w="1293" w:type="dxa"/>
            <w:tcBorders>
              <w:top w:val="nil"/>
              <w:left w:val="nil"/>
              <w:bottom w:val="single" w:color="auto" w:sz="4" w:space="0"/>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w:t>
            </w:r>
          </w:p>
        </w:tc>
        <w:tc>
          <w:tcPr>
            <w:tcW w:w="1223" w:type="dxa"/>
            <w:tcBorders>
              <w:top w:val="nil"/>
              <w:left w:val="nil"/>
              <w:bottom w:val="single" w:color="auto" w:sz="4" w:space="0"/>
              <w:right w:val="nil"/>
            </w:tcBorders>
            <w:vAlign w:val="center"/>
          </w:tcPr>
          <w:p>
            <w:pPr>
              <w:jc w:val="center"/>
              <w:rPr>
                <w:rFonts w:ascii="Times New Roman" w:hAnsi="Times New Roman" w:eastAsia="Times New Roman"/>
                <w:color w:val="000000"/>
                <w:sz w:val="22"/>
              </w:rPr>
            </w:pPr>
            <w:r>
              <w:rPr>
                <w:rFonts w:hint="eastAsia" w:ascii="Times New Roman" w:hAnsi="Times New Roman" w:eastAsia="Times New Roman"/>
                <w:color w:val="000000"/>
                <w:sz w:val="22"/>
              </w:rPr>
              <w:t>　</w:t>
            </w:r>
          </w:p>
        </w:tc>
      </w:tr>
    </w:tbl>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p>
      <w:pPr>
        <w:spacing w:line="360" w:lineRule="auto"/>
        <w:rPr>
          <w:rFonts w:ascii="Times New Roman" w:hAnsi="Times New Roman"/>
          <w:bCs/>
          <w:szCs w:val="21"/>
        </w:rPr>
      </w:pPr>
    </w:p>
    <w:tbl>
      <w:tblPr>
        <w:tblStyle w:val="5"/>
        <w:tblW w:w="8764" w:type="dxa"/>
        <w:tblInd w:w="0" w:type="dxa"/>
        <w:tblLayout w:type="fixed"/>
        <w:tblCellMar>
          <w:top w:w="0" w:type="dxa"/>
          <w:left w:w="108" w:type="dxa"/>
          <w:bottom w:w="0" w:type="dxa"/>
          <w:right w:w="108" w:type="dxa"/>
        </w:tblCellMar>
      </w:tblPr>
      <w:tblGrid>
        <w:gridCol w:w="2802"/>
        <w:gridCol w:w="5962"/>
      </w:tblGrid>
      <w:tr>
        <w:tblPrEx>
          <w:tblLayout w:type="fixed"/>
          <w:tblCellMar>
            <w:top w:w="0" w:type="dxa"/>
            <w:left w:w="108" w:type="dxa"/>
            <w:bottom w:w="0" w:type="dxa"/>
            <w:right w:w="108" w:type="dxa"/>
          </w:tblCellMar>
        </w:tblPrEx>
        <w:trPr>
          <w:trHeight w:val="480" w:hRule="atLeast"/>
        </w:trPr>
        <w:tc>
          <w:tcPr>
            <w:tcW w:w="8764" w:type="dxa"/>
            <w:gridSpan w:val="2"/>
            <w:tcBorders>
              <w:top w:val="nil"/>
              <w:left w:val="nil"/>
              <w:bottom w:val="single" w:color="auto" w:sz="4" w:space="0"/>
              <w:right w:val="nil"/>
            </w:tcBorders>
            <w:shd w:val="clear" w:color="auto" w:fill="auto"/>
            <w:vAlign w:val="center"/>
          </w:tcPr>
          <w:p>
            <w:pPr>
              <w:widowControl/>
              <w:spacing w:line="276" w:lineRule="auto"/>
              <w:jc w:val="left"/>
              <w:rPr>
                <w:rFonts w:ascii="Times New Roman" w:hAnsi="Times New Roman"/>
                <w:b/>
                <w:bCs/>
                <w:color w:val="000000"/>
                <w:kern w:val="0"/>
                <w:sz w:val="22"/>
              </w:rPr>
            </w:pPr>
            <w:r>
              <w:rPr>
                <w:rFonts w:ascii="Times New Roman" w:hAnsi="Times New Roman"/>
                <w:b/>
                <w:sz w:val="24"/>
              </w:rPr>
              <w:t>Additional file</w:t>
            </w:r>
            <w:r>
              <w:rPr>
                <w:rFonts w:ascii="Times New Roman" w:hAnsi="Times New Roman"/>
                <w:b/>
                <w:sz w:val="24"/>
                <w:szCs w:val="24"/>
              </w:rPr>
              <w:t xml:space="preserve">, </w:t>
            </w:r>
            <w:r>
              <w:rPr>
                <w:rFonts w:ascii="Times New Roman" w:hAnsi="Times New Roman"/>
                <w:b/>
                <w:bCs/>
                <w:color w:val="000000"/>
                <w:kern w:val="0"/>
                <w:sz w:val="22"/>
              </w:rPr>
              <w:t>Table</w:t>
            </w:r>
            <w:r>
              <w:rPr>
                <w:rFonts w:hint="eastAsia" w:ascii="Times New Roman" w:hAnsi="Times New Roman"/>
                <w:b/>
                <w:bCs/>
                <w:color w:val="000000"/>
                <w:kern w:val="0"/>
                <w:sz w:val="22"/>
              </w:rPr>
              <w:t>S</w:t>
            </w:r>
            <w:r>
              <w:rPr>
                <w:rFonts w:ascii="Times New Roman" w:hAnsi="Times New Roman"/>
                <w:b/>
                <w:bCs/>
                <w:color w:val="000000"/>
                <w:kern w:val="0"/>
                <w:sz w:val="22"/>
              </w:rPr>
              <w:t xml:space="preserve"> 3. </w:t>
            </w:r>
            <w:r>
              <w:rPr>
                <w:rFonts w:hint="eastAsia" w:ascii="Times New Roman" w:hAnsi="Times New Roman"/>
                <w:b/>
                <w:bCs/>
                <w:color w:val="000000"/>
                <w:kern w:val="0"/>
                <w:sz w:val="22"/>
              </w:rPr>
              <w:t xml:space="preserve">Sequences of </w:t>
            </w:r>
            <w:r>
              <w:rPr>
                <w:rFonts w:ascii="Times New Roman" w:hAnsi="Times New Roman"/>
                <w:b/>
                <w:bCs/>
                <w:color w:val="000000"/>
                <w:kern w:val="0"/>
                <w:sz w:val="22"/>
              </w:rPr>
              <w:t>RT-qPCR primers and siRNA</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b/>
                <w:bCs/>
                <w:color w:val="000000"/>
                <w:kern w:val="0"/>
                <w:sz w:val="22"/>
              </w:rPr>
            </w:pPr>
            <w:r>
              <w:rPr>
                <w:rFonts w:hint="eastAsia" w:ascii="Times New Roman" w:hAnsi="Times New Roman"/>
                <w:b/>
                <w:bCs/>
                <w:color w:val="000000"/>
                <w:kern w:val="0"/>
                <w:sz w:val="22"/>
              </w:rPr>
              <w:t>Gene</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b/>
                <w:bCs/>
                <w:color w:val="000000"/>
                <w:kern w:val="0"/>
                <w:sz w:val="22"/>
              </w:rPr>
            </w:pPr>
            <w:r>
              <w:rPr>
                <w:rFonts w:ascii="Times New Roman" w:hAnsi="Times New Roman"/>
                <w:b/>
                <w:bCs/>
                <w:color w:val="000000"/>
                <w:kern w:val="0"/>
                <w:sz w:val="22"/>
              </w:rPr>
              <w:t>Sequence</w:t>
            </w:r>
          </w:p>
        </w:tc>
      </w:tr>
      <w:tr>
        <w:tblPrEx>
          <w:tblLayout w:type="fixed"/>
          <w:tblCellMar>
            <w:top w:w="0" w:type="dxa"/>
            <w:left w:w="108" w:type="dxa"/>
            <w:bottom w:w="0" w:type="dxa"/>
            <w:right w:w="108" w:type="dxa"/>
          </w:tblCellMar>
        </w:tblPrEx>
        <w:trPr>
          <w:trHeight w:val="330"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ascii="Times New Roman" w:hAnsi="Times New Roman"/>
                <w:color w:val="000000"/>
                <w:sz w:val="22"/>
              </w:rPr>
              <w:t xml:space="preserve">GAGE7B </w:t>
            </w:r>
            <w:r>
              <w:rPr>
                <w:rFonts w:ascii="Times New Roman" w:hAnsi="Times New Roman"/>
                <w:color w:val="000000"/>
                <w:kern w:val="0"/>
                <w:sz w:val="22"/>
              </w:rPr>
              <w:t>-F</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GGGAACCAGCAACTCAACG</w:t>
            </w:r>
            <w:r>
              <w:rPr>
                <w:rFonts w:ascii="Times New Roman" w:hAnsi="Times New Roman"/>
                <w:color w:val="000000"/>
                <w:kern w:val="0"/>
                <w:sz w:val="22"/>
              </w:rPr>
              <w:t xml:space="preserve"> -3’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ascii="Times New Roman" w:hAnsi="Times New Roman"/>
                <w:color w:val="000000"/>
                <w:sz w:val="22"/>
              </w:rPr>
              <w:t xml:space="preserve">GAGE7B </w:t>
            </w:r>
            <w:r>
              <w:rPr>
                <w:rFonts w:ascii="Times New Roman" w:hAnsi="Times New Roman"/>
                <w:color w:val="000000"/>
                <w:kern w:val="0"/>
                <w:sz w:val="22"/>
              </w:rPr>
              <w:t>-R</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CCCATCAGGACCATCTTCAC</w:t>
            </w:r>
            <w:r>
              <w:rPr>
                <w:rFonts w:ascii="Times New Roman" w:hAnsi="Times New Roman"/>
                <w:color w:val="000000"/>
                <w:kern w:val="0"/>
                <w:sz w:val="22"/>
              </w:rPr>
              <w:t xml:space="preserve"> -3’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PHGR1-F</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’-AGATGGCAAGCCTGAGAGAA-3’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PHGR1-R</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’-AGAATAGAATGTGGCCTCTAGGA-3’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ZNF503-F</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CCCCTACGGCTTTATGCTCC</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ZNF503-R</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GGCCAGAGACGACGAGC</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GAGE7B-3</w:t>
            </w:r>
            <w:r>
              <w:rPr>
                <w:rFonts w:ascii="Times New Roman" w:hAnsi="Times New Roman"/>
                <w:color w:val="000000"/>
                <w:sz w:val="22"/>
              </w:rPr>
              <w:t>’</w:t>
            </w:r>
            <w:r>
              <w:rPr>
                <w:rFonts w:hint="eastAsia" w:ascii="Times New Roman" w:hAnsi="Times New Roman"/>
                <w:color w:val="000000"/>
                <w:sz w:val="22"/>
              </w:rPr>
              <w:t>UTR-F</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CAGGCTGCTCCTATGTTGGAA</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GAGE7B-3</w:t>
            </w:r>
            <w:r>
              <w:rPr>
                <w:rFonts w:ascii="Times New Roman" w:hAnsi="Times New Roman"/>
                <w:color w:val="000000"/>
                <w:sz w:val="22"/>
              </w:rPr>
              <w:t>’</w:t>
            </w:r>
            <w:r>
              <w:rPr>
                <w:rFonts w:hint="eastAsia" w:ascii="Times New Roman" w:hAnsi="Times New Roman"/>
                <w:color w:val="000000"/>
                <w:sz w:val="22"/>
              </w:rPr>
              <w:t>UTR-R</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TCTTTGCAGAAGGCTGTAAAGC</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p38</w:t>
            </w:r>
            <w:r>
              <w:rPr>
                <w:rFonts w:hint="eastAsia" w:ascii="楷体" w:hAnsi="楷体" w:eastAsia="楷体"/>
                <w:color w:val="000000"/>
                <w:sz w:val="22"/>
              </w:rPr>
              <w:t>δ</w:t>
            </w:r>
            <w:r>
              <w:rPr>
                <w:rFonts w:hint="eastAsia" w:ascii="Times New Roman" w:hAnsi="Times New Roman"/>
                <w:color w:val="000000"/>
                <w:sz w:val="22"/>
              </w:rPr>
              <w:t>-3</w:t>
            </w:r>
            <w:r>
              <w:rPr>
                <w:rFonts w:ascii="Times New Roman" w:hAnsi="Times New Roman"/>
                <w:color w:val="000000"/>
                <w:sz w:val="22"/>
              </w:rPr>
              <w:t>’</w:t>
            </w:r>
            <w:r>
              <w:rPr>
                <w:rFonts w:hint="eastAsia" w:ascii="Times New Roman" w:hAnsi="Times New Roman"/>
                <w:color w:val="000000"/>
                <w:sz w:val="22"/>
              </w:rPr>
              <w:t>UTR-1-F</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AACAGCATGACACACATAGCC</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r>
              <w:rPr>
                <w:rFonts w:hint="eastAsia" w:ascii="Times New Roman" w:hAnsi="Times New Roman"/>
                <w:color w:val="000000"/>
                <w:sz w:val="22"/>
              </w:rPr>
              <w:t>p38</w:t>
            </w:r>
            <w:r>
              <w:rPr>
                <w:rFonts w:hint="eastAsia" w:ascii="楷体" w:hAnsi="楷体" w:eastAsia="楷体"/>
                <w:color w:val="000000"/>
                <w:sz w:val="22"/>
              </w:rPr>
              <w:t>δ</w:t>
            </w:r>
            <w:r>
              <w:rPr>
                <w:rFonts w:hint="eastAsia" w:ascii="Times New Roman" w:hAnsi="Times New Roman"/>
                <w:color w:val="000000"/>
                <w:sz w:val="22"/>
              </w:rPr>
              <w:t>-3</w:t>
            </w:r>
            <w:r>
              <w:rPr>
                <w:rFonts w:ascii="Times New Roman" w:hAnsi="Times New Roman"/>
                <w:color w:val="000000"/>
                <w:sz w:val="22"/>
              </w:rPr>
              <w:t>’</w:t>
            </w:r>
            <w:r>
              <w:rPr>
                <w:rFonts w:hint="eastAsia" w:ascii="Times New Roman" w:hAnsi="Times New Roman"/>
                <w:color w:val="000000"/>
                <w:sz w:val="22"/>
              </w:rPr>
              <w:t>UTR-1-R</w:t>
            </w: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w:t>
            </w:r>
            <w:r>
              <w:rPr>
                <w:rFonts w:ascii="Times New Roman" w:hAnsi="Times New Roman"/>
                <w:color w:val="000000"/>
                <w:kern w:val="0"/>
                <w:sz w:val="22"/>
              </w:rPr>
              <w:t>GGGAGAGGCAATATCGGGAC</w:t>
            </w:r>
            <w:r>
              <w:rPr>
                <w:rFonts w:hint="eastAsia" w:ascii="Times New Roman" w:hAnsi="Times New Roman"/>
                <w:color w:val="000000"/>
                <w:kern w:val="0"/>
                <w:sz w:val="22"/>
              </w:rPr>
              <w:t>-3</w:t>
            </w:r>
            <w:r>
              <w:rPr>
                <w:rFonts w:ascii="Times New Roman" w:hAnsi="Times New Roman"/>
                <w:color w:val="000000"/>
                <w:kern w:val="0"/>
                <w:sz w:val="22"/>
              </w:rPr>
              <w:t>’</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right w:val="nil"/>
            </w:tcBorders>
            <w:shd w:val="clear" w:color="auto" w:fill="auto"/>
            <w:vAlign w:val="center"/>
          </w:tcPr>
          <w:p>
            <w:pPr>
              <w:widowControl/>
              <w:spacing w:line="276" w:lineRule="auto"/>
              <w:jc w:val="left"/>
              <w:rPr>
                <w:rFonts w:ascii="Times New Roman" w:hAnsi="Times New Roman"/>
                <w:color w:val="000000"/>
                <w:sz w:val="22"/>
              </w:rPr>
            </w:pPr>
            <w:r>
              <w:rPr>
                <w:rFonts w:ascii="Times New Roman" w:hAnsi="Times New Roman"/>
                <w:color w:val="000000"/>
                <w:kern w:val="0"/>
                <w:sz w:val="22"/>
              </w:rPr>
              <w:t>Si-GAGE7B-1</w:t>
            </w:r>
          </w:p>
        </w:tc>
        <w:tc>
          <w:tcPr>
            <w:tcW w:w="5962" w:type="dxa"/>
            <w:tcBorders>
              <w:top w:val="nil"/>
              <w:left w:val="nil"/>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 xml:space="preserve">’- </w:t>
            </w:r>
            <w:r>
              <w:rPr>
                <w:rFonts w:hint="eastAsia" w:ascii="Times New Roman" w:hAnsi="Times New Roman"/>
                <w:color w:val="000000"/>
                <w:kern w:val="0"/>
                <w:sz w:val="22"/>
              </w:rPr>
              <w:t>GGAGCAUCUGCAGGUCAAGTT-3</w:t>
            </w:r>
            <w:r>
              <w:rPr>
                <w:rFonts w:ascii="Times New Roman" w:hAnsi="Times New Roman"/>
                <w:color w:val="000000"/>
                <w:kern w:val="0"/>
                <w:sz w:val="22"/>
              </w:rPr>
              <w:t xml:space="preserve">’ </w:t>
            </w:r>
          </w:p>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 CUUGACCUGCAGAUGCUCCTT -3’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single" w:color="auto" w:sz="4" w:space="0"/>
              <w:right w:val="nil"/>
            </w:tcBorders>
            <w:shd w:val="clear" w:color="auto" w:fill="auto"/>
            <w:vAlign w:val="center"/>
          </w:tcPr>
          <w:p>
            <w:pPr>
              <w:widowControl/>
              <w:spacing w:line="276" w:lineRule="auto"/>
              <w:jc w:val="left"/>
              <w:rPr>
                <w:rFonts w:ascii="Times New Roman" w:hAnsi="Times New Roman"/>
                <w:color w:val="000000"/>
                <w:sz w:val="22"/>
              </w:rPr>
            </w:pPr>
            <w:r>
              <w:rPr>
                <w:rFonts w:ascii="Times New Roman" w:hAnsi="Times New Roman"/>
                <w:color w:val="000000"/>
                <w:kern w:val="0"/>
                <w:sz w:val="22"/>
              </w:rPr>
              <w:t>Si-GAGE7B-2</w:t>
            </w:r>
          </w:p>
        </w:tc>
        <w:tc>
          <w:tcPr>
            <w:tcW w:w="5962" w:type="dxa"/>
            <w:tcBorders>
              <w:top w:val="nil"/>
              <w:left w:val="nil"/>
              <w:bottom w:val="single" w:color="auto" w:sz="4" w:space="0"/>
              <w:right w:val="nil"/>
            </w:tcBorders>
            <w:shd w:val="clear" w:color="auto" w:fill="auto"/>
            <w:vAlign w:val="center"/>
          </w:tcPr>
          <w:p>
            <w:pPr>
              <w:widowControl/>
              <w:spacing w:line="276" w:lineRule="auto"/>
              <w:jc w:val="left"/>
              <w:rPr>
                <w:rFonts w:ascii="Times New Roman" w:hAnsi="Times New Roman"/>
                <w:color w:val="000000"/>
                <w:kern w:val="0"/>
                <w:sz w:val="22"/>
              </w:rPr>
            </w:pPr>
            <w:r>
              <w:rPr>
                <w:rFonts w:hint="eastAsia" w:ascii="Times New Roman" w:hAnsi="Times New Roman"/>
                <w:color w:val="000000"/>
                <w:kern w:val="0"/>
                <w:sz w:val="22"/>
              </w:rPr>
              <w:t>5</w:t>
            </w:r>
            <w:r>
              <w:rPr>
                <w:rFonts w:ascii="Times New Roman" w:hAnsi="Times New Roman"/>
                <w:color w:val="000000"/>
                <w:kern w:val="0"/>
                <w:sz w:val="22"/>
              </w:rPr>
              <w:t xml:space="preserve">’- </w:t>
            </w:r>
            <w:r>
              <w:rPr>
                <w:rFonts w:hint="eastAsia" w:ascii="Times New Roman" w:hAnsi="Times New Roman"/>
                <w:color w:val="000000"/>
                <w:kern w:val="0"/>
                <w:sz w:val="22"/>
              </w:rPr>
              <w:t>CCUGAAAUGAUUGGGCCUATT</w:t>
            </w:r>
            <w:r>
              <w:rPr>
                <w:rFonts w:ascii="Times New Roman" w:hAnsi="Times New Roman"/>
                <w:color w:val="000000"/>
                <w:kern w:val="0"/>
                <w:sz w:val="22"/>
              </w:rPr>
              <w:t xml:space="preserve">-3’ </w:t>
            </w:r>
            <w:r>
              <w:rPr>
                <w:rFonts w:hint="eastAsia" w:ascii="Times New Roman" w:hAnsi="Times New Roman"/>
                <w:color w:val="000000"/>
                <w:kern w:val="0"/>
                <w:sz w:val="22"/>
              </w:rPr>
              <w:t>5</w:t>
            </w:r>
            <w:r>
              <w:rPr>
                <w:rFonts w:ascii="Times New Roman" w:hAnsi="Times New Roman"/>
                <w:color w:val="000000"/>
                <w:kern w:val="0"/>
                <w:sz w:val="22"/>
              </w:rPr>
              <w:t>’-</w:t>
            </w:r>
            <w:r>
              <w:rPr>
                <w:rFonts w:hint="eastAsia" w:ascii="Times New Roman" w:hAnsi="Times New Roman"/>
                <w:color w:val="000000"/>
                <w:kern w:val="0"/>
                <w:sz w:val="22"/>
              </w:rPr>
              <w:t>UAGGCCCAAUCAUUUCAGG</w:t>
            </w:r>
            <w:r>
              <w:rPr>
                <w:rFonts w:ascii="Times New Roman" w:hAnsi="Times New Roman"/>
                <w:color w:val="000000"/>
                <w:kern w:val="0"/>
                <w:sz w:val="22"/>
              </w:rPr>
              <w:t>TT-3’</w:t>
            </w: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p>
        </w:tc>
        <w:tc>
          <w:tcPr>
            <w:tcW w:w="5962" w:type="dxa"/>
            <w:tcBorders>
              <w:top w:val="single" w:color="auto" w:sz="4" w:space="0"/>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r>
        <w:tblPrEx>
          <w:tblLayout w:type="fixed"/>
          <w:tblCellMar>
            <w:top w:w="0" w:type="dxa"/>
            <w:left w:w="108" w:type="dxa"/>
            <w:bottom w:w="0" w:type="dxa"/>
            <w:right w:w="108" w:type="dxa"/>
          </w:tblCellMar>
        </w:tblPrEx>
        <w:trPr>
          <w:trHeight w:val="315" w:hRule="atLeast"/>
        </w:trPr>
        <w:tc>
          <w:tcPr>
            <w:tcW w:w="280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c>
          <w:tcPr>
            <w:tcW w:w="5962" w:type="dxa"/>
            <w:tcBorders>
              <w:top w:val="nil"/>
              <w:left w:val="nil"/>
              <w:bottom w:val="nil"/>
              <w:right w:val="nil"/>
            </w:tcBorders>
            <w:shd w:val="clear" w:color="auto" w:fill="auto"/>
            <w:vAlign w:val="center"/>
          </w:tcPr>
          <w:p>
            <w:pPr>
              <w:widowControl/>
              <w:spacing w:line="276" w:lineRule="auto"/>
              <w:jc w:val="left"/>
              <w:rPr>
                <w:rFonts w:ascii="Times New Roman" w:hAnsi="Times New Roman"/>
                <w:color w:val="000000"/>
                <w:kern w:val="0"/>
                <w:sz w:val="22"/>
              </w:rPr>
            </w:pPr>
          </w:p>
        </w:tc>
      </w:tr>
    </w:tbl>
    <w:p>
      <w:pPr>
        <w:spacing w:line="360" w:lineRule="auto"/>
        <w:rPr>
          <w:rFonts w:ascii="Times New Roman" w:hAnsi="Times New Roman"/>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65C"/>
    <w:rsid w:val="00001137"/>
    <w:rsid w:val="000013AA"/>
    <w:rsid w:val="0000209F"/>
    <w:rsid w:val="00005537"/>
    <w:rsid w:val="0001274C"/>
    <w:rsid w:val="00032C32"/>
    <w:rsid w:val="00033DEA"/>
    <w:rsid w:val="00042F36"/>
    <w:rsid w:val="000456EA"/>
    <w:rsid w:val="0005333A"/>
    <w:rsid w:val="00057150"/>
    <w:rsid w:val="00097D54"/>
    <w:rsid w:val="000C1951"/>
    <w:rsid w:val="000C3B21"/>
    <w:rsid w:val="000F6B67"/>
    <w:rsid w:val="0010200A"/>
    <w:rsid w:val="001020C5"/>
    <w:rsid w:val="0011235A"/>
    <w:rsid w:val="00114EDD"/>
    <w:rsid w:val="001556E5"/>
    <w:rsid w:val="001662F2"/>
    <w:rsid w:val="00183054"/>
    <w:rsid w:val="00184369"/>
    <w:rsid w:val="001A0C55"/>
    <w:rsid w:val="001A4B12"/>
    <w:rsid w:val="001D4169"/>
    <w:rsid w:val="001E0A37"/>
    <w:rsid w:val="001E5550"/>
    <w:rsid w:val="001F2C79"/>
    <w:rsid w:val="001F32AB"/>
    <w:rsid w:val="001F5DBA"/>
    <w:rsid w:val="00210137"/>
    <w:rsid w:val="00281DFF"/>
    <w:rsid w:val="002866C8"/>
    <w:rsid w:val="002B1A53"/>
    <w:rsid w:val="002D0EEB"/>
    <w:rsid w:val="002D3771"/>
    <w:rsid w:val="002F5F09"/>
    <w:rsid w:val="003070F7"/>
    <w:rsid w:val="003136D1"/>
    <w:rsid w:val="00367C06"/>
    <w:rsid w:val="003713E7"/>
    <w:rsid w:val="0037265C"/>
    <w:rsid w:val="0037633B"/>
    <w:rsid w:val="00377645"/>
    <w:rsid w:val="00394008"/>
    <w:rsid w:val="003A5A43"/>
    <w:rsid w:val="003B037F"/>
    <w:rsid w:val="003B58E2"/>
    <w:rsid w:val="003B6995"/>
    <w:rsid w:val="003C0130"/>
    <w:rsid w:val="003D4E2B"/>
    <w:rsid w:val="003E5305"/>
    <w:rsid w:val="003E57D1"/>
    <w:rsid w:val="003E6DD0"/>
    <w:rsid w:val="003F57C6"/>
    <w:rsid w:val="00401F12"/>
    <w:rsid w:val="004053EB"/>
    <w:rsid w:val="00412D0A"/>
    <w:rsid w:val="004172D9"/>
    <w:rsid w:val="00424CB9"/>
    <w:rsid w:val="004447C7"/>
    <w:rsid w:val="004529BA"/>
    <w:rsid w:val="00471A8D"/>
    <w:rsid w:val="00472CD6"/>
    <w:rsid w:val="00486D38"/>
    <w:rsid w:val="0049456A"/>
    <w:rsid w:val="004B1E8B"/>
    <w:rsid w:val="004B48C1"/>
    <w:rsid w:val="004C747B"/>
    <w:rsid w:val="004D04A4"/>
    <w:rsid w:val="004D4B95"/>
    <w:rsid w:val="004E50EA"/>
    <w:rsid w:val="004F2E73"/>
    <w:rsid w:val="004F56AE"/>
    <w:rsid w:val="00527B17"/>
    <w:rsid w:val="005377B1"/>
    <w:rsid w:val="00543D05"/>
    <w:rsid w:val="00552352"/>
    <w:rsid w:val="005563BB"/>
    <w:rsid w:val="005602CA"/>
    <w:rsid w:val="005620BD"/>
    <w:rsid w:val="00577E50"/>
    <w:rsid w:val="005B029E"/>
    <w:rsid w:val="005B4071"/>
    <w:rsid w:val="005C4FAA"/>
    <w:rsid w:val="005D14C3"/>
    <w:rsid w:val="005D4508"/>
    <w:rsid w:val="00607EDA"/>
    <w:rsid w:val="00642DF4"/>
    <w:rsid w:val="00675566"/>
    <w:rsid w:val="006A2C54"/>
    <w:rsid w:val="006A2E93"/>
    <w:rsid w:val="006A5F95"/>
    <w:rsid w:val="006E480D"/>
    <w:rsid w:val="00703152"/>
    <w:rsid w:val="00704632"/>
    <w:rsid w:val="00723838"/>
    <w:rsid w:val="00726A25"/>
    <w:rsid w:val="00730096"/>
    <w:rsid w:val="00736C4B"/>
    <w:rsid w:val="007459E6"/>
    <w:rsid w:val="00746EEA"/>
    <w:rsid w:val="00765894"/>
    <w:rsid w:val="007906C5"/>
    <w:rsid w:val="00794D7F"/>
    <w:rsid w:val="007A3343"/>
    <w:rsid w:val="007C5E6C"/>
    <w:rsid w:val="007D3216"/>
    <w:rsid w:val="007D5690"/>
    <w:rsid w:val="00843079"/>
    <w:rsid w:val="008539E4"/>
    <w:rsid w:val="00872EA3"/>
    <w:rsid w:val="00892B81"/>
    <w:rsid w:val="00895D73"/>
    <w:rsid w:val="008A31DA"/>
    <w:rsid w:val="008A7E88"/>
    <w:rsid w:val="008D7C7D"/>
    <w:rsid w:val="008E5A9B"/>
    <w:rsid w:val="008F47E2"/>
    <w:rsid w:val="00901147"/>
    <w:rsid w:val="0090271E"/>
    <w:rsid w:val="009070CC"/>
    <w:rsid w:val="00923894"/>
    <w:rsid w:val="0092609F"/>
    <w:rsid w:val="009263F7"/>
    <w:rsid w:val="009323D9"/>
    <w:rsid w:val="0094067F"/>
    <w:rsid w:val="00942A27"/>
    <w:rsid w:val="00944083"/>
    <w:rsid w:val="009475F1"/>
    <w:rsid w:val="00951096"/>
    <w:rsid w:val="009B0013"/>
    <w:rsid w:val="009C26F4"/>
    <w:rsid w:val="009C5CFB"/>
    <w:rsid w:val="009C664E"/>
    <w:rsid w:val="009C7A1E"/>
    <w:rsid w:val="009D5DA1"/>
    <w:rsid w:val="009E152C"/>
    <w:rsid w:val="009E155A"/>
    <w:rsid w:val="009F26B3"/>
    <w:rsid w:val="00A10A85"/>
    <w:rsid w:val="00A3235C"/>
    <w:rsid w:val="00A37E23"/>
    <w:rsid w:val="00A41798"/>
    <w:rsid w:val="00A4240C"/>
    <w:rsid w:val="00A55190"/>
    <w:rsid w:val="00A64B4E"/>
    <w:rsid w:val="00A67EE3"/>
    <w:rsid w:val="00A70C8B"/>
    <w:rsid w:val="00A76B95"/>
    <w:rsid w:val="00A808D5"/>
    <w:rsid w:val="00A8111D"/>
    <w:rsid w:val="00B00623"/>
    <w:rsid w:val="00B04841"/>
    <w:rsid w:val="00B12C2A"/>
    <w:rsid w:val="00B247F4"/>
    <w:rsid w:val="00B271D9"/>
    <w:rsid w:val="00B551B4"/>
    <w:rsid w:val="00B61F02"/>
    <w:rsid w:val="00B74CA8"/>
    <w:rsid w:val="00B96F7D"/>
    <w:rsid w:val="00BB36D6"/>
    <w:rsid w:val="00BC0A38"/>
    <w:rsid w:val="00BE5B48"/>
    <w:rsid w:val="00BF4097"/>
    <w:rsid w:val="00C00222"/>
    <w:rsid w:val="00C0050B"/>
    <w:rsid w:val="00C22C3D"/>
    <w:rsid w:val="00C3058B"/>
    <w:rsid w:val="00C415A1"/>
    <w:rsid w:val="00C55F1B"/>
    <w:rsid w:val="00C65591"/>
    <w:rsid w:val="00C77A08"/>
    <w:rsid w:val="00C833A0"/>
    <w:rsid w:val="00C9010C"/>
    <w:rsid w:val="00C955EC"/>
    <w:rsid w:val="00C96F09"/>
    <w:rsid w:val="00CA0879"/>
    <w:rsid w:val="00CA0A7E"/>
    <w:rsid w:val="00CA5D97"/>
    <w:rsid w:val="00CC2972"/>
    <w:rsid w:val="00CC4C0B"/>
    <w:rsid w:val="00CE3FC9"/>
    <w:rsid w:val="00CE4581"/>
    <w:rsid w:val="00D02949"/>
    <w:rsid w:val="00D108DC"/>
    <w:rsid w:val="00D2430A"/>
    <w:rsid w:val="00D46A0A"/>
    <w:rsid w:val="00D62C66"/>
    <w:rsid w:val="00D81948"/>
    <w:rsid w:val="00D84E07"/>
    <w:rsid w:val="00D9339E"/>
    <w:rsid w:val="00D97DF4"/>
    <w:rsid w:val="00D97E63"/>
    <w:rsid w:val="00DD5E90"/>
    <w:rsid w:val="00DE0C6B"/>
    <w:rsid w:val="00DE56B5"/>
    <w:rsid w:val="00DF0D8A"/>
    <w:rsid w:val="00DF2838"/>
    <w:rsid w:val="00E02805"/>
    <w:rsid w:val="00E06B12"/>
    <w:rsid w:val="00E10C75"/>
    <w:rsid w:val="00E11220"/>
    <w:rsid w:val="00E12DA7"/>
    <w:rsid w:val="00E1499F"/>
    <w:rsid w:val="00E6760C"/>
    <w:rsid w:val="00E848E1"/>
    <w:rsid w:val="00EA1A05"/>
    <w:rsid w:val="00EB4117"/>
    <w:rsid w:val="00EC6450"/>
    <w:rsid w:val="00EC750C"/>
    <w:rsid w:val="00ED2560"/>
    <w:rsid w:val="00F13FD9"/>
    <w:rsid w:val="00F26B7A"/>
    <w:rsid w:val="00F54B26"/>
    <w:rsid w:val="00F5568E"/>
    <w:rsid w:val="00F663C9"/>
    <w:rsid w:val="00F823F9"/>
    <w:rsid w:val="00FA08A3"/>
    <w:rsid w:val="00FA0B51"/>
    <w:rsid w:val="00FC298E"/>
    <w:rsid w:val="00FE04AC"/>
    <w:rsid w:val="00FE2CDB"/>
    <w:rsid w:val="00FE57FA"/>
    <w:rsid w:val="00FF1663"/>
    <w:rsid w:val="01310E3B"/>
    <w:rsid w:val="013960A9"/>
    <w:rsid w:val="014B4AEC"/>
    <w:rsid w:val="015F6FB4"/>
    <w:rsid w:val="017E3342"/>
    <w:rsid w:val="018A265F"/>
    <w:rsid w:val="019D5501"/>
    <w:rsid w:val="01A634FF"/>
    <w:rsid w:val="01B73E1D"/>
    <w:rsid w:val="01D44C52"/>
    <w:rsid w:val="01F618CA"/>
    <w:rsid w:val="02034FBA"/>
    <w:rsid w:val="022D10F5"/>
    <w:rsid w:val="02674091"/>
    <w:rsid w:val="02B86930"/>
    <w:rsid w:val="0304245C"/>
    <w:rsid w:val="031F7B44"/>
    <w:rsid w:val="03A4000D"/>
    <w:rsid w:val="04141EA9"/>
    <w:rsid w:val="04AD6349"/>
    <w:rsid w:val="05247539"/>
    <w:rsid w:val="056D6480"/>
    <w:rsid w:val="057117B5"/>
    <w:rsid w:val="05BD60CC"/>
    <w:rsid w:val="062A42A5"/>
    <w:rsid w:val="064E2E5B"/>
    <w:rsid w:val="0745201E"/>
    <w:rsid w:val="07472AF1"/>
    <w:rsid w:val="07502E26"/>
    <w:rsid w:val="0760219F"/>
    <w:rsid w:val="076509E1"/>
    <w:rsid w:val="079214A8"/>
    <w:rsid w:val="07A45407"/>
    <w:rsid w:val="089052A2"/>
    <w:rsid w:val="08BC7D7F"/>
    <w:rsid w:val="09202060"/>
    <w:rsid w:val="098D4A0C"/>
    <w:rsid w:val="098F1A84"/>
    <w:rsid w:val="09AF10D0"/>
    <w:rsid w:val="09BD2A56"/>
    <w:rsid w:val="09F90B77"/>
    <w:rsid w:val="0A1C694A"/>
    <w:rsid w:val="0A2530E7"/>
    <w:rsid w:val="0A517B4E"/>
    <w:rsid w:val="0AF04983"/>
    <w:rsid w:val="0B412305"/>
    <w:rsid w:val="0B877AFA"/>
    <w:rsid w:val="0BAB42EF"/>
    <w:rsid w:val="0C795FB1"/>
    <w:rsid w:val="0CCD7A8A"/>
    <w:rsid w:val="0D0E6985"/>
    <w:rsid w:val="0E590BC6"/>
    <w:rsid w:val="0E867AF5"/>
    <w:rsid w:val="0E9942D9"/>
    <w:rsid w:val="0F135C63"/>
    <w:rsid w:val="0FA727F6"/>
    <w:rsid w:val="0FC0785D"/>
    <w:rsid w:val="104E2C80"/>
    <w:rsid w:val="10610D8F"/>
    <w:rsid w:val="10CD02A7"/>
    <w:rsid w:val="113D103F"/>
    <w:rsid w:val="116E759C"/>
    <w:rsid w:val="11807FC5"/>
    <w:rsid w:val="11C90ABC"/>
    <w:rsid w:val="11E47060"/>
    <w:rsid w:val="1248562B"/>
    <w:rsid w:val="124F200B"/>
    <w:rsid w:val="128551F7"/>
    <w:rsid w:val="128D6BDD"/>
    <w:rsid w:val="12F255B8"/>
    <w:rsid w:val="13A404E4"/>
    <w:rsid w:val="140954CE"/>
    <w:rsid w:val="142326F7"/>
    <w:rsid w:val="161E0FA9"/>
    <w:rsid w:val="167B6369"/>
    <w:rsid w:val="16AC5183"/>
    <w:rsid w:val="17026EB9"/>
    <w:rsid w:val="17584B6D"/>
    <w:rsid w:val="176B0042"/>
    <w:rsid w:val="17B21AE7"/>
    <w:rsid w:val="17D77EFF"/>
    <w:rsid w:val="17DC7724"/>
    <w:rsid w:val="17F45256"/>
    <w:rsid w:val="17F56349"/>
    <w:rsid w:val="182E4702"/>
    <w:rsid w:val="18A032E6"/>
    <w:rsid w:val="18A843A9"/>
    <w:rsid w:val="192E07AD"/>
    <w:rsid w:val="19794FDB"/>
    <w:rsid w:val="199165F1"/>
    <w:rsid w:val="19B771FA"/>
    <w:rsid w:val="19C107CB"/>
    <w:rsid w:val="19DD3ECF"/>
    <w:rsid w:val="1A442B60"/>
    <w:rsid w:val="1A4C77CF"/>
    <w:rsid w:val="1A841BF4"/>
    <w:rsid w:val="1AB71D78"/>
    <w:rsid w:val="1AD12FF0"/>
    <w:rsid w:val="1B32330C"/>
    <w:rsid w:val="1B7107CD"/>
    <w:rsid w:val="1B90794F"/>
    <w:rsid w:val="1BD80133"/>
    <w:rsid w:val="1BDC3488"/>
    <w:rsid w:val="1BF514B7"/>
    <w:rsid w:val="1CA256C6"/>
    <w:rsid w:val="1CDC4F69"/>
    <w:rsid w:val="1CFB5A83"/>
    <w:rsid w:val="1D9C6F32"/>
    <w:rsid w:val="1DA675A3"/>
    <w:rsid w:val="1DDC73EE"/>
    <w:rsid w:val="1E01456A"/>
    <w:rsid w:val="1E4E3231"/>
    <w:rsid w:val="1E7A2501"/>
    <w:rsid w:val="1EB84107"/>
    <w:rsid w:val="1ECD0D32"/>
    <w:rsid w:val="1ED4042A"/>
    <w:rsid w:val="1F58016A"/>
    <w:rsid w:val="1F6463FC"/>
    <w:rsid w:val="1FD145FE"/>
    <w:rsid w:val="1FE53C11"/>
    <w:rsid w:val="1FF05B17"/>
    <w:rsid w:val="20010FD3"/>
    <w:rsid w:val="20397A1E"/>
    <w:rsid w:val="20530969"/>
    <w:rsid w:val="209D42D7"/>
    <w:rsid w:val="21536F14"/>
    <w:rsid w:val="217D3C95"/>
    <w:rsid w:val="21D56F9E"/>
    <w:rsid w:val="221B7465"/>
    <w:rsid w:val="22217D56"/>
    <w:rsid w:val="2235326F"/>
    <w:rsid w:val="2246551E"/>
    <w:rsid w:val="225666E2"/>
    <w:rsid w:val="22E6583D"/>
    <w:rsid w:val="22FC2B4D"/>
    <w:rsid w:val="233F0A52"/>
    <w:rsid w:val="234B221A"/>
    <w:rsid w:val="2371040C"/>
    <w:rsid w:val="23997DED"/>
    <w:rsid w:val="23A21855"/>
    <w:rsid w:val="23C529C9"/>
    <w:rsid w:val="247F5EE8"/>
    <w:rsid w:val="250613B3"/>
    <w:rsid w:val="254C48E8"/>
    <w:rsid w:val="25524A25"/>
    <w:rsid w:val="25D647B2"/>
    <w:rsid w:val="26006674"/>
    <w:rsid w:val="27EF7CEF"/>
    <w:rsid w:val="286F14E3"/>
    <w:rsid w:val="28C65C85"/>
    <w:rsid w:val="291E2125"/>
    <w:rsid w:val="295D4EE7"/>
    <w:rsid w:val="299B4C23"/>
    <w:rsid w:val="2A3A02A7"/>
    <w:rsid w:val="2A76120A"/>
    <w:rsid w:val="2A8E4E76"/>
    <w:rsid w:val="2A934278"/>
    <w:rsid w:val="2AB73366"/>
    <w:rsid w:val="2AE20BD0"/>
    <w:rsid w:val="2B110032"/>
    <w:rsid w:val="2B524AAA"/>
    <w:rsid w:val="2BC05350"/>
    <w:rsid w:val="2BC62DEB"/>
    <w:rsid w:val="2C1F0082"/>
    <w:rsid w:val="2C2D4648"/>
    <w:rsid w:val="2C6630B6"/>
    <w:rsid w:val="2C9C1120"/>
    <w:rsid w:val="2CA15776"/>
    <w:rsid w:val="2CB50E77"/>
    <w:rsid w:val="2CBB6EF4"/>
    <w:rsid w:val="2CDA3199"/>
    <w:rsid w:val="2D1320D5"/>
    <w:rsid w:val="2D4A57B6"/>
    <w:rsid w:val="2D642B70"/>
    <w:rsid w:val="2D6B531C"/>
    <w:rsid w:val="2D927B2B"/>
    <w:rsid w:val="2D951489"/>
    <w:rsid w:val="2DEF3607"/>
    <w:rsid w:val="2E206D62"/>
    <w:rsid w:val="2E824F7D"/>
    <w:rsid w:val="2EEF4942"/>
    <w:rsid w:val="2F4A1E84"/>
    <w:rsid w:val="303E2AC3"/>
    <w:rsid w:val="305C7321"/>
    <w:rsid w:val="30A74419"/>
    <w:rsid w:val="30DC3C9D"/>
    <w:rsid w:val="311571B0"/>
    <w:rsid w:val="316B5AEC"/>
    <w:rsid w:val="31CB36A8"/>
    <w:rsid w:val="31D7285E"/>
    <w:rsid w:val="324F7F95"/>
    <w:rsid w:val="32740075"/>
    <w:rsid w:val="356703DB"/>
    <w:rsid w:val="3570654E"/>
    <w:rsid w:val="3589143A"/>
    <w:rsid w:val="35983825"/>
    <w:rsid w:val="35A527D5"/>
    <w:rsid w:val="367F1888"/>
    <w:rsid w:val="368A4029"/>
    <w:rsid w:val="36EE14C7"/>
    <w:rsid w:val="36FD172A"/>
    <w:rsid w:val="37006D45"/>
    <w:rsid w:val="37442B6A"/>
    <w:rsid w:val="37565E15"/>
    <w:rsid w:val="378C1ED3"/>
    <w:rsid w:val="379B7898"/>
    <w:rsid w:val="381F4935"/>
    <w:rsid w:val="38252143"/>
    <w:rsid w:val="382F6E10"/>
    <w:rsid w:val="38B666A8"/>
    <w:rsid w:val="396939A8"/>
    <w:rsid w:val="39E1694E"/>
    <w:rsid w:val="3A297D59"/>
    <w:rsid w:val="3A643F5F"/>
    <w:rsid w:val="3AB71D73"/>
    <w:rsid w:val="3AB87050"/>
    <w:rsid w:val="3AF17B23"/>
    <w:rsid w:val="3B600651"/>
    <w:rsid w:val="3B6032F9"/>
    <w:rsid w:val="3BA30A46"/>
    <w:rsid w:val="3BA671CF"/>
    <w:rsid w:val="3BE8146C"/>
    <w:rsid w:val="3BF64E43"/>
    <w:rsid w:val="3BFB3FC1"/>
    <w:rsid w:val="3C6A7599"/>
    <w:rsid w:val="3C7144E0"/>
    <w:rsid w:val="3CCE4164"/>
    <w:rsid w:val="3D236114"/>
    <w:rsid w:val="3DB26FCC"/>
    <w:rsid w:val="3E357E7A"/>
    <w:rsid w:val="3EBE6910"/>
    <w:rsid w:val="3ECE203D"/>
    <w:rsid w:val="3F0D5D58"/>
    <w:rsid w:val="3FC24CA2"/>
    <w:rsid w:val="3FFE4626"/>
    <w:rsid w:val="40013A55"/>
    <w:rsid w:val="41470D76"/>
    <w:rsid w:val="414873A2"/>
    <w:rsid w:val="41A53671"/>
    <w:rsid w:val="41E03BB0"/>
    <w:rsid w:val="42971734"/>
    <w:rsid w:val="42A376E2"/>
    <w:rsid w:val="431201EA"/>
    <w:rsid w:val="43160F83"/>
    <w:rsid w:val="436709CA"/>
    <w:rsid w:val="441C2B62"/>
    <w:rsid w:val="441F51B3"/>
    <w:rsid w:val="44560063"/>
    <w:rsid w:val="44616EDA"/>
    <w:rsid w:val="447C2208"/>
    <w:rsid w:val="448F0104"/>
    <w:rsid w:val="4523603D"/>
    <w:rsid w:val="455F6821"/>
    <w:rsid w:val="459544A0"/>
    <w:rsid w:val="45A26038"/>
    <w:rsid w:val="45B630A3"/>
    <w:rsid w:val="45BF67CC"/>
    <w:rsid w:val="45C52FF0"/>
    <w:rsid w:val="460B67CC"/>
    <w:rsid w:val="461121BA"/>
    <w:rsid w:val="46A00627"/>
    <w:rsid w:val="46A03DB1"/>
    <w:rsid w:val="46A54077"/>
    <w:rsid w:val="46B255CD"/>
    <w:rsid w:val="471233C4"/>
    <w:rsid w:val="475C11E3"/>
    <w:rsid w:val="47632EBB"/>
    <w:rsid w:val="47E07AA5"/>
    <w:rsid w:val="483576F5"/>
    <w:rsid w:val="49630E0D"/>
    <w:rsid w:val="498F179B"/>
    <w:rsid w:val="49C047A0"/>
    <w:rsid w:val="4A4251A6"/>
    <w:rsid w:val="4A6E1154"/>
    <w:rsid w:val="4A8B3F25"/>
    <w:rsid w:val="4AB761F2"/>
    <w:rsid w:val="4AC311BE"/>
    <w:rsid w:val="4ADC3116"/>
    <w:rsid w:val="4AE87CF2"/>
    <w:rsid w:val="4B2D31B2"/>
    <w:rsid w:val="4BD63C34"/>
    <w:rsid w:val="4BF335DE"/>
    <w:rsid w:val="4C0A79E8"/>
    <w:rsid w:val="4C0E01B6"/>
    <w:rsid w:val="4C424D4C"/>
    <w:rsid w:val="4C882E03"/>
    <w:rsid w:val="4CEC4B4A"/>
    <w:rsid w:val="4D0550D4"/>
    <w:rsid w:val="4D0F1904"/>
    <w:rsid w:val="4D1F1106"/>
    <w:rsid w:val="4D2D41EB"/>
    <w:rsid w:val="4D324D94"/>
    <w:rsid w:val="4D7439A2"/>
    <w:rsid w:val="4D980B36"/>
    <w:rsid w:val="4DE10270"/>
    <w:rsid w:val="4DE71DA2"/>
    <w:rsid w:val="4E5208BD"/>
    <w:rsid w:val="4E9E6776"/>
    <w:rsid w:val="4EE72726"/>
    <w:rsid w:val="4F032116"/>
    <w:rsid w:val="4F376E91"/>
    <w:rsid w:val="4F4827A5"/>
    <w:rsid w:val="4F6B44D6"/>
    <w:rsid w:val="4F786886"/>
    <w:rsid w:val="50034993"/>
    <w:rsid w:val="50201B23"/>
    <w:rsid w:val="50474734"/>
    <w:rsid w:val="50590BB6"/>
    <w:rsid w:val="508517A8"/>
    <w:rsid w:val="50856CE3"/>
    <w:rsid w:val="50B71B09"/>
    <w:rsid w:val="50E8704D"/>
    <w:rsid w:val="51310402"/>
    <w:rsid w:val="51312D46"/>
    <w:rsid w:val="51926C58"/>
    <w:rsid w:val="51C36D3B"/>
    <w:rsid w:val="51C907D9"/>
    <w:rsid w:val="525461DE"/>
    <w:rsid w:val="52820540"/>
    <w:rsid w:val="52A15912"/>
    <w:rsid w:val="52BA1292"/>
    <w:rsid w:val="52FB24BC"/>
    <w:rsid w:val="535649A1"/>
    <w:rsid w:val="53B04368"/>
    <w:rsid w:val="53DF3D36"/>
    <w:rsid w:val="54253451"/>
    <w:rsid w:val="544142F2"/>
    <w:rsid w:val="544F11D7"/>
    <w:rsid w:val="54735643"/>
    <w:rsid w:val="548F40D1"/>
    <w:rsid w:val="556F0A8A"/>
    <w:rsid w:val="55782BBC"/>
    <w:rsid w:val="55B1028B"/>
    <w:rsid w:val="563777B9"/>
    <w:rsid w:val="56B75D6A"/>
    <w:rsid w:val="56CA524B"/>
    <w:rsid w:val="580B2D64"/>
    <w:rsid w:val="581B6DC2"/>
    <w:rsid w:val="58255AFC"/>
    <w:rsid w:val="58824CCA"/>
    <w:rsid w:val="58937F4E"/>
    <w:rsid w:val="589969C7"/>
    <w:rsid w:val="58E814B4"/>
    <w:rsid w:val="5981710E"/>
    <w:rsid w:val="59CA7025"/>
    <w:rsid w:val="59D665D6"/>
    <w:rsid w:val="59D70702"/>
    <w:rsid w:val="5A2E0490"/>
    <w:rsid w:val="5A2E7B58"/>
    <w:rsid w:val="5A531AAE"/>
    <w:rsid w:val="5AA962E8"/>
    <w:rsid w:val="5B463E5B"/>
    <w:rsid w:val="5B5834EB"/>
    <w:rsid w:val="5B6B119C"/>
    <w:rsid w:val="5B790166"/>
    <w:rsid w:val="5B871C26"/>
    <w:rsid w:val="5BD6799D"/>
    <w:rsid w:val="5C107791"/>
    <w:rsid w:val="5CA847BD"/>
    <w:rsid w:val="5D690E6E"/>
    <w:rsid w:val="5DC71241"/>
    <w:rsid w:val="5E243B00"/>
    <w:rsid w:val="5E3C1104"/>
    <w:rsid w:val="5E8A6B5B"/>
    <w:rsid w:val="5EC6500A"/>
    <w:rsid w:val="5EFC0763"/>
    <w:rsid w:val="5F174E54"/>
    <w:rsid w:val="5F205376"/>
    <w:rsid w:val="5F4334DE"/>
    <w:rsid w:val="5FF60FDE"/>
    <w:rsid w:val="602048C7"/>
    <w:rsid w:val="605D5769"/>
    <w:rsid w:val="60B06611"/>
    <w:rsid w:val="60DD3FA0"/>
    <w:rsid w:val="60FD56A8"/>
    <w:rsid w:val="613E7342"/>
    <w:rsid w:val="614E194D"/>
    <w:rsid w:val="61AE2B3D"/>
    <w:rsid w:val="623176A6"/>
    <w:rsid w:val="62396321"/>
    <w:rsid w:val="62A21592"/>
    <w:rsid w:val="62AC5A9D"/>
    <w:rsid w:val="62C04FAC"/>
    <w:rsid w:val="63040878"/>
    <w:rsid w:val="63812106"/>
    <w:rsid w:val="63F848C5"/>
    <w:rsid w:val="640D07BF"/>
    <w:rsid w:val="644C5088"/>
    <w:rsid w:val="649419DD"/>
    <w:rsid w:val="64CE012C"/>
    <w:rsid w:val="65035261"/>
    <w:rsid w:val="65156DC5"/>
    <w:rsid w:val="65403D34"/>
    <w:rsid w:val="656706C0"/>
    <w:rsid w:val="66162BC0"/>
    <w:rsid w:val="661D5299"/>
    <w:rsid w:val="665267F2"/>
    <w:rsid w:val="67245703"/>
    <w:rsid w:val="6738619C"/>
    <w:rsid w:val="6767000C"/>
    <w:rsid w:val="67A23519"/>
    <w:rsid w:val="67D25E53"/>
    <w:rsid w:val="67F501F7"/>
    <w:rsid w:val="68016557"/>
    <w:rsid w:val="680E3AA7"/>
    <w:rsid w:val="684F3AA1"/>
    <w:rsid w:val="686D6B07"/>
    <w:rsid w:val="688E7CC2"/>
    <w:rsid w:val="694A77B1"/>
    <w:rsid w:val="6A8E7994"/>
    <w:rsid w:val="6B3F3A8E"/>
    <w:rsid w:val="6B550A00"/>
    <w:rsid w:val="6BCB58E9"/>
    <w:rsid w:val="6BE34FF1"/>
    <w:rsid w:val="6C14472E"/>
    <w:rsid w:val="6C8E0F8C"/>
    <w:rsid w:val="6CA65866"/>
    <w:rsid w:val="6CED718F"/>
    <w:rsid w:val="6D901482"/>
    <w:rsid w:val="6D9F3734"/>
    <w:rsid w:val="6DF21538"/>
    <w:rsid w:val="6E2C77D9"/>
    <w:rsid w:val="6E2E1A81"/>
    <w:rsid w:val="6E532BC1"/>
    <w:rsid w:val="6EF7414D"/>
    <w:rsid w:val="6F0B16EA"/>
    <w:rsid w:val="6F570356"/>
    <w:rsid w:val="6F765E9A"/>
    <w:rsid w:val="6F813949"/>
    <w:rsid w:val="6F981869"/>
    <w:rsid w:val="6FE25BC8"/>
    <w:rsid w:val="70486A24"/>
    <w:rsid w:val="707C58D0"/>
    <w:rsid w:val="719465C6"/>
    <w:rsid w:val="72466386"/>
    <w:rsid w:val="72E47712"/>
    <w:rsid w:val="72F459BE"/>
    <w:rsid w:val="72FD5A89"/>
    <w:rsid w:val="73E21FF2"/>
    <w:rsid w:val="7413316D"/>
    <w:rsid w:val="742C61FD"/>
    <w:rsid w:val="74C07EBE"/>
    <w:rsid w:val="74F044D1"/>
    <w:rsid w:val="75B96AF7"/>
    <w:rsid w:val="76EB7594"/>
    <w:rsid w:val="76ED5A97"/>
    <w:rsid w:val="77334E85"/>
    <w:rsid w:val="775A670A"/>
    <w:rsid w:val="777A5838"/>
    <w:rsid w:val="78266F81"/>
    <w:rsid w:val="78563AD5"/>
    <w:rsid w:val="78791B55"/>
    <w:rsid w:val="78990019"/>
    <w:rsid w:val="78F07A78"/>
    <w:rsid w:val="790A062F"/>
    <w:rsid w:val="79640898"/>
    <w:rsid w:val="79673E74"/>
    <w:rsid w:val="797F628F"/>
    <w:rsid w:val="79844168"/>
    <w:rsid w:val="79B14383"/>
    <w:rsid w:val="79F30179"/>
    <w:rsid w:val="7A01349C"/>
    <w:rsid w:val="7A2C336D"/>
    <w:rsid w:val="7A75495A"/>
    <w:rsid w:val="7A88603D"/>
    <w:rsid w:val="7A9572D8"/>
    <w:rsid w:val="7AF6471E"/>
    <w:rsid w:val="7B031506"/>
    <w:rsid w:val="7B076333"/>
    <w:rsid w:val="7B78044F"/>
    <w:rsid w:val="7BAA1DC1"/>
    <w:rsid w:val="7BDE021A"/>
    <w:rsid w:val="7C8A6EE7"/>
    <w:rsid w:val="7CE42A5E"/>
    <w:rsid w:val="7CFE290F"/>
    <w:rsid w:val="7D28521B"/>
    <w:rsid w:val="7D9154F9"/>
    <w:rsid w:val="7DB85213"/>
    <w:rsid w:val="7DB96B72"/>
    <w:rsid w:val="7DC72C64"/>
    <w:rsid w:val="7DDB0CDB"/>
    <w:rsid w:val="7DE034C2"/>
    <w:rsid w:val="7E074B4B"/>
    <w:rsid w:val="7E191F89"/>
    <w:rsid w:val="7E417F8B"/>
    <w:rsid w:val="7E45443F"/>
    <w:rsid w:val="7E454E83"/>
    <w:rsid w:val="7E706A5E"/>
    <w:rsid w:val="7EC35AFD"/>
    <w:rsid w:val="7F610F68"/>
    <w:rsid w:val="7F944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font31"/>
    <w:basedOn w:val="6"/>
    <w:qFormat/>
    <w:uiPriority w:val="0"/>
    <w:rPr>
      <w:rFonts w:hint="default" w:ascii="Times New Roman" w:hAnsi="Times New Roman" w:cs="Times New Roman"/>
      <w:color w:val="000000"/>
      <w:sz w:val="22"/>
      <w:szCs w:val="22"/>
      <w:u w:val="none"/>
    </w:rPr>
  </w:style>
  <w:style w:type="character" w:customStyle="1" w:styleId="8">
    <w:name w:val="font01"/>
    <w:basedOn w:val="6"/>
    <w:qFormat/>
    <w:uiPriority w:val="0"/>
    <w:rPr>
      <w:rFonts w:hint="eastAsia" w:ascii="宋体" w:hAnsi="宋体" w:eastAsia="宋体" w:cs="宋体"/>
      <w:color w:val="000000"/>
      <w:sz w:val="22"/>
      <w:szCs w:val="22"/>
      <w:u w:val="none"/>
    </w:rPr>
  </w:style>
  <w:style w:type="character" w:customStyle="1" w:styleId="9">
    <w:name w:val="font21"/>
    <w:basedOn w:val="6"/>
    <w:qFormat/>
    <w:uiPriority w:val="0"/>
    <w:rPr>
      <w:rFonts w:hint="default" w:ascii="Times New Roman" w:hAnsi="Times New Roman" w:cs="Times New Roman"/>
      <w:b/>
      <w:color w:val="000000"/>
      <w:sz w:val="28"/>
      <w:szCs w:val="28"/>
      <w:u w:val="none"/>
    </w:rPr>
  </w:style>
  <w:style w:type="character" w:customStyle="1" w:styleId="10">
    <w:name w:val="font41"/>
    <w:basedOn w:val="6"/>
    <w:qFormat/>
    <w:uiPriority w:val="0"/>
    <w:rPr>
      <w:rFonts w:hint="default" w:ascii="Times New Roman" w:hAnsi="Times New Roman" w:cs="Times New Roman"/>
      <w:color w:val="000000"/>
      <w:sz w:val="24"/>
      <w:szCs w:val="24"/>
      <w:u w:val="none"/>
    </w:rPr>
  </w:style>
  <w:style w:type="character" w:customStyle="1" w:styleId="11">
    <w:name w:val="批注框文本 Char"/>
    <w:basedOn w:val="6"/>
    <w:link w:val="2"/>
    <w:qFormat/>
    <w:uiPriority w:val="0"/>
    <w:rPr>
      <w:rFonts w:ascii="Calibri" w:hAnsi="Calibri"/>
      <w:kern w:val="2"/>
      <w:sz w:val="18"/>
      <w:szCs w:val="18"/>
    </w:rPr>
  </w:style>
  <w:style w:type="character" w:customStyle="1" w:styleId="12">
    <w:name w:val="页眉 Char"/>
    <w:basedOn w:val="6"/>
    <w:link w:val="4"/>
    <w:qFormat/>
    <w:uiPriority w:val="0"/>
    <w:rPr>
      <w:rFonts w:ascii="Calibri" w:hAnsi="Calibri"/>
      <w:kern w:val="2"/>
      <w:sz w:val="18"/>
      <w:szCs w:val="18"/>
    </w:rPr>
  </w:style>
  <w:style w:type="character" w:customStyle="1" w:styleId="13">
    <w:name w:val="页脚 Char"/>
    <w:basedOn w:val="6"/>
    <w:link w:val="3"/>
    <w:qFormat/>
    <w:uiPriority w:val="0"/>
    <w:rPr>
      <w:rFonts w:ascii="Calibri" w:hAnsi="Calibri"/>
      <w:kern w:val="2"/>
      <w:sz w:val="18"/>
      <w:szCs w:val="18"/>
    </w:rPr>
  </w:style>
  <w:style w:type="character" w:customStyle="1" w:styleId="14">
    <w:name w:val="font71"/>
    <w:basedOn w:val="6"/>
    <w:qFormat/>
    <w:uiPriority w:val="0"/>
    <w:rPr>
      <w:rFonts w:hint="default" w:ascii="Times New Roman" w:hAnsi="Times New Roman" w:cs="Times New Roman"/>
      <w:color w:val="000000"/>
      <w:sz w:val="24"/>
      <w:szCs w:val="24"/>
      <w:u w:val="none"/>
    </w:rPr>
  </w:style>
  <w:style w:type="character" w:customStyle="1" w:styleId="15">
    <w:name w:val="fontstyle01"/>
    <w:basedOn w:val="6"/>
    <w:qFormat/>
    <w:uiPriority w:val="0"/>
    <w:rPr>
      <w:rFonts w:hint="default" w:ascii="Arial" w:hAnsi="Arial" w:cs="Arial"/>
      <w:color w:val="231F2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A255D6-0E0B-44D2-91A9-2FE5B3A15B59}">
  <ds:schemaRefs/>
</ds:datastoreItem>
</file>

<file path=docProps/app.xml><?xml version="1.0" encoding="utf-8"?>
<Properties xmlns="http://schemas.openxmlformats.org/officeDocument/2006/extended-properties" xmlns:vt="http://schemas.openxmlformats.org/officeDocument/2006/docPropsVTypes">
  <Template>Normal</Template>
  <Pages>16</Pages>
  <Words>1716</Words>
  <Characters>9785</Characters>
  <Lines>81</Lines>
  <Paragraphs>22</Paragraphs>
  <TotalTime>1</TotalTime>
  <ScaleCrop>false</ScaleCrop>
  <LinksUpToDate>false</LinksUpToDate>
  <CharactersWithSpaces>11479</CharactersWithSpaces>
  <Application>WPS Office_11.1.0.8496_F1E327BC-269C-435d-A152-05C5408002CA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STONEBO</dc:creator>
  <cp:lastModifiedBy>STONEBO</cp:lastModifiedBy>
  <dcterms:modified xsi:type="dcterms:W3CDTF">2019-02-25T15:11:33Z</dcterms:modified>
  <cp:revision>272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2052-11.1.0.8496</vt:lpwstr>
  </property>
</Properties>
</file>