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drawing>
          <wp:inline distT="0" distB="0" distL="114300" distR="114300">
            <wp:extent cx="5272405" cy="2330450"/>
            <wp:effectExtent l="0" t="0" r="4445" b="12700"/>
            <wp:docPr id="4" name="图片 4" descr="S1 六个柱子 原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1 六个柱子 原S1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rPr>
          <w:rFonts w:ascii="Times New Roman" w:hAnsi="Times New Roman" w:cs="Times New Roman"/>
          <w:highlight w:val="yellow"/>
        </w:rPr>
      </w:pPr>
      <w:r>
        <w:rPr>
          <w:rFonts w:hint="eastAsia" w:ascii="Times New Roman" w:hAnsi="Times New Roman" w:cs="Times New Roman"/>
          <w:b/>
        </w:rPr>
        <w:t>Fig S1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Effect of NF on the viability of U87MG and U251 cells. U87MG and U251 cells were seeded into 96-well plates at a density of 5 × 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cells/well. U87MG and U251 cells were cultured in a range of NF concentrations (0–180 μM) for different times (</w:t>
      </w:r>
      <w:r>
        <w:rPr>
          <w:rFonts w:hint="eastAsia" w:ascii="Times New Roman" w:hAnsi="Times New Roman" w:cs="Times New Roman"/>
          <w:lang w:val="en-US" w:eastAsia="zh-CN"/>
        </w:rPr>
        <w:t xml:space="preserve">24 h, 48 h, </w:t>
      </w:r>
      <w:r>
        <w:rPr>
          <w:rFonts w:ascii="Times New Roman" w:hAnsi="Times New Roman" w:cs="Times New Roman"/>
        </w:rPr>
        <w:t>72 h). The percentages of viable cells were determined using MTT assay; *</w:t>
      </w:r>
      <w:r>
        <w:rPr>
          <w:rFonts w:ascii="Times New Roman" w:hAnsi="Times New Roman" w:cs="Times New Roman"/>
          <w:i/>
        </w:rPr>
        <w:t xml:space="preserve">P &lt; </w:t>
      </w:r>
      <w:r>
        <w:rPr>
          <w:rFonts w:ascii="Times New Roman" w:hAnsi="Times New Roman" w:cs="Times New Roman"/>
        </w:rPr>
        <w:t>0.05, **</w:t>
      </w:r>
      <w:r>
        <w:rPr>
          <w:rFonts w:ascii="Times New Roman" w:hAnsi="Times New Roman" w:cs="Times New Roman"/>
          <w:i/>
        </w:rPr>
        <w:t xml:space="preserve">P &lt; </w:t>
      </w:r>
      <w:r>
        <w:rPr>
          <w:rFonts w:ascii="Times New Roman" w:hAnsi="Times New Roman" w:cs="Times New Roman"/>
        </w:rPr>
        <w:t>0.01, ***</w:t>
      </w:r>
      <w:r>
        <w:rPr>
          <w:rFonts w:ascii="Times New Roman" w:hAnsi="Times New Roman" w:cs="Times New Roman"/>
          <w:i/>
        </w:rPr>
        <w:t xml:space="preserve">P &lt; </w:t>
      </w:r>
      <w:r>
        <w:rPr>
          <w:rFonts w:ascii="Times New Roman" w:hAnsi="Times New Roman" w:cs="Times New Roman"/>
        </w:rPr>
        <w:t>0.001 vs. control group.</w:t>
      </w: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b/>
          <w:szCs w:val="20"/>
        </w:rPr>
        <w:drawing>
          <wp:inline distT="0" distB="0" distL="114300" distR="114300">
            <wp:extent cx="5272405" cy="2506345"/>
            <wp:effectExtent l="0" t="0" r="4445" b="8255"/>
            <wp:docPr id="12" name="图片 12" descr="S2 对正常细胞无损害 原S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2 对正常细胞无损害 原S2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szCs w:val="20"/>
        </w:rPr>
        <w:t xml:space="preserve"> </w:t>
      </w:r>
      <w:r>
        <w:rPr>
          <w:rFonts w:hint="eastAsia" w:ascii="Times New Roman" w:hAnsi="Times New Roman" w:cs="Times New Roman"/>
          <w:b/>
        </w:rPr>
        <w:t>Fig S2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Cell viability of normal human cells after treatment with different concentrations of NF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(0–180 μM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48</w:t>
      </w:r>
      <w:r>
        <w:rPr>
          <w:rFonts w:hint="default" w:ascii="Times New Roman" w:hAnsi="Times New Roman" w:cs="Times New Roman" w:eastAsiaTheme="minorEastAsia"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h)</w:t>
      </w:r>
      <w:r>
        <w:rPr>
          <w:rFonts w:ascii="Times New Roman" w:hAnsi="Times New Roman" w:cs="Times New Roman"/>
          <w:highlight w:val="none"/>
        </w:rPr>
        <w:t>.</w:t>
      </w:r>
    </w:p>
    <w:p>
      <w:pPr>
        <w:spacing w:line="360" w:lineRule="auto"/>
        <w:rPr>
          <w:rFonts w:hint="eastAsia" w:ascii="Times New Roman" w:hAnsi="Times New Roman" w:cs="Times New Roman"/>
          <w:b/>
        </w:rPr>
      </w:pPr>
    </w:p>
    <w:p>
      <w:pPr>
        <w:spacing w:line="480" w:lineRule="auto"/>
        <w:rPr>
          <w:rFonts w:hint="eastAsia"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drawing>
          <wp:inline distT="0" distB="0" distL="0" distR="0">
            <wp:extent cx="5274310" cy="3256280"/>
            <wp:effectExtent l="19050" t="0" r="2540" b="0"/>
            <wp:docPr id="1" name="图片 1" descr="C:\Users\lizizhuo\Desktop\S3 补实验 凋亡24h 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izizhuo\Desktop\S3 补实验 凋亡24h -0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 xml:space="preserve">Fig S3. </w:t>
      </w:r>
      <w:r>
        <w:rPr>
          <w:rFonts w:ascii="Times New Roman" w:hAnsi="Times New Roman" w:cs="Times New Roman"/>
        </w:rPr>
        <w:t>Apoptosis of GBM cells after treatment with NF</w:t>
      </w:r>
      <w:r>
        <w:rPr>
          <w:rFonts w:hint="eastAsia" w:ascii="Times New Roman" w:hAnsi="Times New Roman" w:cs="Times New Roman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0–150 μM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>24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h)</w:t>
      </w:r>
      <w:r>
        <w:rPr>
          <w:rFonts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arly apoptotic </w:t>
      </w:r>
      <w:r>
        <w:rPr>
          <w:rFonts w:hint="eastAsia" w:ascii="Times New Roman" w:hAnsi="Times New Roman" w:cs="Times New Roman"/>
        </w:rPr>
        <w:t xml:space="preserve">cells ratio (24 h) was increased compared to GBM cells treated by NF </w:t>
      </w:r>
      <w:r>
        <w:rPr>
          <w:rFonts w:hint="eastAsia" w:ascii="Times New Roman" w:hAnsi="Times New Roman" w:cs="Times New Roman"/>
          <w:lang w:val="en-US" w:eastAsia="zh-CN"/>
        </w:rPr>
        <w:t>(48 h)</w:t>
      </w:r>
      <w:r>
        <w:rPr>
          <w:rFonts w:hint="eastAsia" w:ascii="Times New Roman" w:hAnsi="Times New Roman" w:cs="Times New Roman"/>
        </w:rPr>
        <w:t>.</w:t>
      </w:r>
    </w:p>
    <w:p>
      <w:pPr>
        <w:spacing w:line="480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cs="Times New Roman"/>
          <w:b/>
        </w:rPr>
        <w:drawing>
          <wp:inline distT="0" distB="0" distL="114300" distR="114300">
            <wp:extent cx="5272405" cy="1315085"/>
            <wp:effectExtent l="0" t="0" r="4445" b="18415"/>
            <wp:docPr id="15" name="图片 15" descr="S4 HIF1A VEGF WB 改了个uM 注意一下 原S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4 HIF1A VEGF WB 改了个uM 注意一下 原S3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</w:rPr>
        <w:t>Fig S4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NF suppressed HIF1A and VEGFA in GBM cells. U87MG and U251 cells were cultured in 6-well plates and treated with NF at concentrations of 0 (</w:t>
      </w:r>
      <w:r>
        <w:rPr>
          <w:rFonts w:hint="eastAsia" w:ascii="Times New Roman" w:hAnsi="Times New Roman" w:cs="Times New Roman"/>
          <w:lang w:val="en-US" w:eastAsia="zh-CN"/>
        </w:rPr>
        <w:t>control</w:t>
      </w:r>
      <w:r>
        <w:rPr>
          <w:rFonts w:ascii="Times New Roman" w:hAnsi="Times New Roman" w:cs="Times New Roman"/>
        </w:rPr>
        <w:t>), 50, 100, 150 μM for 48 h, then the expression of the indicated factors was examined by Western Blot. β-actin was used as the loading control.</w:t>
      </w: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drawing>
          <wp:inline distT="0" distB="0" distL="0" distR="0">
            <wp:extent cx="5269865" cy="2219960"/>
            <wp:effectExtent l="19050" t="0" r="6985" b="0"/>
            <wp:docPr id="5" name="图片 8" descr="C:\Users\lizizhuo\Desktop\新建文件夹\！！！S1到S12\S1-S12 tif\S4 八个基因在GBM中对比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C:\Users\lizizhuo\Desktop\新建文件夹\！！！S1到S12\S1-S12 tif\S4 八个基因在GBM中对比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1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szCs w:val="21"/>
        </w:rPr>
        <w:t>Fig S5</w:t>
      </w:r>
      <w:r>
        <w:rPr>
          <w:rFonts w:ascii="Times New Roman" w:hAnsi="Times New Roman" w:cs="Times New Roman"/>
          <w:b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Multiple gene comparison in GBM—</w:t>
      </w:r>
      <w:r>
        <w:rPr>
          <w:rFonts w:ascii="Times New Roman" w:hAnsi="Times New Roman" w:cs="Times New Roman"/>
          <w:i/>
          <w:szCs w:val="21"/>
        </w:rPr>
        <w:t>CD133, CD44, Oct4, SOX2, Nanog, ALDH1A1, Olig2</w:t>
      </w:r>
      <w:r>
        <w:rPr>
          <w:rFonts w:ascii="Times New Roman" w:hAnsi="Times New Roman" w:cs="Times New Roman"/>
          <w:szCs w:val="21"/>
        </w:rPr>
        <w:t xml:space="preserve"> and </w:t>
      </w:r>
      <w:r>
        <w:rPr>
          <w:rFonts w:ascii="Times New Roman" w:hAnsi="Times New Roman" w:cs="Times New Roman"/>
          <w:i/>
          <w:szCs w:val="21"/>
        </w:rPr>
        <w:t>Nestin</w:t>
      </w:r>
      <w:r>
        <w:rPr>
          <w:rFonts w:hint="eastAsia" w:ascii="Times New Roman" w:hAnsi="Times New Roman" w:cs="Times New Roman"/>
          <w:i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(GEPIA).</w:t>
      </w:r>
    </w:p>
    <w:p/>
    <w:p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drawing>
          <wp:inline distT="0" distB="0" distL="0" distR="0">
            <wp:extent cx="5269865" cy="1749425"/>
            <wp:effectExtent l="19050" t="0" r="6985" b="0"/>
            <wp:docPr id="10" name="图片 5" descr="C:\Users\lizizhuo\Desktop\新建文件夹\！！！S1到S12\S1-S12 tif\S5 SOX2细胞定位于核 免疫荧光图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C:\Users\lizizhuo\Desktop\新建文件夹\！！！S1到S12\S1-S12 tif\S5 SOX2细胞定位于核 免疫荧光图-0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4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Fig S6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Subcellular localization of SOX2. Immunofluorescence assay showed the subcellular localization (green) of SOX2 (HPA, human protein atlas).</w:t>
      </w:r>
    </w:p>
    <w:p>
      <w:pPr>
        <w:spacing w:line="360" w:lineRule="auto"/>
      </w:pPr>
    </w:p>
    <w:p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drawing>
          <wp:inline distT="0" distB="0" distL="0" distR="0">
            <wp:extent cx="5269865" cy="1913255"/>
            <wp:effectExtent l="19050" t="0" r="6985" b="0"/>
            <wp:docPr id="11" name="图片 7" descr="C:\Users\lizizhuo\Desktop\新建文件夹\！！！S1到S12\S1-S12 tif\S6 NES CD44细胞定位HPA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C:\Users\lizizhuo\Desktop\新建文件夹\！！！S1到S12\S1-S12 tif\S6 NES CD44细胞定位HPA-0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1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Fig S7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Subcellular localization of Nestin and CD44 (HPA, human protein atlas).</w:t>
      </w:r>
    </w:p>
    <w:p>
      <w:pPr>
        <w:spacing w:line="360" w:lineRule="auto"/>
        <w:rPr>
          <w:rFonts w:ascii="Times New Roman" w:hAnsi="Times New Roman" w:cs="Times New Roman"/>
        </w:rPr>
      </w:pPr>
    </w:p>
    <w:p>
      <w:r>
        <w:rPr>
          <w:rFonts w:hint="eastAsia"/>
        </w:rPr>
        <w:drawing>
          <wp:inline distT="0" distB="0" distL="0" distR="0">
            <wp:extent cx="5269865" cy="1871345"/>
            <wp:effectExtent l="19050" t="0" r="6985" b="0"/>
            <wp:docPr id="13" name="图片 1" descr="C:\Users\lizizhuo\Desktop\S7 SOX2 os dfs 生存曲线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C:\Users\lizizhuo\Desktop\S7 SOX2 os dfs 生存曲线-0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Fig S8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OS and DFS of GBM patients based on SOX2 expression. The Kaplan-Meier method was used to determine the OS and DFS of GBM patients, and the log-rank test was used to compare survival among the SOX-low and SOX2-high groups (GEPIA).</w:t>
      </w:r>
    </w:p>
    <w:p>
      <w:pPr>
        <w:spacing w:line="360" w:lineRule="auto"/>
      </w:pPr>
    </w:p>
    <w:p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drawing>
          <wp:inline distT="0" distB="0" distL="0" distR="0">
            <wp:extent cx="5274310" cy="1598295"/>
            <wp:effectExtent l="19050" t="0" r="2540" b="0"/>
            <wp:docPr id="7" name="图片 3" descr="C:\Users\lizizhuo\Desktop\S9 NF作用之 对SOX2的作用 灰度柱状图 原S8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C:\Users\lizizhuo\Desktop\S9 NF作用之 对SOX2的作用 灰度柱状图 原S8-0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8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Fig S9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The expression of SOX2 in GBM cells treated with NF. After culturing U87MG and U251 cells with different doses of NF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MinionPro-Regular3" w:cs="Times New Roman"/>
          <w:color w:val="000000" w:themeColor="text1"/>
          <w:sz w:val="21"/>
          <w:szCs w:val="21"/>
          <w:highlight w:val="none"/>
        </w:rPr>
        <w:t>(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highlight w:val="none"/>
        </w:rPr>
        <w:t>0–150 μM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>, 48 h</w:t>
      </w:r>
      <w:r>
        <w:rPr>
          <w:rFonts w:hint="default" w:ascii="Times New Roman" w:hAnsi="Times New Roman" w:eastAsia="MinionPro-Regular3" w:cs="Times New Roman"/>
          <w:color w:val="000000" w:themeColor="text1"/>
          <w:sz w:val="21"/>
          <w:szCs w:val="21"/>
          <w:highlight w:val="none"/>
        </w:rPr>
        <w:t>)</w:t>
      </w:r>
      <w:r>
        <w:rPr>
          <w:rFonts w:ascii="Times New Roman" w:hAnsi="Times New Roman" w:cs="Times New Roman"/>
          <w:highlight w:val="none"/>
        </w:rPr>
        <w:t xml:space="preserve">, </w:t>
      </w:r>
      <w:r>
        <w:rPr>
          <w:rFonts w:ascii="Times New Roman" w:hAnsi="Times New Roman" w:cs="Times New Roman"/>
        </w:rPr>
        <w:t>Western Blot assay was performed to evaluate the expression of SOX2. Results showed SOX2 was down-regulated in a dose-dependent manner. Data are presented as mean ± SD (n = 3), *</w:t>
      </w:r>
      <w:r>
        <w:rPr>
          <w:rFonts w:ascii="Times New Roman" w:hAnsi="Times New Roman" w:cs="Times New Roman"/>
          <w:i/>
        </w:rPr>
        <w:t xml:space="preserve">P &lt; </w:t>
      </w:r>
      <w:r>
        <w:rPr>
          <w:rFonts w:ascii="Times New Roman" w:hAnsi="Times New Roman" w:cs="Times New Roman"/>
        </w:rPr>
        <w:t>0.05, **</w:t>
      </w:r>
      <w:r>
        <w:rPr>
          <w:rFonts w:ascii="Times New Roman" w:hAnsi="Times New Roman" w:cs="Times New Roman"/>
          <w:i/>
        </w:rPr>
        <w:t xml:space="preserve">P &lt; </w:t>
      </w:r>
      <w:r>
        <w:rPr>
          <w:rFonts w:ascii="Times New Roman" w:hAnsi="Times New Roman" w:cs="Times New Roman"/>
        </w:rPr>
        <w:t>0.01 versus control group (0 μM of NF).</w:t>
      </w:r>
    </w:p>
    <w:p>
      <w:pPr>
        <w:spacing w:line="360" w:lineRule="auto"/>
      </w:pPr>
    </w:p>
    <w:p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drawing>
          <wp:inline distT="0" distB="0" distL="0" distR="0">
            <wp:extent cx="5274310" cy="1821180"/>
            <wp:effectExtent l="19050" t="0" r="2540" b="0"/>
            <wp:docPr id="16" name="图片 11" descr="C:\Users\lizizhuo\Desktop\新建文件夹\！！！S1到S12\S1-S12 tif\S9 NF作用之 对SOX2的作用 免疫荧光 U251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C:\Users\lizizhuo\Desktop\新建文件夹\！！！S1到S12\S1-S12 tif\S9 NF作用之 对SOX2的作用 免疫荧光 U251-0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t>Fig S10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Immunofluorescence assay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(Scale bar: 200μm) of SOX2 after treatment with NF (30 μM</w:t>
      </w:r>
      <w:r>
        <w:rPr>
          <w:rFonts w:hint="eastAsia" w:ascii="Times New Roman" w:hAnsi="Times New Roman" w:cs="Times New Roman"/>
          <w:lang w:val="en-US" w:eastAsia="zh-CN"/>
        </w:rPr>
        <w:t>, 48 h</w:t>
      </w:r>
      <w:r>
        <w:rPr>
          <w:rFonts w:ascii="Times New Roman" w:hAnsi="Times New Roman" w:cs="Times New Roman"/>
        </w:rPr>
        <w:t>) in U251 cells.</w:t>
      </w:r>
    </w:p>
    <w:p/>
    <w:p>
      <w:pPr>
        <w:spacing w:line="480" w:lineRule="auto"/>
        <w:rPr>
          <w:rFonts w:ascii="Times New Roman" w:hAnsi="Times New Roman" w:eastAsia="宋体" w:cs="Times New Roman"/>
          <w:b/>
        </w:rPr>
      </w:pPr>
      <w:r>
        <w:rPr>
          <w:rFonts w:ascii="Times New Roman" w:hAnsi="Times New Roman" w:eastAsia="宋体" w:cs="Times New Roman"/>
          <w:b/>
        </w:rPr>
        <w:drawing>
          <wp:inline distT="0" distB="0" distL="0" distR="0">
            <wp:extent cx="5274310" cy="3206115"/>
            <wp:effectExtent l="19050" t="0" r="2540" b="0"/>
            <wp:docPr id="19" name="图片 13" descr="C:\Users\lizizhuo\Desktop\新建文件夹\！！！S1到S12\S1-S12 tif\S10 U87 rescue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 descr="C:\Users\lizizhuo\Desktop\新建文件夹\！！！S1到S12\S1-S12 tif\S10 U87 rescue-01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宋体" w:cs="Times New Roman"/>
          <w:b/>
        </w:rPr>
      </w:pPr>
      <w:r>
        <w:rPr>
          <w:rFonts w:hint="eastAsia" w:ascii="Times New Roman" w:hAnsi="Times New Roman" w:eastAsia="宋体" w:cs="Times New Roman"/>
          <w:b/>
        </w:rPr>
        <w:t>Fig S11</w:t>
      </w:r>
      <w:r>
        <w:rPr>
          <w:rFonts w:ascii="Times New Roman" w:hAnsi="Times New Roman" w:eastAsia="宋体" w:cs="Times New Roman"/>
          <w:b/>
        </w:rPr>
        <w:t xml:space="preserve">. </w:t>
      </w:r>
      <w:r>
        <w:rPr>
          <w:rFonts w:ascii="Times New Roman" w:hAnsi="Times New Roman" w:eastAsia="宋体" w:cs="Times New Roman"/>
        </w:rPr>
        <w:t xml:space="preserve">Rescue experiment of SOX2 in U87MG cells. Insight into a SOX2-dependent mechanism of NF-induced </w:t>
      </w:r>
      <w:r>
        <w:rPr>
          <w:rFonts w:ascii="Times New Roman" w:hAnsi="Times New Roman" w:eastAsia="宋体" w:cs="Times New Roman"/>
          <w:highlight w:val="none"/>
        </w:rPr>
        <w:t>(100 μM</w:t>
      </w:r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>, 48 h</w:t>
      </w:r>
      <w:r>
        <w:rPr>
          <w:rFonts w:ascii="Times New Roman" w:hAnsi="Times New Roman" w:eastAsia="宋体" w:cs="Times New Roman"/>
          <w:highlight w:val="none"/>
        </w:rPr>
        <w:t xml:space="preserve">) </w:t>
      </w:r>
      <w:r>
        <w:rPr>
          <w:rFonts w:ascii="Times New Roman" w:hAnsi="Times New Roman" w:eastAsia="宋体" w:cs="Times New Roman"/>
        </w:rPr>
        <w:t>inhibition of cell proliferation in U87MG cells, by MTT assay. *</w:t>
      </w:r>
      <w:r>
        <w:rPr>
          <w:rFonts w:ascii="Times New Roman" w:hAnsi="Times New Roman" w:eastAsia="宋体" w:cs="Times New Roman"/>
          <w:i/>
        </w:rPr>
        <w:t xml:space="preserve">P &lt; </w:t>
      </w:r>
      <w:r>
        <w:rPr>
          <w:rFonts w:ascii="Times New Roman" w:hAnsi="Times New Roman" w:eastAsia="宋体" w:cs="Times New Roman"/>
        </w:rPr>
        <w:t>0.05, **</w:t>
      </w:r>
      <w:r>
        <w:rPr>
          <w:rFonts w:ascii="Times New Roman" w:hAnsi="Times New Roman" w:eastAsia="宋体" w:cs="Times New Roman"/>
          <w:i/>
        </w:rPr>
        <w:t xml:space="preserve">P &lt; </w:t>
      </w:r>
      <w:r>
        <w:rPr>
          <w:rFonts w:ascii="Times New Roman" w:hAnsi="Times New Roman" w:eastAsia="宋体" w:cs="Times New Roman"/>
        </w:rPr>
        <w:t>0.01 versus control group.</w:t>
      </w: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054860"/>
            <wp:effectExtent l="0" t="0" r="4445" b="2540"/>
            <wp:docPr id="2" name="图片 2" descr="S12 补实验 瘤子剥离 重量体积图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12 补实验 瘤子剥离 重量体积图-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</w:rPr>
        <w:t>Fig S12.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 xml:space="preserve">NF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0, 10mg/kg and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15 mg/kg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once a day for a total of 2 weeks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>)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</w:rPr>
        <w:t>inhibited the growth of U251 xenograft tumors in a dose-dependent manner</w:t>
      </w:r>
      <w:r>
        <w:rPr>
          <w:rFonts w:hint="eastAsia" w:ascii="Times New Roman" w:hAnsi="Times New Roman" w:eastAsia="宋体" w:cs="Times New Roman"/>
        </w:rPr>
        <w:t>.</w:t>
      </w:r>
    </w:p>
    <w:p>
      <w:pPr>
        <w:spacing w:line="360" w:lineRule="auto"/>
        <w:rPr>
          <w:rFonts w:hint="eastAsia" w:ascii="Times New Roman" w:hAnsi="Times New Roman" w:eastAsia="宋体" w:cs="Times New Roman"/>
        </w:rPr>
      </w:pPr>
    </w:p>
    <w:p>
      <w:pPr>
        <w:spacing w:line="360" w:lineRule="auto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272405" cy="2865755"/>
            <wp:effectExtent l="0" t="0" r="4445" b="10795"/>
            <wp:docPr id="6" name="图片 6" descr="S13 补实验 组织蛋白 WB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13 补实验 组织蛋白 WB-0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</w:rPr>
        <w:t>Fig S13.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</w:rPr>
        <w:t>T</w:t>
      </w:r>
      <w:r>
        <w:rPr>
          <w:rFonts w:ascii="Times New Roman" w:hAnsi="Times New Roman" w:eastAsia="宋体" w:cs="Times New Roman"/>
        </w:rPr>
        <w:t>he</w:t>
      </w:r>
      <w:r>
        <w:rPr>
          <w:rFonts w:hint="eastAsia" w:ascii="Times New Roman" w:hAnsi="Times New Roman" w:eastAsia="宋体" w:cs="Times New Roman"/>
        </w:rPr>
        <w:t xml:space="preserve"> protein expression of excised xenograft tumors </w:t>
      </w:r>
      <w:r>
        <w:rPr>
          <w:rFonts w:ascii="Times New Roman" w:hAnsi="Times New Roman" w:eastAsia="宋体" w:cs="Times New Roman"/>
        </w:rPr>
        <w:t xml:space="preserve">were </w:t>
      </w:r>
      <w:r>
        <w:rPr>
          <w:rFonts w:hint="eastAsia" w:ascii="Times New Roman" w:hAnsi="Times New Roman" w:eastAsia="宋体" w:cs="Times New Roman"/>
        </w:rPr>
        <w:t>notably</w:t>
      </w:r>
      <w:r>
        <w:rPr>
          <w:rFonts w:ascii="Times New Roman" w:hAnsi="Times New Roman" w:eastAsia="宋体" w:cs="Times New Roman"/>
        </w:rPr>
        <w:t xml:space="preserve"> reduced by </w:t>
      </w:r>
      <w:r>
        <w:rPr>
          <w:rFonts w:hint="eastAsia" w:ascii="Times New Roman" w:hAnsi="Times New Roman" w:eastAsia="宋体" w:cs="Times New Roman"/>
        </w:rPr>
        <w:t>NF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0, 10mg/kg and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15 mg/kg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 xml:space="preserve">once a 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day for a total of 2 weeks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>)</w:t>
      </w:r>
      <w:r>
        <w:rPr>
          <w:rFonts w:ascii="Times New Roman" w:hAnsi="Times New Roman" w:eastAsia="宋体" w:cs="Times New Roman"/>
        </w:rPr>
        <w:t xml:space="preserve"> in a dose-dependent manner</w:t>
      </w:r>
      <w:r>
        <w:rPr>
          <w:rFonts w:hint="eastAsia" w:ascii="Times New Roman" w:hAnsi="Times New Roman" w:eastAsia="宋体" w:cs="Times New Roman"/>
        </w:rPr>
        <w:t>.</w:t>
      </w:r>
    </w:p>
    <w:p>
      <w:pPr>
        <w:spacing w:line="360" w:lineRule="auto"/>
        <w:rPr>
          <w:rFonts w:ascii="Times New Roman" w:hAnsi="Times New Roman" w:eastAsia="宋体" w:cs="Times New Roman"/>
        </w:rPr>
      </w:pPr>
    </w:p>
    <w:p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drawing>
          <wp:inline distT="0" distB="0" distL="0" distR="0">
            <wp:extent cx="5274310" cy="2454275"/>
            <wp:effectExtent l="19050" t="0" r="2540" b="0"/>
            <wp:docPr id="21" name="图片 15" descr="C:\Users\lizizhuo\Desktop\新建文件夹\！！！S1到S12\S1-S12 tif\S11 NF作用之 对大体肿瘤作用 病理图 微血管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 descr="C:\Users\lizizhuo\Desktop\新建文件夹\！！！S1到S12\S1-S12 tif\S11 NF作用之 对大体肿瘤作用 病理图 微血管-01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Times New Roman" w:hAnsi="Times New Roman" w:cs="Times New Roman"/>
          <w:b/>
        </w:rPr>
        <w:t>Fig S14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Pathology changes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(original magnification 100×) of angiogenesis. Pathology changes of tumor vessels were observed by hematoxylin and eosin stain (H&amp;E staining); and angiogenesis was inhibited by NF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15 mg/kg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</w:rPr>
        <w:t>once a day for a total of 2 weeks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/>
        </w:rPr>
        <w:t>)</w:t>
      </w:r>
      <w:r>
        <w:rPr>
          <w:rFonts w:ascii="Times New Roman" w:hAnsi="Times New Roman" w:cs="Times New Roman"/>
        </w:rPr>
        <w:t>.</w:t>
      </w:r>
    </w:p>
    <w:p>
      <w:pPr>
        <w:spacing w:line="480" w:lineRule="auto"/>
        <w:rPr>
          <w:rFonts w:ascii="Times New Roman" w:hAnsi="Times New Roman" w:eastAsia="宋体" w:cs="Times New Roman"/>
          <w:b/>
        </w:rPr>
      </w:pPr>
      <w:r>
        <w:rPr>
          <w:rFonts w:ascii="Times New Roman" w:hAnsi="Times New Roman" w:eastAsia="宋体" w:cs="Times New Roman"/>
          <w:b/>
        </w:rPr>
        <w:drawing>
          <wp:inline distT="0" distB="0" distL="0" distR="0">
            <wp:extent cx="5274310" cy="1739900"/>
            <wp:effectExtent l="19050" t="0" r="2540" b="0"/>
            <wp:docPr id="24" name="图片 16" descr="C:\Users\lizizhuo\Desktop\新建文件夹\！！！S1到S12\S1-S12 tif\S12 免疫组化 各个脏器无损伤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 descr="C:\Users\lizizhuo\Desktop\新建文件夹\！！！S1到S12\S1-S12 tif\S12 免疫组化 各个脏器无损伤-01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0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b/>
        </w:rPr>
        <w:t>Fig S15</w:t>
      </w:r>
      <w:r>
        <w:rPr>
          <w:rFonts w:ascii="Times New Roman" w:hAnsi="Times New Roman" w:eastAsia="宋体" w:cs="Times New Roman"/>
          <w:b/>
        </w:rPr>
        <w:t xml:space="preserve">. </w:t>
      </w:r>
      <w:r>
        <w:rPr>
          <w:rFonts w:ascii="Times New Roman" w:hAnsi="Times New Roman" w:eastAsia="宋体" w:cs="Times New Roman"/>
        </w:rPr>
        <w:t>No obvious necrosis was found in xenograft mice internal organs. Pathology change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</w:rPr>
        <w:t>(original magnification 100×) of xenograft mice internal organs were observed by hematoxylin and eosin stain (H&amp;E staining), and no obvious necrosis was found.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inionPro-Regular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4D61"/>
    <w:rsid w:val="00022A02"/>
    <w:rsid w:val="00022E37"/>
    <w:rsid w:val="000D52BA"/>
    <w:rsid w:val="0025344F"/>
    <w:rsid w:val="002B3F6B"/>
    <w:rsid w:val="002E5209"/>
    <w:rsid w:val="00302A39"/>
    <w:rsid w:val="00305325"/>
    <w:rsid w:val="003A44DC"/>
    <w:rsid w:val="003F0D68"/>
    <w:rsid w:val="0045092C"/>
    <w:rsid w:val="00464F6D"/>
    <w:rsid w:val="00496117"/>
    <w:rsid w:val="004B02F0"/>
    <w:rsid w:val="004D64F1"/>
    <w:rsid w:val="00512A7B"/>
    <w:rsid w:val="00533745"/>
    <w:rsid w:val="00581C40"/>
    <w:rsid w:val="005A3662"/>
    <w:rsid w:val="005C4D61"/>
    <w:rsid w:val="005F1F2A"/>
    <w:rsid w:val="00685FBD"/>
    <w:rsid w:val="006B28E8"/>
    <w:rsid w:val="006C11BB"/>
    <w:rsid w:val="00700FFF"/>
    <w:rsid w:val="0070698E"/>
    <w:rsid w:val="00773EFD"/>
    <w:rsid w:val="007D5684"/>
    <w:rsid w:val="008344F1"/>
    <w:rsid w:val="009150AC"/>
    <w:rsid w:val="00946F8C"/>
    <w:rsid w:val="009D5561"/>
    <w:rsid w:val="009F74FD"/>
    <w:rsid w:val="00A01F71"/>
    <w:rsid w:val="00A2274E"/>
    <w:rsid w:val="00A35A3B"/>
    <w:rsid w:val="00AA2A6B"/>
    <w:rsid w:val="00AD61D3"/>
    <w:rsid w:val="00AF3528"/>
    <w:rsid w:val="00B37533"/>
    <w:rsid w:val="00C0672D"/>
    <w:rsid w:val="00D47874"/>
    <w:rsid w:val="00DF76AB"/>
    <w:rsid w:val="00E250E1"/>
    <w:rsid w:val="00EB5449"/>
    <w:rsid w:val="00F556E7"/>
    <w:rsid w:val="00F874E9"/>
    <w:rsid w:val="00FA73EB"/>
    <w:rsid w:val="02190B04"/>
    <w:rsid w:val="039D0122"/>
    <w:rsid w:val="04584C4E"/>
    <w:rsid w:val="05564E27"/>
    <w:rsid w:val="05F46748"/>
    <w:rsid w:val="0E617090"/>
    <w:rsid w:val="179C384A"/>
    <w:rsid w:val="1A7A3596"/>
    <w:rsid w:val="1EE32756"/>
    <w:rsid w:val="2000652C"/>
    <w:rsid w:val="23795443"/>
    <w:rsid w:val="25B72F33"/>
    <w:rsid w:val="266872B7"/>
    <w:rsid w:val="283C4602"/>
    <w:rsid w:val="34DD53AE"/>
    <w:rsid w:val="47A87655"/>
    <w:rsid w:val="4B2F03E3"/>
    <w:rsid w:val="51262631"/>
    <w:rsid w:val="59CD0B65"/>
    <w:rsid w:val="5C8E0097"/>
    <w:rsid w:val="5CFC1168"/>
    <w:rsid w:val="5E766781"/>
    <w:rsid w:val="63F247D3"/>
    <w:rsid w:val="697B47D8"/>
    <w:rsid w:val="6FA14597"/>
    <w:rsid w:val="6FE1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11">
    <w:name w:val="fontstyle01"/>
    <w:basedOn w:val="5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957AD9-50E3-419C-8DF5-D2B1CB165A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7</Pages>
  <Words>432</Words>
  <Characters>2463</Characters>
  <Lines>20</Lines>
  <Paragraphs>5</Paragraphs>
  <TotalTime>23</TotalTime>
  <ScaleCrop>false</ScaleCrop>
  <LinksUpToDate>false</LinksUpToDate>
  <CharactersWithSpaces>2890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2018-10-12T16:02:00Z</dcterms:created>
  <dc:creator>lizizhuo</dc:creator>
  <cp:lastModifiedBy>lizizhuo</cp:lastModifiedBy>
  <dcterms:modified xsi:type="dcterms:W3CDTF">2019-02-22T09:42:03Z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