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3A" w:rsidRPr="00186892" w:rsidRDefault="00186892" w:rsidP="006E47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Table </w:t>
      </w:r>
      <w:r w:rsidR="00BE2FD7">
        <w:rPr>
          <w:rFonts w:ascii="Times New Roman" w:eastAsia="MinionPro-Bold" w:hAnsi="Times New Roman" w:cs="Times New Roman" w:hint="eastAsia"/>
          <w:b/>
          <w:bCs/>
          <w:kern w:val="0"/>
          <w:sz w:val="24"/>
          <w:szCs w:val="24"/>
        </w:rPr>
        <w:t>S</w:t>
      </w:r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1. </w:t>
      </w:r>
      <w:proofErr w:type="gramStart"/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Analysis of </w:t>
      </w:r>
      <w:r w:rsidRPr="00186892">
        <w:rPr>
          <w:rFonts w:ascii="Times New Roman" w:eastAsia="EuclidSymbol-Bold" w:hAnsi="Times New Roman" w:cs="Times New Roman"/>
          <w:b/>
          <w:bCs/>
          <w:kern w:val="0"/>
          <w:sz w:val="24"/>
          <w:szCs w:val="24"/>
        </w:rPr>
        <w:t>ω</w:t>
      </w:r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-6 and </w:t>
      </w:r>
      <w:r w:rsidRPr="00186892">
        <w:rPr>
          <w:rFonts w:ascii="Times New Roman" w:eastAsia="EuclidSymbol-Bold" w:hAnsi="Times New Roman" w:cs="Times New Roman"/>
          <w:b/>
          <w:bCs/>
          <w:kern w:val="0"/>
          <w:sz w:val="24"/>
          <w:szCs w:val="24"/>
        </w:rPr>
        <w:t>ω</w:t>
      </w:r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>-3 PUFA composition.</w:t>
      </w:r>
      <w:proofErr w:type="gramEnd"/>
      <w:r w:rsidRPr="00186892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Abbreviations: ALA,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 xml:space="preserve">α </w:t>
      </w:r>
      <w:proofErr w:type="spellStart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lipoic</w:t>
      </w:r>
      <w:proofErr w:type="spellEnd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acid; DPA,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docosapentaenoic</w:t>
      </w:r>
      <w:proofErr w:type="spellEnd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acid; LA, linoleic acid. The composition of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>ω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-6 and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>ω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-3 PUFAs in the mice blood was analyzed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using standard protocols (see Materials and Methods). Each species is expressed as a percentage of all fatty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acid peaks, </w:t>
      </w:r>
      <w:proofErr w:type="spellStart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ie</w:t>
      </w:r>
      <w:proofErr w:type="spellEnd"/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, the distribution areas of different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>ω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-3 or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>ω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-6 PUFAs peaks divided by the total peak areas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of all detectable saturated and unsaturated free fatty acids (from the same sample) resolved from the gas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chromatography column. All data presented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are means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 xml:space="preserve">±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S</w:t>
      </w:r>
      <w:r w:rsidR="001D3E23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D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. n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 xml:space="preserve">= </w:t>
      </w:r>
      <w:r w:rsidR="00452CB8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6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.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  <w:vertAlign w:val="superscript"/>
        </w:rPr>
        <w:t>*</w:t>
      </w:r>
      <w:r w:rsidR="00BE343A" w:rsidRPr="00186892">
        <w:rPr>
          <w:rFonts w:ascii="Times New Roman" w:eastAsia="MinionPro-It" w:hAnsi="Times New Roman" w:cs="Times New Roman"/>
          <w:i/>
          <w:iCs/>
          <w:kern w:val="0"/>
          <w:sz w:val="24"/>
          <w:szCs w:val="24"/>
        </w:rPr>
        <w:t xml:space="preserve">P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 xml:space="preserve">&lt;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0.05 and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  <w:vertAlign w:val="superscript"/>
        </w:rPr>
        <w:t>**</w:t>
      </w:r>
      <w:r w:rsidR="00BE343A" w:rsidRPr="00186892">
        <w:rPr>
          <w:rFonts w:ascii="Times New Roman" w:eastAsia="MinionPro-It" w:hAnsi="Times New Roman" w:cs="Times New Roman"/>
          <w:i/>
          <w:iCs/>
          <w:kern w:val="0"/>
          <w:sz w:val="24"/>
          <w:szCs w:val="24"/>
        </w:rPr>
        <w:t xml:space="preserve">P </w:t>
      </w:r>
      <w:r w:rsidR="00BE343A" w:rsidRPr="00186892">
        <w:rPr>
          <w:rFonts w:ascii="Times New Roman" w:eastAsia="EuclidSymbol" w:hAnsi="Times New Roman" w:cs="Times New Roman"/>
          <w:kern w:val="0"/>
          <w:sz w:val="24"/>
          <w:szCs w:val="24"/>
        </w:rPr>
        <w:t xml:space="preserve">&lt;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0.01 when the mfat-1 group compared with 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 xml:space="preserve">WT </w:t>
      </w:r>
      <w:r w:rsidR="00BE343A" w:rsidRPr="00186892">
        <w:rPr>
          <w:rFonts w:ascii="Times New Roman" w:eastAsia="MinionPro-Regular" w:hAnsi="Times New Roman" w:cs="Times New Roman"/>
          <w:kern w:val="0"/>
          <w:sz w:val="24"/>
          <w:szCs w:val="24"/>
        </w:rPr>
        <w:t>group</w:t>
      </w:r>
      <w:r w:rsidR="00BE343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.</w:t>
      </w:r>
    </w:p>
    <w:p w:rsidR="00186892" w:rsidRPr="00186892" w:rsidRDefault="00186892" w:rsidP="006E47F8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MinionPro-Regular" w:hAnsi="Times New Roman" w:cs="Times New Roman"/>
          <w:kern w:val="0"/>
          <w:sz w:val="24"/>
          <w:szCs w:val="24"/>
        </w:rPr>
      </w:pPr>
    </w:p>
    <w:p w:rsidR="007B7981" w:rsidRDefault="007B7981" w:rsidP="0018689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243" w:type="dxa"/>
        <w:jc w:val="center"/>
        <w:tblInd w:w="102" w:type="dxa"/>
        <w:tblLook w:val="04A0" w:firstRow="1" w:lastRow="0" w:firstColumn="1" w:lastColumn="0" w:noHBand="0" w:noVBand="1"/>
      </w:tblPr>
      <w:tblGrid>
        <w:gridCol w:w="2700"/>
        <w:gridCol w:w="1701"/>
        <w:gridCol w:w="1842"/>
      </w:tblGrid>
      <w:tr w:rsidR="00186892" w:rsidRPr="00186892" w:rsidTr="00186892">
        <w:trPr>
          <w:trHeight w:val="360"/>
          <w:jc w:val="center"/>
        </w:trPr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PUFA Species, %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WT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mfat-1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ALA(C18:3 ω-3)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0.29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0.57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0.07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EPA(C20:5, ω-3)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0.75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2.10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0.35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DPA(C22:5, ω-3)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0.77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1.19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0.11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DHA(C22:6, ω-3)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8304CE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5.1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>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="00186892"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="00186892"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0.44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6.36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0.15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ω-3,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6.99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10.21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0.44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LA(C18:2, ω-6)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17.57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1.28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15.27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0.30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AA(C20:4, ω-6)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11.36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7.21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1.06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**</w:t>
            </w:r>
          </w:p>
        </w:tc>
      </w:tr>
      <w:tr w:rsidR="00186892" w:rsidRPr="00186892" w:rsidTr="00186892">
        <w:trPr>
          <w:trHeight w:val="352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ω-6,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29.75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1.70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23.16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0.95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**</w:t>
            </w:r>
          </w:p>
        </w:tc>
      </w:tr>
      <w:tr w:rsidR="00186892" w:rsidRPr="00186892" w:rsidTr="00186892">
        <w:trPr>
          <w:trHeight w:val="360"/>
          <w:jc w:val="center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ω-6/ω-3 ratio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4.26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6892" w:rsidRPr="00186892" w:rsidRDefault="00186892" w:rsidP="0018689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2.27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±</w:t>
            </w:r>
            <w:r w:rsidR="004D74AD">
              <w:rPr>
                <w:rFonts w:ascii="Times New Roman" w:eastAsia="SimSu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0.18</w:t>
            </w:r>
            <w:r w:rsidRPr="0018689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</w:rPr>
              <w:t>**</w:t>
            </w:r>
          </w:p>
        </w:tc>
      </w:tr>
    </w:tbl>
    <w:p w:rsidR="00186892" w:rsidRDefault="00186892" w:rsidP="00186892">
      <w:pPr>
        <w:rPr>
          <w:rFonts w:ascii="Times New Roman" w:hAnsi="Times New Roman" w:cs="Times New Roman"/>
          <w:sz w:val="24"/>
          <w:szCs w:val="24"/>
        </w:rPr>
      </w:pPr>
    </w:p>
    <w:p w:rsidR="00945312" w:rsidRDefault="00945312" w:rsidP="00186892">
      <w:pPr>
        <w:rPr>
          <w:rFonts w:ascii="Times New Roman" w:hAnsi="Times New Roman" w:cs="Times New Roman"/>
          <w:sz w:val="24"/>
          <w:szCs w:val="24"/>
        </w:rPr>
      </w:pPr>
    </w:p>
    <w:sectPr w:rsidR="00945312" w:rsidSect="007B7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29D" w:rsidRDefault="00C9029D" w:rsidP="004D74AD">
      <w:r>
        <w:separator/>
      </w:r>
    </w:p>
  </w:endnote>
  <w:endnote w:type="continuationSeparator" w:id="0">
    <w:p w:rsidR="00C9029D" w:rsidRDefault="00C9029D" w:rsidP="004D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Bold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EuclidSymbol-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MinionPro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EuclidSymbol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MinionPro-It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29D" w:rsidRDefault="00C9029D" w:rsidP="004D74AD">
      <w:r>
        <w:separator/>
      </w:r>
    </w:p>
  </w:footnote>
  <w:footnote w:type="continuationSeparator" w:id="0">
    <w:p w:rsidR="00C9029D" w:rsidRDefault="00C9029D" w:rsidP="004D7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4"/>
  </w:docVars>
  <w:rsids>
    <w:rsidRoot w:val="00186892"/>
    <w:rsid w:val="00004731"/>
    <w:rsid w:val="00186892"/>
    <w:rsid w:val="001C5D97"/>
    <w:rsid w:val="001D3E23"/>
    <w:rsid w:val="00204803"/>
    <w:rsid w:val="00312194"/>
    <w:rsid w:val="00396594"/>
    <w:rsid w:val="00452CB8"/>
    <w:rsid w:val="004D74AD"/>
    <w:rsid w:val="006E47F8"/>
    <w:rsid w:val="007B7981"/>
    <w:rsid w:val="007D60AD"/>
    <w:rsid w:val="008304CE"/>
    <w:rsid w:val="00945312"/>
    <w:rsid w:val="00BE2FD7"/>
    <w:rsid w:val="00BE343A"/>
    <w:rsid w:val="00C9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8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74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D74AD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4D74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D74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9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861</Characters>
  <Application>Microsoft Office Word</Application>
  <DocSecurity>0</DocSecurity>
  <Lines>42</Lines>
  <Paragraphs>31</Paragraphs>
  <ScaleCrop>false</ScaleCrop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OC32</cp:lastModifiedBy>
  <cp:revision>10</cp:revision>
  <dcterms:created xsi:type="dcterms:W3CDTF">2019-10-18T07:34:00Z</dcterms:created>
  <dcterms:modified xsi:type="dcterms:W3CDTF">2019-11-15T00:09:00Z</dcterms:modified>
</cp:coreProperties>
</file>