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CE8" w:rsidRPr="00E668EF" w:rsidRDefault="00CF7CE8" w:rsidP="00CF7CE8">
      <w:pPr>
        <w:spacing w:line="480" w:lineRule="auto"/>
        <w:rPr>
          <w:rFonts w:ascii="Times New Roman" w:hAnsi="Times New Roman" w:cs="Times New Roman"/>
          <w:lang w:val="en-US"/>
        </w:rPr>
      </w:pPr>
      <w:r w:rsidRPr="00E668EF">
        <w:rPr>
          <w:rFonts w:ascii="Times New Roman" w:hAnsi="Times New Roman" w:cs="Times New Roman"/>
          <w:b/>
          <w:lang w:val="en-US"/>
        </w:rPr>
        <w:t>Table S2:</w:t>
      </w:r>
      <w:r w:rsidRPr="00E668EF">
        <w:rPr>
          <w:rFonts w:ascii="Times New Roman" w:hAnsi="Times New Roman" w:cs="Times New Roman"/>
          <w:lang w:val="en-US"/>
        </w:rPr>
        <w:t xml:space="preserve"> RT-qPCR analysis: primer sequences.</w:t>
      </w:r>
    </w:p>
    <w:tbl>
      <w:tblPr>
        <w:tblStyle w:val="LightList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600" w:firstRow="0" w:lastRow="0" w:firstColumn="0" w:lastColumn="0" w:noHBand="1" w:noVBand="1"/>
      </w:tblPr>
      <w:tblGrid>
        <w:gridCol w:w="919"/>
        <w:gridCol w:w="1756"/>
        <w:gridCol w:w="3398"/>
        <w:gridCol w:w="3503"/>
      </w:tblGrid>
      <w:tr w:rsidR="00CF7CE8" w:rsidRPr="00E668EF" w:rsidTr="008042F6">
        <w:trPr>
          <w:jc w:val="center"/>
        </w:trPr>
        <w:tc>
          <w:tcPr>
            <w:tcW w:w="480" w:type="pct"/>
            <w:shd w:val="clear" w:color="auto" w:fill="FFFFFF" w:themeFill="background1"/>
            <w:hideMark/>
          </w:tcPr>
          <w:p w:rsidR="00CF7CE8" w:rsidRPr="00E668EF" w:rsidRDefault="00CF7CE8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pt-PT"/>
              </w:rPr>
            </w:pPr>
            <w:r w:rsidRPr="00E668EF"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pt-PT"/>
              </w:rPr>
              <w:t>Symbol</w:t>
            </w:r>
          </w:p>
        </w:tc>
        <w:tc>
          <w:tcPr>
            <w:tcW w:w="917" w:type="pct"/>
            <w:shd w:val="clear" w:color="auto" w:fill="FFFFFF" w:themeFill="background1"/>
            <w:hideMark/>
          </w:tcPr>
          <w:p w:rsidR="00CF7CE8" w:rsidRPr="00E668EF" w:rsidRDefault="00CF7CE8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pt-PT"/>
              </w:rPr>
            </w:pPr>
            <w:r w:rsidRPr="00E668EF"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pt-PT"/>
              </w:rPr>
              <w:t>Gene name</w:t>
            </w:r>
          </w:p>
        </w:tc>
        <w:tc>
          <w:tcPr>
            <w:tcW w:w="1774" w:type="pct"/>
            <w:shd w:val="clear" w:color="auto" w:fill="FFFFFF" w:themeFill="background1"/>
            <w:hideMark/>
          </w:tcPr>
          <w:p w:rsidR="00CF7CE8" w:rsidRPr="00E668EF" w:rsidRDefault="00CF7CE8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pt-PT"/>
              </w:rPr>
            </w:pPr>
            <w:r w:rsidRPr="00E668EF"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pt-PT"/>
              </w:rPr>
              <w:t>Forward Primer</w:t>
            </w:r>
            <w:r w:rsidRPr="00E668EF">
              <w:rPr>
                <w:rFonts w:ascii="Times New Roman" w:eastAsia="Times New Roman" w:hAnsi="Times New Roman" w:cs="Times New Roman"/>
                <w:sz w:val="18"/>
                <w:lang w:eastAsia="pt-PT"/>
              </w:rPr>
              <w:t xml:space="preserve"> </w:t>
            </w:r>
            <w:r w:rsidRPr="00E668EF"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pt-PT"/>
              </w:rPr>
              <w:t>(5'-3')</w:t>
            </w:r>
          </w:p>
        </w:tc>
        <w:tc>
          <w:tcPr>
            <w:tcW w:w="1829" w:type="pct"/>
            <w:shd w:val="clear" w:color="auto" w:fill="FFFFFF" w:themeFill="background1"/>
            <w:hideMark/>
          </w:tcPr>
          <w:p w:rsidR="00CF7CE8" w:rsidRPr="00E668EF" w:rsidRDefault="00CF7CE8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pt-PT"/>
              </w:rPr>
            </w:pPr>
            <w:r w:rsidRPr="00E668EF"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pt-PT"/>
              </w:rPr>
              <w:t>Reverse primer</w:t>
            </w:r>
            <w:r w:rsidRPr="00E668EF">
              <w:rPr>
                <w:rFonts w:ascii="Times New Roman" w:eastAsia="Times New Roman" w:hAnsi="Times New Roman" w:cs="Times New Roman"/>
                <w:sz w:val="18"/>
                <w:lang w:eastAsia="pt-PT"/>
              </w:rPr>
              <w:t xml:space="preserve"> </w:t>
            </w:r>
            <w:r w:rsidRPr="00E668EF"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pt-PT"/>
              </w:rPr>
              <w:t>(3'-5')</w:t>
            </w:r>
          </w:p>
        </w:tc>
      </w:tr>
      <w:tr w:rsidR="00CF7CE8" w:rsidRPr="00E668EF" w:rsidTr="008042F6">
        <w:trPr>
          <w:jc w:val="center"/>
        </w:trPr>
        <w:tc>
          <w:tcPr>
            <w:tcW w:w="480" w:type="pct"/>
            <w:hideMark/>
          </w:tcPr>
          <w:p w:rsidR="00CF7CE8" w:rsidRPr="00E668EF" w:rsidRDefault="00CF7CE8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pt-PT"/>
              </w:rPr>
            </w:pPr>
            <w:r w:rsidRPr="00E668EF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lang w:eastAsia="pt-PT"/>
              </w:rPr>
              <w:t>ESR1</w:t>
            </w:r>
          </w:p>
        </w:tc>
        <w:tc>
          <w:tcPr>
            <w:tcW w:w="917" w:type="pct"/>
            <w:hideMark/>
          </w:tcPr>
          <w:p w:rsidR="00CF7CE8" w:rsidRPr="00E668EF" w:rsidRDefault="00CF7CE8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pt-PT"/>
              </w:rPr>
            </w:pPr>
            <w:r w:rsidRPr="00E668EF"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pt-PT"/>
              </w:rPr>
              <w:t>Estrogen receptor α</w:t>
            </w:r>
          </w:p>
        </w:tc>
        <w:tc>
          <w:tcPr>
            <w:tcW w:w="1774" w:type="pct"/>
            <w:hideMark/>
          </w:tcPr>
          <w:p w:rsidR="00CF7CE8" w:rsidRPr="00E668EF" w:rsidRDefault="00CF7CE8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pt-PT"/>
              </w:rPr>
            </w:pPr>
            <w:r w:rsidRPr="00E668EF"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pt-PT"/>
              </w:rPr>
              <w:t>CCACCAACCAGTGCACCATT</w:t>
            </w:r>
          </w:p>
        </w:tc>
        <w:tc>
          <w:tcPr>
            <w:tcW w:w="1829" w:type="pct"/>
            <w:hideMark/>
          </w:tcPr>
          <w:p w:rsidR="00CF7CE8" w:rsidRPr="00E668EF" w:rsidRDefault="00CF7CE8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pt-PT"/>
              </w:rPr>
            </w:pPr>
            <w:r w:rsidRPr="00E668EF"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pt-PT"/>
              </w:rPr>
              <w:t>GGTCTTTTCGTATCCCACCTTTC</w:t>
            </w:r>
          </w:p>
        </w:tc>
      </w:tr>
      <w:tr w:rsidR="00CF7CE8" w:rsidRPr="00E668EF" w:rsidTr="008042F6">
        <w:trPr>
          <w:jc w:val="center"/>
        </w:trPr>
        <w:tc>
          <w:tcPr>
            <w:tcW w:w="480" w:type="pct"/>
            <w:hideMark/>
          </w:tcPr>
          <w:p w:rsidR="00CF7CE8" w:rsidRPr="00E668EF" w:rsidRDefault="00CF7CE8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pt-PT"/>
              </w:rPr>
            </w:pPr>
            <w:r w:rsidRPr="00E668EF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lang w:eastAsia="pt-PT"/>
              </w:rPr>
              <w:t>PGR</w:t>
            </w:r>
          </w:p>
        </w:tc>
        <w:tc>
          <w:tcPr>
            <w:tcW w:w="917" w:type="pct"/>
            <w:hideMark/>
          </w:tcPr>
          <w:p w:rsidR="00CF7CE8" w:rsidRPr="00E668EF" w:rsidRDefault="00CF7CE8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pt-PT"/>
              </w:rPr>
            </w:pPr>
            <w:r w:rsidRPr="00E668EF"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pt-PT"/>
              </w:rPr>
              <w:t>Progesterone receptor</w:t>
            </w:r>
          </w:p>
        </w:tc>
        <w:tc>
          <w:tcPr>
            <w:tcW w:w="1774" w:type="pct"/>
            <w:hideMark/>
          </w:tcPr>
          <w:p w:rsidR="00CF7CE8" w:rsidRPr="00E668EF" w:rsidRDefault="00CF7CE8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pt-PT"/>
              </w:rPr>
            </w:pPr>
            <w:r w:rsidRPr="00E668EF"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pt-PT"/>
              </w:rPr>
              <w:t>CGCGCTCTACCCTGCACTC</w:t>
            </w:r>
          </w:p>
        </w:tc>
        <w:tc>
          <w:tcPr>
            <w:tcW w:w="1829" w:type="pct"/>
            <w:hideMark/>
          </w:tcPr>
          <w:p w:rsidR="00CF7CE8" w:rsidRPr="00E668EF" w:rsidRDefault="00CF7CE8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pt-PT"/>
              </w:rPr>
            </w:pPr>
            <w:r w:rsidRPr="00E668EF"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pt-PT"/>
              </w:rPr>
              <w:t>TGAATCCGGCCTCAGGTAGTT</w:t>
            </w:r>
          </w:p>
        </w:tc>
      </w:tr>
      <w:tr w:rsidR="00CF7CE8" w:rsidRPr="00E668EF" w:rsidTr="008042F6">
        <w:trPr>
          <w:jc w:val="center"/>
        </w:trPr>
        <w:tc>
          <w:tcPr>
            <w:tcW w:w="480" w:type="pct"/>
            <w:hideMark/>
          </w:tcPr>
          <w:p w:rsidR="00CF7CE8" w:rsidRPr="00E668EF" w:rsidRDefault="00CF7CE8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pt-PT"/>
              </w:rPr>
            </w:pPr>
            <w:r w:rsidRPr="00E668EF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lang w:eastAsia="pt-PT"/>
              </w:rPr>
              <w:t>pS2</w:t>
            </w:r>
          </w:p>
        </w:tc>
        <w:tc>
          <w:tcPr>
            <w:tcW w:w="917" w:type="pct"/>
            <w:hideMark/>
          </w:tcPr>
          <w:p w:rsidR="00CF7CE8" w:rsidRPr="00E668EF" w:rsidRDefault="00CF7CE8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pt-PT"/>
              </w:rPr>
            </w:pPr>
            <w:r w:rsidRPr="00E668EF"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pt-PT"/>
              </w:rPr>
              <w:t>Protein PS2/</w:t>
            </w:r>
          </w:p>
          <w:p w:rsidR="00CF7CE8" w:rsidRPr="00E668EF" w:rsidRDefault="00CF7CE8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pt-PT"/>
              </w:rPr>
            </w:pPr>
            <w:r w:rsidRPr="00E668EF"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pt-PT"/>
              </w:rPr>
              <w:t>Trefoil factor 1</w:t>
            </w:r>
          </w:p>
        </w:tc>
        <w:tc>
          <w:tcPr>
            <w:tcW w:w="1774" w:type="pct"/>
            <w:hideMark/>
          </w:tcPr>
          <w:p w:rsidR="00CF7CE8" w:rsidRPr="00E668EF" w:rsidRDefault="00CF7CE8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pt-PT"/>
              </w:rPr>
            </w:pPr>
            <w:r w:rsidRPr="00E668EF"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pt-PT"/>
              </w:rPr>
              <w:t>TCGGGGGTCGCCTTTGGAGCAG</w:t>
            </w:r>
          </w:p>
        </w:tc>
        <w:tc>
          <w:tcPr>
            <w:tcW w:w="1829" w:type="pct"/>
            <w:hideMark/>
          </w:tcPr>
          <w:p w:rsidR="00CF7CE8" w:rsidRPr="00E668EF" w:rsidRDefault="00CF7CE8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pt-PT"/>
              </w:rPr>
            </w:pPr>
            <w:r w:rsidRPr="00E668EF"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pt-PT"/>
              </w:rPr>
              <w:t>GAGGGCGTGACACCAGGAAAACCA</w:t>
            </w:r>
          </w:p>
        </w:tc>
      </w:tr>
      <w:tr w:rsidR="00CF7CE8" w:rsidRPr="00E668EF" w:rsidTr="008042F6">
        <w:trPr>
          <w:jc w:val="center"/>
        </w:trPr>
        <w:tc>
          <w:tcPr>
            <w:tcW w:w="480" w:type="pct"/>
            <w:hideMark/>
          </w:tcPr>
          <w:p w:rsidR="00CF7CE8" w:rsidRPr="00E668EF" w:rsidRDefault="00CF7CE8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pt-PT"/>
              </w:rPr>
            </w:pPr>
            <w:r w:rsidRPr="00E668EF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lang w:eastAsia="pt-PT"/>
              </w:rPr>
              <w:t>AREG</w:t>
            </w:r>
          </w:p>
        </w:tc>
        <w:tc>
          <w:tcPr>
            <w:tcW w:w="917" w:type="pct"/>
            <w:hideMark/>
          </w:tcPr>
          <w:p w:rsidR="00CF7CE8" w:rsidRPr="00E668EF" w:rsidRDefault="00CF7CE8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pt-PT"/>
              </w:rPr>
            </w:pPr>
            <w:proofErr w:type="spellStart"/>
            <w:r w:rsidRPr="00E668EF"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pt-PT"/>
              </w:rPr>
              <w:t>Amphiregulin</w:t>
            </w:r>
            <w:proofErr w:type="spellEnd"/>
          </w:p>
        </w:tc>
        <w:tc>
          <w:tcPr>
            <w:tcW w:w="1774" w:type="pct"/>
            <w:hideMark/>
          </w:tcPr>
          <w:p w:rsidR="00CF7CE8" w:rsidRPr="00E668EF" w:rsidRDefault="00CF7CE8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pt-PT"/>
              </w:rPr>
            </w:pPr>
            <w:r w:rsidRPr="00E668EF"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pt-PT"/>
              </w:rPr>
              <w:t>TGGAAGCAGTAACATGCAAATGTC</w:t>
            </w:r>
          </w:p>
        </w:tc>
        <w:tc>
          <w:tcPr>
            <w:tcW w:w="1829" w:type="pct"/>
            <w:hideMark/>
          </w:tcPr>
          <w:p w:rsidR="00CF7CE8" w:rsidRPr="00E668EF" w:rsidRDefault="00CF7CE8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pt-PT"/>
              </w:rPr>
            </w:pPr>
            <w:r w:rsidRPr="00E668EF"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pt-PT"/>
              </w:rPr>
              <w:t>GGCTGCTAATGCAATTTTTGATAA</w:t>
            </w:r>
          </w:p>
        </w:tc>
      </w:tr>
      <w:tr w:rsidR="00CF7CE8" w:rsidRPr="00E668EF" w:rsidTr="008042F6">
        <w:trPr>
          <w:jc w:val="center"/>
        </w:trPr>
        <w:tc>
          <w:tcPr>
            <w:tcW w:w="480" w:type="pct"/>
            <w:hideMark/>
          </w:tcPr>
          <w:p w:rsidR="00CF7CE8" w:rsidRPr="00E668EF" w:rsidRDefault="00CF7CE8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pt-PT"/>
              </w:rPr>
            </w:pPr>
            <w:r w:rsidRPr="00E668EF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lang w:eastAsia="pt-PT"/>
              </w:rPr>
              <w:t>RPL22</w:t>
            </w:r>
          </w:p>
        </w:tc>
        <w:tc>
          <w:tcPr>
            <w:tcW w:w="917" w:type="pct"/>
            <w:hideMark/>
          </w:tcPr>
          <w:p w:rsidR="00CF7CE8" w:rsidRPr="00E668EF" w:rsidRDefault="00CF7CE8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pt-PT"/>
              </w:rPr>
            </w:pPr>
            <w:r w:rsidRPr="00E668EF"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pt-PT"/>
              </w:rPr>
              <w:t>Ribosomal protein L22</w:t>
            </w:r>
          </w:p>
        </w:tc>
        <w:tc>
          <w:tcPr>
            <w:tcW w:w="1774" w:type="pct"/>
            <w:hideMark/>
          </w:tcPr>
          <w:p w:rsidR="00CF7CE8" w:rsidRPr="00E668EF" w:rsidRDefault="00CF7CE8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pt-PT"/>
              </w:rPr>
            </w:pPr>
            <w:r w:rsidRPr="00E668EF"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pt-PT"/>
              </w:rPr>
              <w:t>CACGAAGGAGGAGTGACTGG</w:t>
            </w:r>
          </w:p>
        </w:tc>
        <w:tc>
          <w:tcPr>
            <w:tcW w:w="1829" w:type="pct"/>
            <w:hideMark/>
          </w:tcPr>
          <w:p w:rsidR="00CF7CE8" w:rsidRPr="00E668EF" w:rsidRDefault="00CF7CE8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pt-PT"/>
              </w:rPr>
            </w:pPr>
            <w:r w:rsidRPr="00E668EF"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pt-PT"/>
              </w:rPr>
              <w:t>TGTGGCACACCACTGACATT</w:t>
            </w:r>
          </w:p>
        </w:tc>
      </w:tr>
      <w:tr w:rsidR="00CF7CE8" w:rsidRPr="00E668EF" w:rsidTr="008042F6">
        <w:trPr>
          <w:jc w:val="center"/>
        </w:trPr>
        <w:tc>
          <w:tcPr>
            <w:tcW w:w="480" w:type="pct"/>
            <w:hideMark/>
          </w:tcPr>
          <w:p w:rsidR="00CF7CE8" w:rsidRPr="00E668EF" w:rsidRDefault="00CF7CE8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lang w:eastAsia="pt-PT"/>
              </w:rPr>
            </w:pPr>
            <w:r w:rsidRPr="00E668EF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lang w:eastAsia="pt-PT"/>
              </w:rPr>
              <w:t>36B4</w:t>
            </w:r>
          </w:p>
        </w:tc>
        <w:tc>
          <w:tcPr>
            <w:tcW w:w="917" w:type="pct"/>
            <w:hideMark/>
          </w:tcPr>
          <w:p w:rsidR="00CF7CE8" w:rsidRPr="00E668EF" w:rsidRDefault="00CF7CE8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pt-PT"/>
              </w:rPr>
            </w:pPr>
            <w:r w:rsidRPr="00E668EF"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pt-PT"/>
              </w:rPr>
              <w:t>Acidic ribosomal phosphoprotein P0</w:t>
            </w:r>
          </w:p>
        </w:tc>
        <w:tc>
          <w:tcPr>
            <w:tcW w:w="1774" w:type="pct"/>
            <w:hideMark/>
          </w:tcPr>
          <w:p w:rsidR="00CF7CE8" w:rsidRPr="00E668EF" w:rsidRDefault="00CF7CE8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pt-PT"/>
              </w:rPr>
            </w:pPr>
            <w:r w:rsidRPr="00E668EF"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pt-PT"/>
              </w:rPr>
              <w:t>GTGTTCGACAATGGCAGCAT</w:t>
            </w:r>
          </w:p>
        </w:tc>
        <w:tc>
          <w:tcPr>
            <w:tcW w:w="1829" w:type="pct"/>
            <w:hideMark/>
          </w:tcPr>
          <w:p w:rsidR="00CF7CE8" w:rsidRPr="00E668EF" w:rsidRDefault="00CF7CE8" w:rsidP="008042F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pt-PT"/>
              </w:rPr>
            </w:pPr>
            <w:r w:rsidRPr="00E668EF"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pt-PT"/>
              </w:rPr>
              <w:t>GACACCCTCCAGGAAGCGA</w:t>
            </w:r>
          </w:p>
        </w:tc>
      </w:tr>
    </w:tbl>
    <w:p w:rsidR="00CF7CE8" w:rsidRPr="00E668EF" w:rsidRDefault="00CF7CE8" w:rsidP="00CF7CE8">
      <w:pPr>
        <w:spacing w:line="480" w:lineRule="auto"/>
        <w:ind w:firstLine="425"/>
        <w:jc w:val="center"/>
        <w:rPr>
          <w:rFonts w:ascii="Times New Roman" w:hAnsi="Times New Roman" w:cs="Times New Roman"/>
          <w:lang w:val="en-US"/>
        </w:rPr>
      </w:pPr>
    </w:p>
    <w:p w:rsidR="00CF7CE8" w:rsidRDefault="00CF7CE8">
      <w:bookmarkStart w:id="0" w:name="_GoBack"/>
      <w:bookmarkEnd w:id="0"/>
    </w:p>
    <w:sectPr w:rsidR="00CF7C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CE8"/>
    <w:rsid w:val="00C11185"/>
    <w:rsid w:val="00CF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">
    <w:name w:val="Light List"/>
    <w:basedOn w:val="TableNormal"/>
    <w:uiPriority w:val="61"/>
    <w:rsid w:val="00CF7CE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">
    <w:name w:val="Light List"/>
    <w:basedOn w:val="TableNormal"/>
    <w:uiPriority w:val="61"/>
    <w:rsid w:val="00CF7CE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477</Characters>
  <Application>Microsoft Office Word</Application>
  <DocSecurity>0</DocSecurity>
  <Lines>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GBARBA</dc:creator>
  <cp:lastModifiedBy>GBARBA</cp:lastModifiedBy>
  <cp:revision>1</cp:revision>
  <dcterms:created xsi:type="dcterms:W3CDTF">2020-07-25T03:53:00Z</dcterms:created>
  <dcterms:modified xsi:type="dcterms:W3CDTF">2020-07-25T03:53:00Z</dcterms:modified>
</cp:coreProperties>
</file>