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250B3C" w14:textId="77777777" w:rsidR="00BD460E" w:rsidRDefault="00BD460E" w:rsidP="00BD460E">
      <w:pPr>
        <w:spacing w:line="480" w:lineRule="auto"/>
        <w:jc w:val="both"/>
        <w:rPr>
          <w:rStyle w:val="Nessuno"/>
          <w:rFonts w:ascii="Arial" w:hAnsi="Arial" w:cs="Arial"/>
          <w:shd w:val="clear" w:color="auto" w:fill="FFFFFF"/>
        </w:rPr>
      </w:pPr>
      <w:bookmarkStart w:id="0" w:name="_GoBack"/>
      <w:bookmarkEnd w:id="0"/>
      <w:r w:rsidRPr="00155B8B">
        <w:rPr>
          <w:rStyle w:val="Nessuno"/>
          <w:rFonts w:ascii="Arial" w:hAnsi="Arial" w:cs="Arial"/>
          <w:b/>
          <w:bCs/>
        </w:rPr>
        <w:t>Supplementary Table S1.</w:t>
      </w:r>
      <w:r w:rsidRPr="00C732E2">
        <w:rPr>
          <w:rStyle w:val="Nessuno"/>
          <w:rFonts w:ascii="Arial" w:hAnsi="Arial" w:cs="Arial"/>
          <w:b/>
          <w:bCs/>
        </w:rPr>
        <w:t xml:space="preserve"> </w:t>
      </w:r>
      <w:r w:rsidRPr="00C732E2">
        <w:rPr>
          <w:rStyle w:val="Nessuno"/>
          <w:rFonts w:ascii="Arial" w:hAnsi="Arial" w:cs="Arial"/>
          <w:b/>
          <w:shd w:val="clear" w:color="auto" w:fill="FFFFFF"/>
        </w:rPr>
        <w:t>Genetic background of the neuroblastoma cell lines used in this study.</w:t>
      </w:r>
    </w:p>
    <w:p w14:paraId="03DD1413" w14:textId="22AF4032" w:rsidR="00155B8B" w:rsidRPr="00155B8B" w:rsidRDefault="00155B8B" w:rsidP="00155B8B">
      <w:pPr>
        <w:pStyle w:val="Corpo"/>
        <w:spacing w:after="0" w:line="480" w:lineRule="auto"/>
        <w:ind w:left="57" w:right="57"/>
        <w:contextualSpacing/>
        <w:jc w:val="both"/>
        <w:rPr>
          <w:rFonts w:ascii="Arial" w:hAnsi="Arial" w:cs="Arial"/>
          <w:color w:val="auto"/>
          <w:sz w:val="24"/>
          <w:szCs w:val="24"/>
        </w:rPr>
      </w:pPr>
    </w:p>
    <w:tbl>
      <w:tblPr>
        <w:tblStyle w:val="GridTable5DarkAccent3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1926"/>
        <w:gridCol w:w="1926"/>
        <w:gridCol w:w="1926"/>
        <w:gridCol w:w="1926"/>
        <w:gridCol w:w="790"/>
      </w:tblGrid>
      <w:tr w:rsidR="00627546" w:rsidRPr="00C04F68" w14:paraId="2054FBF0" w14:textId="77777777" w:rsidTr="007818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4BFB8EC8" w14:textId="77777777" w:rsidR="00627546" w:rsidRPr="00C04F68" w:rsidRDefault="00627546" w:rsidP="007774AC">
            <w:pPr>
              <w:spacing w:line="480" w:lineRule="auto"/>
              <w:jc w:val="both"/>
              <w:rPr>
                <w:rFonts w:ascii="Arial" w:hAnsi="Arial" w:cs="Arial"/>
                <w:b w:val="0"/>
              </w:rPr>
            </w:pPr>
            <w:r w:rsidRPr="00C04F68">
              <w:rPr>
                <w:rFonts w:ascii="Arial" w:hAnsi="Arial" w:cs="Arial"/>
                <w:b w:val="0"/>
              </w:rPr>
              <w:t>GENE</w:t>
            </w:r>
          </w:p>
        </w:tc>
        <w:tc>
          <w:tcPr>
            <w:tcW w:w="1926" w:type="dxa"/>
          </w:tcPr>
          <w:p w14:paraId="0CA15E75" w14:textId="77777777" w:rsidR="00627546" w:rsidRPr="00C04F68" w:rsidRDefault="00627546" w:rsidP="007774AC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C04F68">
              <w:rPr>
                <w:rFonts w:ascii="Arial" w:eastAsia="Arial" w:hAnsi="Arial" w:cs="Arial"/>
                <w:b w:val="0"/>
                <w:color w:val="000000" w:themeColor="text1"/>
              </w:rPr>
              <w:t>SH-SY5Y</w:t>
            </w:r>
          </w:p>
        </w:tc>
        <w:tc>
          <w:tcPr>
            <w:tcW w:w="1926" w:type="dxa"/>
          </w:tcPr>
          <w:p w14:paraId="25B17324" w14:textId="77777777" w:rsidR="00627546" w:rsidRPr="00C04F68" w:rsidRDefault="00627546" w:rsidP="007774AC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>SK-N-BE(</w:t>
            </w:r>
            <w:r w:rsidRPr="00C04F68">
              <w:rPr>
                <w:rFonts w:ascii="Arial" w:eastAsia="Arial" w:hAnsi="Arial" w:cs="Arial"/>
                <w:b w:val="0"/>
                <w:color w:val="000000" w:themeColor="text1"/>
              </w:rPr>
              <w:t>2</w:t>
            </w:r>
            <w:r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>)</w:t>
            </w:r>
          </w:p>
        </w:tc>
        <w:tc>
          <w:tcPr>
            <w:tcW w:w="1926" w:type="dxa"/>
          </w:tcPr>
          <w:p w14:paraId="239AEE3E" w14:textId="77777777" w:rsidR="00627546" w:rsidRPr="00C04F68" w:rsidRDefault="00627546" w:rsidP="007774AC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C04F68">
              <w:rPr>
                <w:rFonts w:ascii="Arial" w:eastAsia="Arial" w:hAnsi="Arial" w:cs="Arial"/>
                <w:b w:val="0"/>
                <w:color w:val="000000" w:themeColor="text1"/>
              </w:rPr>
              <w:t>IMR32</w:t>
            </w:r>
          </w:p>
        </w:tc>
        <w:tc>
          <w:tcPr>
            <w:tcW w:w="790" w:type="dxa"/>
          </w:tcPr>
          <w:p w14:paraId="09B282EA" w14:textId="77777777" w:rsidR="00627546" w:rsidRPr="00C04F68" w:rsidRDefault="00627546" w:rsidP="007774AC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C04F68">
              <w:rPr>
                <w:rFonts w:ascii="Arial" w:hAnsi="Arial" w:cs="Arial"/>
                <w:b w:val="0"/>
              </w:rPr>
              <w:t>Ref</w:t>
            </w:r>
            <w:r w:rsidR="007818F7">
              <w:rPr>
                <w:rFonts w:ascii="Arial" w:hAnsi="Arial" w:cs="Arial"/>
                <w:b w:val="0"/>
              </w:rPr>
              <w:t>.</w:t>
            </w:r>
          </w:p>
        </w:tc>
      </w:tr>
      <w:tr w:rsidR="00627546" w:rsidRPr="00C04F68" w14:paraId="13E12D0D" w14:textId="77777777" w:rsidTr="007818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7751F11D" w14:textId="77777777" w:rsidR="00627546" w:rsidRPr="00C04F68" w:rsidRDefault="00627546" w:rsidP="007774AC">
            <w:pPr>
              <w:spacing w:line="480" w:lineRule="auto"/>
              <w:jc w:val="both"/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  <w:r w:rsidRPr="00C04F68">
              <w:rPr>
                <w:rFonts w:ascii="Arial" w:eastAsia="Arial" w:hAnsi="Arial" w:cs="Arial"/>
                <w:b w:val="0"/>
                <w:bCs w:val="0"/>
                <w:i/>
                <w:iCs/>
                <w:color w:val="000000" w:themeColor="text1"/>
              </w:rPr>
              <w:t>ATRX</w:t>
            </w:r>
          </w:p>
        </w:tc>
        <w:tc>
          <w:tcPr>
            <w:tcW w:w="1926" w:type="dxa"/>
          </w:tcPr>
          <w:p w14:paraId="1D9BD7F4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color w:val="000000" w:themeColor="text1"/>
              </w:rPr>
              <w:t>Wild type</w:t>
            </w:r>
          </w:p>
        </w:tc>
        <w:tc>
          <w:tcPr>
            <w:tcW w:w="1926" w:type="dxa"/>
          </w:tcPr>
          <w:p w14:paraId="7EB86D33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color w:val="000000" w:themeColor="text1"/>
              </w:rPr>
              <w:t>Wild type</w:t>
            </w:r>
          </w:p>
        </w:tc>
        <w:tc>
          <w:tcPr>
            <w:tcW w:w="1926" w:type="dxa"/>
          </w:tcPr>
          <w:p w14:paraId="04423B43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color w:val="000000" w:themeColor="text1"/>
              </w:rPr>
              <w:t>Wild type</w:t>
            </w:r>
          </w:p>
        </w:tc>
        <w:tc>
          <w:tcPr>
            <w:tcW w:w="790" w:type="dxa"/>
          </w:tcPr>
          <w:p w14:paraId="7BE82505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fldChar w:fldCharType="begin" w:fldLock="1"/>
            </w:r>
            <w:r>
              <w:rPr>
                <w:rFonts w:ascii="Arial" w:eastAsia="Calibri" w:hAnsi="Arial" w:cs="Arial"/>
                <w:color w:val="000000" w:themeColor="text1"/>
              </w:rPr>
              <w:instrText>ADDIN CSL_CITATION {"citationItems":[{"id":"ITEM-1","itemData":{"DOI":"10.1038/s41467-020-14682-6","ISSN":"2041-1723","author":[{"dropping-particle":"","family":"Zeineldin","given":"Maged","non-dropping-particle":"","parse-names":false,"suffix":""},{"dropping-particle":"","family":"Federico","given":"Sara","non-dropping-particle":"","parse-names":false,"suffix":""},{"dropping-particle":"","family":"Chen","given":"Xiang","non-dropping-particle":"","parse-names":false,"suffix":""},{"dropping-particle":"","family":"Fan","given":"Yiping","non-dropping-particle":"","parse-names":false,"suffix":""},{"dropping-particle":"","family":"Xu","given":"Beisi","non-dropping-particle":"","parse-names":false,"suffix":""},{"dropping-particle":"","family":"Stewart","given":"Elizabeth","non-dropping-particle":"","parse-names":false,"suffix":""},{"dropping-particle":"","family":"Zhou","given":"Xin","non-dropping-particle":"","parse-names":false,"suffix":""},{"dropping-particle":"","family":"Jeon","given":"Jongrye","non-dropping-particle":"","parse-names":false,"suffix":""},{"dropping-particle":"","family":"Griffiths","given":"Lyra","non-dropping-particle":"","parse-names":false,"suffix":""},{"dropping-particle":"","family":"Nguyen","given":"Rosa","non-dropping-particle":"","parse-names":false,"suffix":""},{"dropping-particle":"","family":"Norrie","given":"Jackie","non-dropping-particle":"","parse-names":false,"suffix":""},{"dropping-particle":"","family":"Easton","given":"John","non-dropping-particle":"","parse-names":false,"suffix":""},{"dropping-particle":"","family":"Mulder","given":"Heather","non-dropping-particle":"","parse-names":false,"suffix":""},{"dropping-particle":"","family":"Yergeau","given":"Donald","non-dropping-particle":"","parse-names":false,"suffix":""},{"dropping-particle":"","family":"Liu","given":"Yanling","non-dropping-particle":"","parse-names":false,"suffix":""},{"dropping-particle":"","family":"Wu","given":"Jianrong","non-dropping-particle":"","parse-names":false,"suffix":""},{"dropping-particle":"","family":"Ryn","given":"Collin","non-dropping-particle":"Van","parse-names":false,"suffix":""},{"dropping-particle":"","family":"Naranjo","given":"Arlene","non-dropping-particle":"","parse-names":false,"suffix":""},{"dropping-particle":"","family":"Hogarty","given":"Michael D.","non-dropping-particle":"","parse-names":false,"suffix":""},{"dropping-particle":"","family":"Kamiński","given":"Marcin M.","non-dropping-particle":"","parse-names":false,"suffix":""},{"dropping-particle":"","family":"Valentine","given":"Marc","non-dropping-particle":"","parse-names":false,"suffix":""},{"dropping-particle":"","family":"Pruett-Miller","given":"Shondra M.","non-dropping-particle":"","parse-names":false,"suffix":""},{"dropping-particle":"","family":"Pappo","given":"Alberto","non-dropping-particle":"","parse-names":false,"suffix":""},{"dropping-particle":"","family":"Zhang","given":"Jinghui","non-dropping-particle":"","parse-names":false,"suffix":""},{"dropping-particle":"","family":"Clay","given":"Michael R.","non-dropping-particle":"","parse-names":false,"suffix":""},{"dropping-particle":"","family":"Bahrami","given":"Armita","non-dropping-particle":"","parse-names":false,"suffix":""},{"dropping-particle":"","family":"Vogel","given":"Peter","non-dropping-particle":"","parse-names":false,"suffix":""},{"dropping-particle":"","family":"Lee","given":"Seungjae","non-dropping-particle":"","parse-names":false,"suffix":""},{"dropping-particle":"","family":"Shelat","given":"Anang","non-dropping-particle":"","parse-names":false,"suffix":""},{"dropping-particle":"","family":"Sarthy","given":"Jay F.","non-dropping-particle":"","parse-names":false,"suffix":""},{"dropping-particle":"","family":"Meers","given":"Michael P.","non-dropping-particle":"","parse-names":false,"suffix":""},{"dropping-particle":"","family":"George","given":"Rani E.","non-dropping-particle":"","parse-names":false,"suffix":""},{"dropping-particle":"","family":"Mardis","given":"Elaine R.","non-dropping-particle":"","parse-names":false,"suffix":""},{"dropping-particle":"","family":"Wilson","given":"Richard K.","non-dropping-particle":"","parse-names":false,"suffix":""},{"dropping-particle":"","family":"Henikoff","given":"Steven","non-dropping-particle":"","parse-names":false,"suffix":""},{"dropping-particle":"","family":"Downing","given":"James R.","non-dropping-particle":"","parse-names":false,"suffix":""},{"dropping-particle":"","family":"Dyer","given":"Michael A.","non-dropping-particle":"","parse-names":false,"suffix":""}],"container-title":"Nature Communications","id":"ITEM-1","issue":"1","issued":{"date-parts":[["2020","12","14"]]},"page":"913","title":"MYCN amplification and ATRX mutations are incompatible in neuroblastoma","type":"article-journal","volume":"11"},"uris":["http://www.mendeley.com/documents/?uuid=f41ee4e3-7b5b-42c3-bfbe-a61955483447"]}],"mendeley":{"formattedCitation":"[1]","plainTextFormattedCitation":"[1]","previouslyFormattedCitation":"[1]"},"properties":{"noteIndex":0},"schema":"https://github.com/citation-style-language/schema/raw/master/csl-citation.json"}</w:instrText>
            </w:r>
            <w:r>
              <w:rPr>
                <w:rFonts w:ascii="Arial" w:eastAsia="Calibri" w:hAnsi="Arial" w:cs="Arial"/>
                <w:color w:val="000000" w:themeColor="text1"/>
              </w:rPr>
              <w:fldChar w:fldCharType="separate"/>
            </w:r>
            <w:r w:rsidRPr="00627546">
              <w:rPr>
                <w:rFonts w:ascii="Arial" w:eastAsia="Calibri" w:hAnsi="Arial" w:cs="Arial"/>
                <w:noProof/>
                <w:color w:val="000000" w:themeColor="text1"/>
              </w:rPr>
              <w:t>[1]</w:t>
            </w:r>
            <w:r>
              <w:rPr>
                <w:rFonts w:ascii="Arial" w:eastAsia="Calibri" w:hAnsi="Arial" w:cs="Arial"/>
                <w:color w:val="000000" w:themeColor="text1"/>
              </w:rPr>
              <w:fldChar w:fldCharType="end"/>
            </w:r>
          </w:p>
        </w:tc>
      </w:tr>
      <w:tr w:rsidR="00627546" w:rsidRPr="00C04F68" w14:paraId="1DBE9F5D" w14:textId="77777777" w:rsidTr="007818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408A057E" w14:textId="77777777" w:rsidR="00627546" w:rsidRPr="00C04F68" w:rsidRDefault="00627546" w:rsidP="007774AC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b w:val="0"/>
                <w:bCs w:val="0"/>
                <w:i/>
                <w:iCs/>
                <w:color w:val="000000" w:themeColor="text1"/>
              </w:rPr>
              <w:t>MYCN</w:t>
            </w:r>
          </w:p>
        </w:tc>
        <w:tc>
          <w:tcPr>
            <w:tcW w:w="1926" w:type="dxa"/>
          </w:tcPr>
          <w:p w14:paraId="0A018E57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color w:val="000000" w:themeColor="text1"/>
              </w:rPr>
              <w:t>Wild type</w:t>
            </w:r>
          </w:p>
        </w:tc>
        <w:tc>
          <w:tcPr>
            <w:tcW w:w="1926" w:type="dxa"/>
          </w:tcPr>
          <w:p w14:paraId="78BE51BB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color w:val="000000" w:themeColor="text1"/>
              </w:rPr>
              <w:t>Amplified</w:t>
            </w:r>
          </w:p>
        </w:tc>
        <w:tc>
          <w:tcPr>
            <w:tcW w:w="1926" w:type="dxa"/>
          </w:tcPr>
          <w:p w14:paraId="385260A1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color w:val="000000" w:themeColor="text1"/>
              </w:rPr>
              <w:t>Amplified</w:t>
            </w:r>
          </w:p>
        </w:tc>
        <w:tc>
          <w:tcPr>
            <w:tcW w:w="790" w:type="dxa"/>
          </w:tcPr>
          <w:p w14:paraId="4B51D754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fldChar w:fldCharType="begin" w:fldLock="1"/>
            </w:r>
            <w:r w:rsidR="007818F7">
              <w:rPr>
                <w:rFonts w:ascii="Arial" w:eastAsia="Calibri" w:hAnsi="Arial" w:cs="Arial"/>
                <w:color w:val="000000" w:themeColor="text1"/>
              </w:rPr>
              <w:instrText>ADDIN CSL_CITATION {"citationItems":[{"id":"ITEM-1","itemData":{"author":[{"dropping-particle":"","family":"Thiele","given":"C. J","non-dropping-particle":"","parse-names":false,"suffix":""}],"container-title":"J. Human Cell Culture","id":"ITEM-1","issued":{"date-parts":[["1998"]]},"page":"21-53","title":"Neuroblastoma Cell Lines","type":"article-journal","volume":"1"},"uris":["http://www.mendeley.com/documents/?uuid=6cc5b6e6-a093-4c28-b4ff-a915b13e71e2"]}],"mendeley":{"formattedCitation":"[2]","plainTextFormattedCitation":"[2]","previouslyFormattedCitation":"[2]"},"properties":{"noteIndex":0},"schema":"https://github.com/citation-style-language/schema/raw/master/csl-citation.json"}</w:instrText>
            </w:r>
            <w:r>
              <w:rPr>
                <w:rFonts w:ascii="Arial" w:eastAsia="Calibri" w:hAnsi="Arial" w:cs="Arial"/>
                <w:color w:val="000000" w:themeColor="text1"/>
              </w:rPr>
              <w:fldChar w:fldCharType="separate"/>
            </w:r>
            <w:r w:rsidRPr="00627546">
              <w:rPr>
                <w:rFonts w:ascii="Arial" w:eastAsia="Calibri" w:hAnsi="Arial" w:cs="Arial"/>
                <w:noProof/>
                <w:color w:val="000000" w:themeColor="text1"/>
              </w:rPr>
              <w:t>[2]</w:t>
            </w:r>
            <w:r>
              <w:rPr>
                <w:rFonts w:ascii="Arial" w:eastAsia="Calibri" w:hAnsi="Arial" w:cs="Arial"/>
                <w:color w:val="000000" w:themeColor="text1"/>
              </w:rPr>
              <w:fldChar w:fldCharType="end"/>
            </w:r>
          </w:p>
        </w:tc>
      </w:tr>
      <w:tr w:rsidR="00627546" w:rsidRPr="00C04F68" w14:paraId="2D93FD60" w14:textId="77777777" w:rsidTr="007818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34F47134" w14:textId="77777777" w:rsidR="00627546" w:rsidRPr="00C04F68" w:rsidRDefault="00627546" w:rsidP="007774AC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b w:val="0"/>
                <w:bCs w:val="0"/>
                <w:i/>
                <w:iCs/>
                <w:color w:val="000000" w:themeColor="text1"/>
              </w:rPr>
              <w:t>RET</w:t>
            </w:r>
          </w:p>
        </w:tc>
        <w:tc>
          <w:tcPr>
            <w:tcW w:w="1926" w:type="dxa"/>
          </w:tcPr>
          <w:p w14:paraId="20A79722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color w:val="000000" w:themeColor="text1"/>
              </w:rPr>
              <w:t>Wild type</w:t>
            </w:r>
          </w:p>
        </w:tc>
        <w:tc>
          <w:tcPr>
            <w:tcW w:w="1926" w:type="dxa"/>
          </w:tcPr>
          <w:p w14:paraId="585DB284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color w:val="000000" w:themeColor="text1"/>
              </w:rPr>
              <w:t>Wild type</w:t>
            </w:r>
          </w:p>
        </w:tc>
        <w:tc>
          <w:tcPr>
            <w:tcW w:w="1926" w:type="dxa"/>
          </w:tcPr>
          <w:p w14:paraId="1D965084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color w:val="000000" w:themeColor="text1"/>
              </w:rPr>
              <w:t>Wild type</w:t>
            </w:r>
          </w:p>
        </w:tc>
        <w:tc>
          <w:tcPr>
            <w:tcW w:w="790" w:type="dxa"/>
          </w:tcPr>
          <w:p w14:paraId="2A9B9446" w14:textId="77777777" w:rsidR="00627546" w:rsidRPr="00C04F68" w:rsidRDefault="007818F7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221F22"/>
              </w:rPr>
              <w:fldChar w:fldCharType="begin" w:fldLock="1"/>
            </w:r>
            <w:r>
              <w:rPr>
                <w:rFonts w:ascii="Arial" w:eastAsia="Times New Roman" w:hAnsi="Arial" w:cs="Arial"/>
                <w:color w:val="221F22"/>
              </w:rPr>
              <w:instrText>ADDIN CSL_CITATION {"citationItems":[{"id":"ITEM-1","itemData":{"DOI":"10.1007/BF02185773","ISSN":"0340-6717","author":[{"dropping-particle":"","family":"Hofstra","given":"Robert M. W.","non-dropping-particle":"","parse-names":false,"suffix":""},{"dropping-particle":"","family":"Stulp","given":"Rein P.","non-dropping-particle":"","parse-names":false,"suffix":""},{"dropping-particle":"","family":"Stelwagen","given":"Tineke","non-dropping-particle":"","parse-names":false,"suffix":""},{"dropping-particle":"","family":"Buys","given":"Charles H. C. M.","non-dropping-particle":"","parse-names":false,"suffix":""},{"dropping-particle":"","family":"Ching Cheng","given":"Ngan","non-dropping-particle":"","parse-names":false,"suffix":""},{"dropping-particle":"","family":"Caron","given":"Huib","non-dropping-particle":"","parse-names":false,"suffix":""},{"dropping-particle":"","family":"Westerveld","given":"Andries","non-dropping-particle":"","parse-names":false,"suffix":""},{"dropping-particle":"","family":"Versteeg","given":"Rogier","non-dropping-particle":"","parse-names":false,"suffix":""},{"dropping-particle":"","family":"Hansen","given":"Claus","non-dropping-particle":"","parse-names":false,"suffix":""},{"dropping-particle":"","family":"Tommerup","given":"Niels","non-dropping-particle":"","parse-names":false,"suffix":""},{"dropping-particle":"","family":"Clausen","given":"Niels","non-dropping-particle":"","parse-names":false,"suffix":""}],"container-title":"Human Genetics","id":"ITEM-1","issue":"3","issued":{"date-parts":[["1996","3"]]},"page":"362-364","title":"No mutations found byRET mutation scanning in sporadic and hereditary neuroblastoma","type":"article-journal","volume":"97"},"uris":["http://www.mendeley.com/documents/?uuid=fafeb195-06a5-4432-b353-3b6b1bde3860"]}],"mendeley":{"formattedCitation":"[3]","plainTextFormattedCitation":"[3]","previouslyFormattedCitation":"[3]"},"properties":{"noteIndex":0},"schema":"https://github.com/citation-style-language/schema/raw/master/csl-citation.json"}</w:instrText>
            </w:r>
            <w:r>
              <w:rPr>
                <w:rFonts w:ascii="Arial" w:eastAsia="Times New Roman" w:hAnsi="Arial" w:cs="Arial"/>
                <w:color w:val="221F22"/>
              </w:rPr>
              <w:fldChar w:fldCharType="separate"/>
            </w:r>
            <w:r w:rsidRPr="007818F7">
              <w:rPr>
                <w:rFonts w:ascii="Arial" w:eastAsia="Times New Roman" w:hAnsi="Arial" w:cs="Arial"/>
                <w:noProof/>
                <w:color w:val="221F22"/>
              </w:rPr>
              <w:t>[3]</w:t>
            </w:r>
            <w:r>
              <w:rPr>
                <w:rFonts w:ascii="Arial" w:eastAsia="Times New Roman" w:hAnsi="Arial" w:cs="Arial"/>
                <w:color w:val="221F22"/>
              </w:rPr>
              <w:fldChar w:fldCharType="end"/>
            </w:r>
          </w:p>
        </w:tc>
      </w:tr>
      <w:tr w:rsidR="00627546" w:rsidRPr="00C04F68" w14:paraId="46F34FDB" w14:textId="77777777" w:rsidTr="007818F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216C0B57" w14:textId="77777777" w:rsidR="00627546" w:rsidRPr="00C04F68" w:rsidRDefault="00627546" w:rsidP="007774AC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b w:val="0"/>
                <w:bCs w:val="0"/>
                <w:i/>
                <w:iCs/>
                <w:color w:val="000000" w:themeColor="text1"/>
              </w:rPr>
              <w:t>ALK</w:t>
            </w:r>
          </w:p>
        </w:tc>
        <w:tc>
          <w:tcPr>
            <w:tcW w:w="1926" w:type="dxa"/>
          </w:tcPr>
          <w:p w14:paraId="48FBDCAD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color w:val="000000" w:themeColor="text1"/>
              </w:rPr>
              <w:t>F1174L</w:t>
            </w:r>
          </w:p>
        </w:tc>
        <w:tc>
          <w:tcPr>
            <w:tcW w:w="1926" w:type="dxa"/>
          </w:tcPr>
          <w:p w14:paraId="014DAB0C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color w:val="000000" w:themeColor="text1"/>
              </w:rPr>
              <w:t>Wild type</w:t>
            </w:r>
          </w:p>
        </w:tc>
        <w:tc>
          <w:tcPr>
            <w:tcW w:w="1926" w:type="dxa"/>
          </w:tcPr>
          <w:p w14:paraId="1BA7A8CE" w14:textId="77777777" w:rsidR="00627546" w:rsidRPr="00C04F68" w:rsidRDefault="00627546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4F68">
              <w:rPr>
                <w:rFonts w:ascii="Arial" w:eastAsia="Arial" w:hAnsi="Arial" w:cs="Arial"/>
                <w:color w:val="000000" w:themeColor="text1"/>
              </w:rPr>
              <w:t>Wild type</w:t>
            </w:r>
          </w:p>
        </w:tc>
        <w:tc>
          <w:tcPr>
            <w:tcW w:w="790" w:type="dxa"/>
          </w:tcPr>
          <w:p w14:paraId="0A039838" w14:textId="77777777" w:rsidR="00627546" w:rsidRPr="00C04F68" w:rsidRDefault="007818F7" w:rsidP="007774A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fldChar w:fldCharType="begin" w:fldLock="1"/>
            </w:r>
            <w:r>
              <w:rPr>
                <w:rFonts w:ascii="Arial" w:eastAsia="Calibri" w:hAnsi="Arial" w:cs="Arial"/>
                <w:color w:val="000000" w:themeColor="text1"/>
              </w:rPr>
              <w:instrText>ADDIN CSL_CITATION {"citationItems":[{"id":"ITEM-1","itemData":{"DOI":"10.1038/nature07397","ISSN":"0028-0836","author":[{"dropping-particle":"","family":"George","given":"Rani E.","non-dropping-particle":"","parse-names":false,"suffix":""},{"dropping-particle":"","family":"Sanda","given":"Takaomi","non-dropping-particle":"","parse-names":false,"suffix":""},{"dropping-particle":"","family":"Hanna","given":"Megan","non-dropping-particle":"","parse-names":false,"suffix":""},{"dropping-particle":"","family":"Fröhling","given":"Stefan","non-dropping-particle":"","parse-names":false,"suffix":""},{"dropping-particle":"","family":"II","given":"William Luther","non-dropping-particle":"","parse-names":false,"suffix":""},{"dropping-particle":"","family":"Zhang","given":"Jianming","non-dropping-particle":"","parse-names":false,"suffix":""},{"dropping-particle":"","family":"Ahn","given":"Yebin","non-dropping-particle":"","parse-names":false,"suffix":""},{"dropping-particle":"","family":"Zhou","given":"Wenjun","non-dropping-particle":"","parse-names":false,"suffix":""},{"dropping-particle":"","family":"London","given":"Wendy B.","non-dropping-particle":"","parse-names":false,"suffix":""},{"dropping-particle":"","family":"McGrady","given":"Patrick","non-dropping-particle":"","parse-names":false,"suffix":""},{"dropping-particle":"","family":"Xue","given":"Liquan","non-dropping-particle":"","parse-names":false,"suffix":""},{"dropping-particle":"","family":"Zozulya","given":"Sergey","non-dropping-particle":"","parse-names":false,"suffix":""},{"dropping-particle":"","family":"Gregor","given":"Vlad E.","non-dropping-particle":"","parse-names":false,"suffix":""},{"dropping-particle":"","family":"Webb","given":"Thomas R.","non-dropping-particle":"","parse-names":false,"suffix":""},{"dropping-particle":"","family":"Gray","given":"Nathanael S.","non-dropping-particle":"","parse-names":false,"suffix":""},{"dropping-particle":"","family":"Gilliland","given":"D. Gary","non-dropping-particle":"","parse-names":false,"suffix":""},{"dropping-particle":"","family":"Diller","given":"Lisa","non-dropping-particle":"","parse-names":false,"suffix":""},{"dropping-particle":"","family":"Greulich","given":"Heidi","non-dropping-particle":"","parse-names":false,"suffix":""},{"dropping-particle":"","family":"Morris","given":"Stephan W.","non-dropping-particle":"","parse-names":false,"suffix":""},{"dropping-particle":"","family":"Meyerson","given":"Matthew","non-dropping-particle":"","parse-names":false,"suffix":""},{"dropping-particle":"","family":"Look","given":"A. Thomas","non-dropping-particle":"","parse-names":false,"suffix":""}],"container-title":"Nature","id":"ITEM-1","issue":"7215","issued":{"date-parts":[["2008","10"]]},"page":"975-978","title":"Activating mutations in ALK provide a therapeutic target in neuroblastoma","type":"article-journal","volume":"455"},"uris":["http://www.mendeley.com/documents/?uuid=cc5c8259-afb3-4266-bc52-0fc9a36fbb5b"]}],"mendeley":{"formattedCitation":"[4]","plainTextFormattedCitation":"[4]"},"properties":{"noteIndex":0},"schema":"https://github.com/citation-style-language/schema/raw/master/csl-citation.json"}</w:instrText>
            </w:r>
            <w:r>
              <w:rPr>
                <w:rFonts w:ascii="Arial" w:eastAsia="Calibri" w:hAnsi="Arial" w:cs="Arial"/>
                <w:color w:val="000000" w:themeColor="text1"/>
              </w:rPr>
              <w:fldChar w:fldCharType="separate"/>
            </w:r>
            <w:r w:rsidRPr="007818F7">
              <w:rPr>
                <w:rFonts w:ascii="Arial" w:eastAsia="Calibri" w:hAnsi="Arial" w:cs="Arial"/>
                <w:noProof/>
                <w:color w:val="000000" w:themeColor="text1"/>
              </w:rPr>
              <w:t>[4]</w:t>
            </w:r>
            <w:r>
              <w:rPr>
                <w:rFonts w:ascii="Arial" w:eastAsia="Calibri" w:hAnsi="Arial" w:cs="Arial"/>
                <w:color w:val="000000" w:themeColor="text1"/>
              </w:rPr>
              <w:fldChar w:fldCharType="end"/>
            </w:r>
          </w:p>
        </w:tc>
      </w:tr>
    </w:tbl>
    <w:p w14:paraId="21034CDF" w14:textId="77777777" w:rsidR="00C732E2" w:rsidRDefault="00C732E2" w:rsidP="007774AC">
      <w:pPr>
        <w:spacing w:line="480" w:lineRule="auto"/>
        <w:jc w:val="both"/>
      </w:pPr>
    </w:p>
    <w:p w14:paraId="0B9D77BE" w14:textId="77777777" w:rsidR="00627546" w:rsidRPr="00155B8B" w:rsidRDefault="00627546" w:rsidP="007774AC">
      <w:pPr>
        <w:spacing w:line="480" w:lineRule="auto"/>
        <w:jc w:val="both"/>
        <w:rPr>
          <w:rFonts w:ascii="Arial" w:hAnsi="Arial" w:cs="Arial"/>
        </w:rPr>
      </w:pPr>
      <w:r w:rsidRPr="00155B8B">
        <w:rPr>
          <w:rFonts w:ascii="Arial" w:hAnsi="Arial" w:cs="Arial"/>
        </w:rPr>
        <w:t>Ref.</w:t>
      </w:r>
    </w:p>
    <w:p w14:paraId="330772E4" w14:textId="77777777" w:rsidR="007818F7" w:rsidRPr="00155B8B" w:rsidRDefault="00627546" w:rsidP="007774AC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noProof/>
        </w:rPr>
      </w:pPr>
      <w:r w:rsidRPr="00155B8B">
        <w:rPr>
          <w:rFonts w:ascii="Arial" w:hAnsi="Arial" w:cs="Arial"/>
        </w:rPr>
        <w:fldChar w:fldCharType="begin" w:fldLock="1"/>
      </w:r>
      <w:r w:rsidRPr="00155B8B">
        <w:rPr>
          <w:rFonts w:ascii="Arial" w:hAnsi="Arial" w:cs="Arial"/>
        </w:rPr>
        <w:instrText xml:space="preserve">ADDIN Mendeley Bibliography CSL_BIBLIOGRAPHY </w:instrText>
      </w:r>
      <w:r w:rsidRPr="00155B8B">
        <w:rPr>
          <w:rFonts w:ascii="Arial" w:hAnsi="Arial" w:cs="Arial"/>
        </w:rPr>
        <w:fldChar w:fldCharType="separate"/>
      </w:r>
      <w:r w:rsidR="007818F7" w:rsidRPr="00155B8B">
        <w:rPr>
          <w:rFonts w:ascii="Arial" w:hAnsi="Arial" w:cs="Arial"/>
          <w:noProof/>
        </w:rPr>
        <w:t>1. Zeineldin M, Federico S, Chen X, Fan Y, Xu B, Stewart E, et al. MYCN amplification and ATRX mutations are incompatible in neur</w:t>
      </w:r>
      <w:r w:rsidR="007774AC" w:rsidRPr="00155B8B">
        <w:rPr>
          <w:rFonts w:ascii="Arial" w:hAnsi="Arial" w:cs="Arial"/>
          <w:noProof/>
        </w:rPr>
        <w:t>oblastoma. Nat Commun</w:t>
      </w:r>
      <w:r w:rsidR="007818F7" w:rsidRPr="00155B8B">
        <w:rPr>
          <w:rFonts w:ascii="Arial" w:hAnsi="Arial" w:cs="Arial"/>
          <w:noProof/>
        </w:rPr>
        <w:t>. 2020;11:913. Available from: http://www.nature.com/articles/s41467-020-14682-6</w:t>
      </w:r>
    </w:p>
    <w:p w14:paraId="3FCF5784" w14:textId="77777777" w:rsidR="007818F7" w:rsidRPr="00155B8B" w:rsidRDefault="007818F7" w:rsidP="007774AC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noProof/>
        </w:rPr>
      </w:pPr>
      <w:r w:rsidRPr="00155B8B">
        <w:rPr>
          <w:rFonts w:ascii="Arial" w:hAnsi="Arial" w:cs="Arial"/>
          <w:noProof/>
        </w:rPr>
        <w:t xml:space="preserve">2. Thiele CJ. Neuroblastoma Cell Lines. J Hum Cell Cult. 1998;1:21–53. </w:t>
      </w:r>
    </w:p>
    <w:p w14:paraId="105D2FC2" w14:textId="77777777" w:rsidR="007818F7" w:rsidRPr="00155B8B" w:rsidRDefault="007818F7" w:rsidP="007774AC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noProof/>
        </w:rPr>
      </w:pPr>
      <w:r w:rsidRPr="00155B8B">
        <w:rPr>
          <w:rFonts w:ascii="Arial" w:hAnsi="Arial" w:cs="Arial"/>
          <w:noProof/>
        </w:rPr>
        <w:t>3. Hofstra RMW, Stulp RP, Stelwagen T, Buys CHCM, Ching Cheng N, Caron H, et al. No mutations found byRET mutation scanning in sporadic and hereditary neu</w:t>
      </w:r>
      <w:r w:rsidR="007774AC" w:rsidRPr="00155B8B">
        <w:rPr>
          <w:rFonts w:ascii="Arial" w:hAnsi="Arial" w:cs="Arial"/>
          <w:noProof/>
        </w:rPr>
        <w:t>roblastoma. Hum Genet</w:t>
      </w:r>
      <w:r w:rsidRPr="00155B8B">
        <w:rPr>
          <w:rFonts w:ascii="Arial" w:hAnsi="Arial" w:cs="Arial"/>
          <w:noProof/>
        </w:rPr>
        <w:t>. 1996;97:362–4. Available from: http://link.springer.com/10.1007/BF02185773</w:t>
      </w:r>
    </w:p>
    <w:p w14:paraId="61FDDFEB" w14:textId="77777777" w:rsidR="007818F7" w:rsidRPr="00155B8B" w:rsidRDefault="007818F7" w:rsidP="007774AC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noProof/>
        </w:rPr>
      </w:pPr>
      <w:r w:rsidRPr="00155B8B">
        <w:rPr>
          <w:rFonts w:ascii="Arial" w:hAnsi="Arial" w:cs="Arial"/>
          <w:noProof/>
        </w:rPr>
        <w:t xml:space="preserve">4. George RE, Sanda T, Hanna M, Fröhling S, II WL, Zhang J, et al. Activating mutations in ALK provide a therapeutic target in </w:t>
      </w:r>
      <w:r w:rsidR="007774AC" w:rsidRPr="00155B8B">
        <w:rPr>
          <w:rFonts w:ascii="Arial" w:hAnsi="Arial" w:cs="Arial"/>
          <w:noProof/>
        </w:rPr>
        <w:t>neuroblastoma. Nature</w:t>
      </w:r>
      <w:r w:rsidRPr="00155B8B">
        <w:rPr>
          <w:rFonts w:ascii="Arial" w:hAnsi="Arial" w:cs="Arial"/>
          <w:noProof/>
        </w:rPr>
        <w:t>. 2008;455:975–8. Available from: http://www.nature.com/articles/nature07397</w:t>
      </w:r>
    </w:p>
    <w:p w14:paraId="05763B3A" w14:textId="3A04C0A6" w:rsidR="00627546" w:rsidRDefault="00627546" w:rsidP="007774AC">
      <w:pPr>
        <w:spacing w:line="480" w:lineRule="auto"/>
        <w:jc w:val="both"/>
      </w:pPr>
      <w:r w:rsidRPr="00155B8B">
        <w:rPr>
          <w:rFonts w:ascii="Arial" w:hAnsi="Arial" w:cs="Arial"/>
        </w:rPr>
        <w:fldChar w:fldCharType="end"/>
      </w:r>
    </w:p>
    <w:p w14:paraId="23CAD738" w14:textId="77777777" w:rsidR="00627546" w:rsidRDefault="00627546"/>
    <w:sectPr w:rsidR="006275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546"/>
    <w:rsid w:val="00155B8B"/>
    <w:rsid w:val="00383142"/>
    <w:rsid w:val="00627546"/>
    <w:rsid w:val="007774AC"/>
    <w:rsid w:val="007818F7"/>
    <w:rsid w:val="00BD460E"/>
    <w:rsid w:val="00C7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B3146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7546"/>
    <w:pPr>
      <w:spacing w:after="0" w:line="240" w:lineRule="auto"/>
    </w:pPr>
    <w:rPr>
      <w:rFonts w:eastAsiaTheme="minorEastAsia"/>
      <w:sz w:val="24"/>
      <w:szCs w:val="24"/>
      <w:lang w:val="en-US"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27546"/>
    <w:pPr>
      <w:spacing w:after="0" w:line="240" w:lineRule="auto"/>
    </w:pPr>
    <w:rPr>
      <w:rFonts w:eastAsiaTheme="minorEastAsia"/>
      <w:sz w:val="24"/>
      <w:szCs w:val="24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3">
    <w:name w:val="Grid Table 4 Accent 3"/>
    <w:basedOn w:val="Tabellanormale"/>
    <w:uiPriority w:val="49"/>
    <w:rsid w:val="006275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5DarkAccent3">
    <w:name w:val="Grid Table 5 Dark Accent 3"/>
    <w:basedOn w:val="Tabellanormale"/>
    <w:uiPriority w:val="50"/>
    <w:rsid w:val="006275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Nessuno">
    <w:name w:val="Nessuno"/>
    <w:qFormat/>
    <w:rsid w:val="00155B8B"/>
    <w:rPr>
      <w:lang w:val="en-US"/>
    </w:rPr>
  </w:style>
  <w:style w:type="paragraph" w:customStyle="1" w:styleId="Corpo">
    <w:name w:val="Corpo"/>
    <w:qFormat/>
    <w:rsid w:val="00155B8B"/>
    <w:rPr>
      <w:rFonts w:ascii="Calibri" w:eastAsia="Calibri" w:hAnsi="Calibri" w:cs="Calibri"/>
      <w:color w:val="000000"/>
      <w:u w:color="000000"/>
      <w:lang w:val="en-US"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7546"/>
    <w:pPr>
      <w:spacing w:after="0" w:line="240" w:lineRule="auto"/>
    </w:pPr>
    <w:rPr>
      <w:rFonts w:eastAsiaTheme="minorEastAsia"/>
      <w:sz w:val="24"/>
      <w:szCs w:val="24"/>
      <w:lang w:val="en-US"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27546"/>
    <w:pPr>
      <w:spacing w:after="0" w:line="240" w:lineRule="auto"/>
    </w:pPr>
    <w:rPr>
      <w:rFonts w:eastAsiaTheme="minorEastAsia"/>
      <w:sz w:val="24"/>
      <w:szCs w:val="24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3">
    <w:name w:val="Grid Table 4 Accent 3"/>
    <w:basedOn w:val="Tabellanormale"/>
    <w:uiPriority w:val="49"/>
    <w:rsid w:val="006275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5DarkAccent3">
    <w:name w:val="Grid Table 5 Dark Accent 3"/>
    <w:basedOn w:val="Tabellanormale"/>
    <w:uiPriority w:val="50"/>
    <w:rsid w:val="006275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Nessuno">
    <w:name w:val="Nessuno"/>
    <w:qFormat/>
    <w:rsid w:val="00155B8B"/>
    <w:rPr>
      <w:lang w:val="en-US"/>
    </w:rPr>
  </w:style>
  <w:style w:type="paragraph" w:customStyle="1" w:styleId="Corpo">
    <w:name w:val="Corpo"/>
    <w:qFormat/>
    <w:rsid w:val="00155B8B"/>
    <w:rPr>
      <w:rFonts w:ascii="Calibri" w:eastAsia="Calibri" w:hAnsi="Calibri" w:cs="Calibri"/>
      <w:color w:val="000000"/>
      <w:u w:color="00000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B8221-3FFC-0547-B608-69BA66CEC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1811</Words>
  <Characters>10325</Characters>
  <Application>Microsoft Macintosh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Aveic</dc:creator>
  <cp:keywords/>
  <dc:description/>
  <cp:lastModifiedBy>Diana Corallo</cp:lastModifiedBy>
  <cp:revision>5</cp:revision>
  <dcterms:created xsi:type="dcterms:W3CDTF">2020-07-23T14:53:00Z</dcterms:created>
  <dcterms:modified xsi:type="dcterms:W3CDTF">2020-07-28T16:40:00Z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http://www.zotero.org/styles/acta-materialia</vt:lpwstr>
  </property>
  <property fmtid="{D5CDD505-2E9C-101B-9397-08002B2CF9AE}" pid="3" name="Mendeley Recent Style Name 0_1">
    <vt:lpwstr>Acta Materialia</vt:lpwstr>
  </property>
  <property fmtid="{D5CDD505-2E9C-101B-9397-08002B2CF9AE}" pid="4" name="Mendeley Recent Style Id 1_1">
    <vt:lpwstr>http://www.zotero.org/styles/advanced-healthcare-materials</vt:lpwstr>
  </property>
  <property fmtid="{D5CDD505-2E9C-101B-9397-08002B2CF9AE}" pid="5" name="Mendeley Recent Style Name 1_1">
    <vt:lpwstr>Advanced Healthcare Materials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http://www.zotero.org/styles/cancer-letters</vt:lpwstr>
  </property>
  <property fmtid="{D5CDD505-2E9C-101B-9397-08002B2CF9AE}" pid="9" name="Mendeley Recent Style Name 3_1">
    <vt:lpwstr>Cancer Letters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http://www.zotero.org/styles/journal-of-experimental-and-clinical-cancer-research</vt:lpwstr>
  </property>
  <property fmtid="{D5CDD505-2E9C-101B-9397-08002B2CF9AE}" pid="13" name="Mendeley Recent Style Name 5_1">
    <vt:lpwstr>Journal of Experimental &amp; Clinical Cancer Research</vt:lpwstr>
  </property>
  <property fmtid="{D5CDD505-2E9C-101B-9397-08002B2CF9AE}" pid="14" name="Mendeley Recent Style Id 6_1">
    <vt:lpwstr>http://www.zotero.org/styles/leukemia</vt:lpwstr>
  </property>
  <property fmtid="{D5CDD505-2E9C-101B-9397-08002B2CF9AE}" pid="15" name="Mendeley Recent Style Name 6_1">
    <vt:lpwstr>Leukemia</vt:lpwstr>
  </property>
  <property fmtid="{D5CDD505-2E9C-101B-9397-08002B2CF9AE}" pid="16" name="Mendeley Recent Style Id 7_1">
    <vt:lpwstr>http://www.zotero.org/styles/molecular-cancer</vt:lpwstr>
  </property>
  <property fmtid="{D5CDD505-2E9C-101B-9397-08002B2CF9AE}" pid="17" name="Mendeley Recent Style Name 7_1">
    <vt:lpwstr>Molecular Cancer</vt:lpwstr>
  </property>
  <property fmtid="{D5CDD505-2E9C-101B-9397-08002B2CF9AE}" pid="18" name="Mendeley Recent Style Id 8_1">
    <vt:lpwstr>http://www.zotero.org/styles/science-translational-medicine</vt:lpwstr>
  </property>
  <property fmtid="{D5CDD505-2E9C-101B-9397-08002B2CF9AE}" pid="19" name="Mendeley Recent Style Name 8_1">
    <vt:lpwstr>Science Translational Medicine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e3cd1097-8fe8-3a60-bdf5-d1041b7885b9</vt:lpwstr>
  </property>
  <property fmtid="{D5CDD505-2E9C-101B-9397-08002B2CF9AE}" pid="24" name="Mendeley Citation Style_1">
    <vt:lpwstr>http://www.zotero.org/styles/journal-of-experimental-and-clinical-cancer-research</vt:lpwstr>
  </property>
</Properties>
</file>