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105EF" w14:textId="77777777" w:rsidR="001A26B9" w:rsidRPr="006A6535" w:rsidRDefault="001A26B9" w:rsidP="001A26B9">
      <w:pPr>
        <w:spacing w:afterLines="50" w:after="156" w:line="360" w:lineRule="auto"/>
        <w:outlineLvl w:val="0"/>
        <w:rPr>
          <w:rFonts w:ascii="Arial" w:eastAsiaTheme="minorEastAsia" w:hAnsi="Arial" w:cs="Arial"/>
          <w:b/>
          <w:sz w:val="24"/>
        </w:rPr>
      </w:pPr>
      <w:r w:rsidRPr="006A6535">
        <w:rPr>
          <w:rFonts w:ascii="Arial" w:eastAsiaTheme="minorEastAsia" w:hAnsi="Arial" w:cs="Arial"/>
          <w:b/>
          <w:sz w:val="24"/>
        </w:rPr>
        <w:t>Supplementary Materials and Methods</w:t>
      </w:r>
    </w:p>
    <w:p w14:paraId="3E4D7838" w14:textId="77777777" w:rsidR="001A26B9" w:rsidRPr="006E1715" w:rsidRDefault="001A26B9" w:rsidP="001A26B9">
      <w:pPr>
        <w:autoSpaceDE w:val="0"/>
        <w:autoSpaceDN w:val="0"/>
        <w:adjustRightInd w:val="0"/>
        <w:spacing w:afterLines="50" w:after="156" w:line="360" w:lineRule="auto"/>
        <w:jc w:val="left"/>
        <w:rPr>
          <w:rFonts w:ascii="Arial" w:hAnsi="Arial" w:cs="Arial"/>
          <w:b/>
          <w:color w:val="131413"/>
          <w:kern w:val="0"/>
          <w:szCs w:val="21"/>
        </w:rPr>
      </w:pPr>
      <w:r w:rsidRPr="006E1715">
        <w:rPr>
          <w:rFonts w:ascii="Arial" w:hAnsi="Arial" w:cs="Arial"/>
          <w:b/>
          <w:color w:val="131413"/>
          <w:kern w:val="0"/>
          <w:szCs w:val="21"/>
        </w:rPr>
        <w:t>Cell transfection</w:t>
      </w:r>
    </w:p>
    <w:p w14:paraId="3D09C061" w14:textId="77777777" w:rsidR="001A26B9" w:rsidRPr="006E1715" w:rsidRDefault="001A26B9" w:rsidP="001A26B9">
      <w:pPr>
        <w:autoSpaceDE w:val="0"/>
        <w:autoSpaceDN w:val="0"/>
        <w:adjustRightInd w:val="0"/>
        <w:spacing w:afterLines="50" w:after="156" w:line="360" w:lineRule="auto"/>
        <w:jc w:val="left"/>
        <w:rPr>
          <w:rFonts w:ascii="Arial" w:eastAsiaTheme="minorEastAsia" w:hAnsi="Arial" w:cs="Arial"/>
          <w:kern w:val="0"/>
          <w:szCs w:val="21"/>
        </w:rPr>
      </w:pPr>
      <w:r w:rsidRPr="006E1715">
        <w:rPr>
          <w:rFonts w:ascii="Arial" w:hAnsi="Arial" w:cs="Arial"/>
          <w:kern w:val="0"/>
          <w:szCs w:val="21"/>
        </w:rPr>
        <w:t>The SW620 and RKO c</w:t>
      </w:r>
      <w:r w:rsidRPr="006E1715">
        <w:rPr>
          <w:rFonts w:ascii="Arial" w:eastAsia="TimesNewRomanPSMT" w:hAnsi="Arial" w:cs="Arial"/>
          <w:kern w:val="0"/>
          <w:szCs w:val="21"/>
        </w:rPr>
        <w:t>ells were transfected with indicated</w:t>
      </w:r>
      <w:r w:rsidRPr="006E1715">
        <w:rPr>
          <w:rFonts w:ascii="Arial" w:hAnsi="Arial" w:cs="Arial"/>
          <w:kern w:val="0"/>
          <w:szCs w:val="21"/>
        </w:rPr>
        <w:t xml:space="preserve"> siRNA</w:t>
      </w:r>
      <w:r w:rsidRPr="006E1715">
        <w:rPr>
          <w:rFonts w:ascii="Arial" w:eastAsia="TimesNewRomanPSMT" w:hAnsi="Arial" w:cs="Arial"/>
          <w:kern w:val="0"/>
          <w:szCs w:val="21"/>
        </w:rPr>
        <w:t>, microRNA mimics</w:t>
      </w:r>
      <w:r w:rsidRPr="006E1715">
        <w:rPr>
          <w:rFonts w:ascii="Arial" w:hAnsi="Arial" w:cs="Arial"/>
          <w:kern w:val="0"/>
          <w:szCs w:val="21"/>
        </w:rPr>
        <w:t xml:space="preserve"> </w:t>
      </w:r>
      <w:r w:rsidRPr="006E1715">
        <w:rPr>
          <w:rFonts w:ascii="Arial" w:eastAsia="TimesNewRomanPSMT" w:hAnsi="Arial" w:cs="Arial"/>
          <w:kern w:val="0"/>
          <w:szCs w:val="21"/>
        </w:rPr>
        <w:t>or</w:t>
      </w:r>
      <w:r w:rsidRPr="006E1715">
        <w:rPr>
          <w:rFonts w:ascii="Arial" w:hAnsi="Arial" w:cs="Arial"/>
          <w:kern w:val="0"/>
          <w:szCs w:val="21"/>
        </w:rPr>
        <w:t xml:space="preserve"> </w:t>
      </w:r>
      <w:r w:rsidRPr="006E1715">
        <w:rPr>
          <w:rFonts w:ascii="Arial" w:eastAsia="TimesNewRomanPSMT" w:hAnsi="Arial" w:cs="Arial"/>
          <w:kern w:val="0"/>
          <w:szCs w:val="21"/>
        </w:rPr>
        <w:t>inhibitors (</w:t>
      </w:r>
      <w:proofErr w:type="spellStart"/>
      <w:r w:rsidRPr="006E1715">
        <w:rPr>
          <w:rFonts w:ascii="Arial" w:eastAsia="TimesNewRomanPSMT" w:hAnsi="Arial" w:cs="Arial"/>
          <w:kern w:val="0"/>
          <w:szCs w:val="21"/>
        </w:rPr>
        <w:t>GenePharma</w:t>
      </w:r>
      <w:proofErr w:type="spellEnd"/>
      <w:r w:rsidRPr="006E1715">
        <w:rPr>
          <w:rFonts w:ascii="Arial" w:eastAsia="TimesNewRomanPSMT" w:hAnsi="Arial" w:cs="Arial"/>
          <w:kern w:val="0"/>
          <w:szCs w:val="21"/>
        </w:rPr>
        <w:t>, Shanghai, CHN) using the</w:t>
      </w:r>
      <w:r w:rsidRPr="006E1715">
        <w:rPr>
          <w:rFonts w:ascii="Arial" w:hAnsi="Arial" w:cs="Arial"/>
          <w:kern w:val="0"/>
          <w:szCs w:val="21"/>
        </w:rPr>
        <w:t xml:space="preserve"> </w:t>
      </w:r>
      <w:r w:rsidRPr="006E1715">
        <w:rPr>
          <w:rFonts w:ascii="Arial" w:eastAsia="TimesNewRomanPSMT" w:hAnsi="Arial" w:cs="Arial"/>
          <w:kern w:val="0"/>
          <w:szCs w:val="21"/>
        </w:rPr>
        <w:t>Lipofectamine 2000 (Invitrogen, Carlsbad, CA) according to the manufacturer’s recommendations</w:t>
      </w:r>
      <w:r>
        <w:rPr>
          <w:rFonts w:ascii="Arial" w:eastAsia="TimesNewRomanPSMT" w:hAnsi="Arial" w:cs="Arial"/>
          <w:kern w:val="0"/>
          <w:szCs w:val="21"/>
        </w:rPr>
        <w:t xml:space="preserve"> </w:t>
      </w:r>
      <w:r w:rsidRPr="00D71F0E">
        <w:rPr>
          <w:rFonts w:ascii="Arial" w:eastAsia="TimesNewRomanPSMT" w:hAnsi="Arial" w:cs="Arial"/>
          <w:kern w:val="0"/>
          <w:szCs w:val="21"/>
          <w:highlight w:val="yellow"/>
        </w:rPr>
        <w:t xml:space="preserve">(20pmol siRNA or 2umol mimics/inhibitors with 10ul </w:t>
      </w:r>
      <w:proofErr w:type="spellStart"/>
      <w:r w:rsidRPr="00D71F0E">
        <w:rPr>
          <w:rFonts w:ascii="Arial" w:eastAsia="TimesNewRomanPSMT" w:hAnsi="Arial" w:cs="Arial"/>
          <w:kern w:val="0"/>
          <w:szCs w:val="21"/>
          <w:highlight w:val="yellow"/>
        </w:rPr>
        <w:t>Lipo</w:t>
      </w:r>
      <w:proofErr w:type="spellEnd"/>
      <w:r w:rsidRPr="00D71F0E">
        <w:rPr>
          <w:rFonts w:ascii="Arial" w:eastAsia="TimesNewRomanPSMT" w:hAnsi="Arial" w:cs="Arial"/>
          <w:kern w:val="0"/>
          <w:szCs w:val="21"/>
          <w:highlight w:val="yellow"/>
        </w:rPr>
        <w:t xml:space="preserve"> 2000)</w:t>
      </w:r>
      <w:r w:rsidRPr="006E1715">
        <w:rPr>
          <w:rFonts w:ascii="Arial" w:eastAsia="TimesNewRomanPSMT" w:hAnsi="Arial" w:cs="Arial"/>
          <w:kern w:val="0"/>
          <w:szCs w:val="21"/>
        </w:rPr>
        <w:t>.</w:t>
      </w:r>
      <w:r w:rsidRPr="006E1715">
        <w:rPr>
          <w:rFonts w:ascii="Arial" w:hAnsi="Arial" w:cs="Arial"/>
          <w:kern w:val="0"/>
          <w:szCs w:val="21"/>
        </w:rPr>
        <w:t xml:space="preserve"> </w:t>
      </w:r>
      <w:r w:rsidRPr="006E1715">
        <w:rPr>
          <w:rFonts w:ascii="Arial" w:eastAsia="TimesNewRomanPSMT" w:hAnsi="Arial" w:cs="Arial"/>
          <w:kern w:val="0"/>
          <w:szCs w:val="21"/>
        </w:rPr>
        <w:t>Cells were harvested 48 hours after transfection</w:t>
      </w:r>
      <w:r>
        <w:rPr>
          <w:rFonts w:ascii="Arial" w:eastAsia="TimesNewRomanPSMT" w:hAnsi="Arial" w:cs="Arial"/>
          <w:kern w:val="0"/>
          <w:szCs w:val="21"/>
        </w:rPr>
        <w:t>.</w:t>
      </w:r>
    </w:p>
    <w:p w14:paraId="3A262061" w14:textId="77777777" w:rsidR="001A26B9" w:rsidRPr="006E1715" w:rsidRDefault="001A26B9" w:rsidP="001A26B9">
      <w:pPr>
        <w:autoSpaceDE w:val="0"/>
        <w:autoSpaceDN w:val="0"/>
        <w:adjustRightInd w:val="0"/>
        <w:spacing w:afterLines="50" w:after="156" w:line="360" w:lineRule="auto"/>
        <w:jc w:val="left"/>
        <w:rPr>
          <w:rFonts w:ascii="Arial" w:hAnsi="Arial" w:cs="Arial"/>
          <w:color w:val="131413"/>
          <w:kern w:val="0"/>
          <w:szCs w:val="21"/>
        </w:rPr>
      </w:pPr>
      <w:r w:rsidRPr="006E1715">
        <w:rPr>
          <w:rFonts w:ascii="Arial" w:hAnsi="Arial" w:cs="Arial"/>
          <w:b/>
          <w:color w:val="131413"/>
          <w:kern w:val="0"/>
          <w:szCs w:val="21"/>
        </w:rPr>
        <w:t>Western blot analysis</w:t>
      </w:r>
    </w:p>
    <w:p w14:paraId="63B50C97" w14:textId="77777777" w:rsidR="001A26B9" w:rsidRDefault="001A26B9" w:rsidP="001A26B9">
      <w:pPr>
        <w:autoSpaceDE w:val="0"/>
        <w:autoSpaceDN w:val="0"/>
        <w:adjustRightInd w:val="0"/>
        <w:spacing w:afterLines="50" w:after="156" w:line="360" w:lineRule="auto"/>
        <w:rPr>
          <w:rFonts w:ascii="Arial" w:eastAsiaTheme="minorEastAsia" w:hAnsi="Arial" w:cs="Arial"/>
          <w:color w:val="131413"/>
          <w:kern w:val="0"/>
          <w:szCs w:val="21"/>
        </w:rPr>
      </w:pPr>
      <w:r w:rsidRPr="006E1715">
        <w:rPr>
          <w:rFonts w:ascii="Arial" w:hAnsi="Arial" w:cs="Arial"/>
          <w:color w:val="131413"/>
          <w:kern w:val="0"/>
          <w:szCs w:val="21"/>
        </w:rPr>
        <w:t>The total protein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>s</w:t>
      </w:r>
      <w:r w:rsidRPr="006E1715">
        <w:rPr>
          <w:rFonts w:ascii="Arial" w:hAnsi="Arial" w:cs="Arial"/>
          <w:color w:val="131413"/>
          <w:kern w:val="0"/>
          <w:szCs w:val="21"/>
        </w:rPr>
        <w:t xml:space="preserve"> w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>ere</w:t>
      </w:r>
      <w:r w:rsidRPr="006E1715">
        <w:rPr>
          <w:rFonts w:ascii="Arial" w:hAnsi="Arial" w:cs="Arial"/>
          <w:color w:val="131413"/>
          <w:kern w:val="0"/>
          <w:szCs w:val="21"/>
        </w:rPr>
        <w:t xml:space="preserve"> extracted with RIPA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 </w:t>
      </w:r>
      <w:r w:rsidRPr="006E1715">
        <w:rPr>
          <w:rFonts w:ascii="Arial" w:hAnsi="Arial" w:cs="Arial"/>
          <w:color w:val="131413"/>
          <w:kern w:val="0"/>
          <w:szCs w:val="21"/>
        </w:rPr>
        <w:t>buffer and quanti</w:t>
      </w:r>
      <w:r>
        <w:rPr>
          <w:rFonts w:ascii="Arial" w:hAnsi="Arial" w:cs="Arial"/>
          <w:color w:val="131413"/>
          <w:kern w:val="0"/>
          <w:szCs w:val="21"/>
        </w:rPr>
        <w:t>f</w:t>
      </w:r>
      <w:r w:rsidRPr="006E1715">
        <w:rPr>
          <w:rFonts w:ascii="Arial" w:hAnsi="Arial" w:cs="Arial"/>
          <w:color w:val="131413"/>
          <w:kern w:val="0"/>
          <w:szCs w:val="21"/>
        </w:rPr>
        <w:t>ied using BCA Protein assay kit</w:t>
      </w:r>
      <w:r>
        <w:rPr>
          <w:rFonts w:ascii="Arial" w:hAnsi="Arial" w:cs="Arial"/>
          <w:color w:val="131413"/>
          <w:kern w:val="0"/>
          <w:szCs w:val="21"/>
        </w:rPr>
        <w:t xml:space="preserve"> </w:t>
      </w:r>
      <w:r w:rsidRPr="006E1715">
        <w:rPr>
          <w:rFonts w:ascii="Arial" w:hAnsi="Arial" w:cs="Arial"/>
          <w:color w:val="131413"/>
          <w:kern w:val="0"/>
          <w:szCs w:val="21"/>
        </w:rPr>
        <w:t>(Thermo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 </w:t>
      </w:r>
      <w:r w:rsidRPr="006E1715">
        <w:rPr>
          <w:rFonts w:ascii="Arial" w:hAnsi="Arial" w:cs="Arial"/>
          <w:color w:val="131413"/>
          <w:kern w:val="0"/>
          <w:szCs w:val="21"/>
        </w:rPr>
        <w:t>Scientific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>, USA</w:t>
      </w:r>
      <w:r w:rsidRPr="006E1715">
        <w:rPr>
          <w:rFonts w:ascii="Arial" w:hAnsi="Arial" w:cs="Arial"/>
          <w:color w:val="131413"/>
          <w:kern w:val="0"/>
          <w:szCs w:val="21"/>
        </w:rPr>
        <w:t>)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. Then </w:t>
      </w:r>
      <w:r w:rsidRPr="006E1715">
        <w:rPr>
          <w:rFonts w:ascii="Arial" w:hAnsi="Arial" w:cs="Arial"/>
          <w:color w:val="131413"/>
          <w:kern w:val="0"/>
          <w:szCs w:val="21"/>
        </w:rPr>
        <w:t xml:space="preserve">electrophoresis and </w:t>
      </w:r>
      <w:proofErr w:type="spellStart"/>
      <w:r>
        <w:rPr>
          <w:rFonts w:ascii="Arial" w:hAnsi="Arial" w:cs="Arial"/>
          <w:color w:val="131413"/>
          <w:kern w:val="0"/>
          <w:szCs w:val="21"/>
        </w:rPr>
        <w:t>e</w:t>
      </w:r>
      <w:r w:rsidRPr="00D71F0E">
        <w:rPr>
          <w:rFonts w:ascii="Arial" w:hAnsi="Arial" w:cs="Arial"/>
          <w:color w:val="131413"/>
          <w:kern w:val="0"/>
          <w:szCs w:val="21"/>
        </w:rPr>
        <w:t>lectrotransfect</w:t>
      </w:r>
      <w:r>
        <w:rPr>
          <w:rFonts w:ascii="Arial" w:hAnsi="Arial" w:cs="Arial"/>
          <w:color w:val="131413"/>
          <w:kern w:val="0"/>
          <w:szCs w:val="21"/>
        </w:rPr>
        <w:t>ed</w:t>
      </w:r>
      <w:proofErr w:type="spellEnd"/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 </w:t>
      </w:r>
      <w:r w:rsidRPr="006E1715">
        <w:rPr>
          <w:rFonts w:ascii="Arial" w:hAnsi="Arial" w:cs="Arial"/>
          <w:color w:val="131413"/>
          <w:kern w:val="0"/>
          <w:szCs w:val="21"/>
        </w:rPr>
        <w:t>onto a PVDF membran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e </w:t>
      </w:r>
      <w:r w:rsidRPr="006E1715">
        <w:rPr>
          <w:rFonts w:ascii="Arial" w:hAnsi="Arial" w:cs="Arial"/>
          <w:color w:val="131413"/>
          <w:kern w:val="0"/>
          <w:szCs w:val="21"/>
        </w:rPr>
        <w:t>(Bio-Rad, CA, USA).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 </w:t>
      </w:r>
      <w:r w:rsidRPr="006E1715">
        <w:rPr>
          <w:rFonts w:ascii="Arial" w:hAnsi="Arial" w:cs="Arial"/>
          <w:color w:val="131413"/>
          <w:kern w:val="0"/>
          <w:szCs w:val="21"/>
        </w:rPr>
        <w:t>The membranes were blocked with 5% skimmed milk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 </w:t>
      </w:r>
      <w:r w:rsidRPr="006E1715">
        <w:rPr>
          <w:rFonts w:ascii="Arial" w:hAnsi="Arial" w:cs="Arial"/>
          <w:color w:val="131413"/>
          <w:kern w:val="0"/>
          <w:szCs w:val="21"/>
        </w:rPr>
        <w:t>powder and incubated with primary antibodies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 at </w:t>
      </w:r>
      <w:r w:rsidRPr="006E1715">
        <w:rPr>
          <w:rFonts w:ascii="Arial" w:hAnsi="Arial" w:cs="Arial"/>
          <w:color w:val="131413"/>
          <w:kern w:val="0"/>
          <w:szCs w:val="21"/>
        </w:rPr>
        <w:t>4 °C overnight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. Then wash and </w:t>
      </w:r>
      <w:r w:rsidRPr="006E1715">
        <w:rPr>
          <w:rFonts w:ascii="Arial" w:hAnsi="Arial" w:cs="Arial"/>
          <w:color w:val="131413"/>
          <w:kern w:val="0"/>
          <w:szCs w:val="21"/>
        </w:rPr>
        <w:t>incubated with secondary antibodies (1:5000) (Santa Cruz Biotechnology USA) at room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 </w:t>
      </w:r>
      <w:r w:rsidRPr="006E1715">
        <w:rPr>
          <w:rFonts w:ascii="Arial" w:hAnsi="Arial" w:cs="Arial"/>
          <w:color w:val="131413"/>
          <w:kern w:val="0"/>
          <w:szCs w:val="21"/>
        </w:rPr>
        <w:t xml:space="preserve">temperature for 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>1</w:t>
      </w:r>
      <w:r w:rsidRPr="006E1715">
        <w:rPr>
          <w:rFonts w:ascii="Arial" w:hAnsi="Arial" w:cs="Arial"/>
          <w:color w:val="131413"/>
          <w:kern w:val="0"/>
          <w:szCs w:val="21"/>
        </w:rPr>
        <w:t xml:space="preserve"> h. Finally, the relevant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 </w:t>
      </w:r>
      <w:r w:rsidRPr="006E1715">
        <w:rPr>
          <w:rFonts w:ascii="Arial" w:hAnsi="Arial" w:cs="Arial"/>
          <w:color w:val="131413"/>
          <w:kern w:val="0"/>
          <w:szCs w:val="21"/>
        </w:rPr>
        <w:t>protein was visualized by enhanced chemiluminescence system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 </w:t>
      </w:r>
      <w:r w:rsidRPr="006E1715">
        <w:rPr>
          <w:rFonts w:ascii="Arial" w:hAnsi="Arial" w:cs="Arial"/>
          <w:color w:val="131413"/>
          <w:kern w:val="0"/>
          <w:szCs w:val="21"/>
        </w:rPr>
        <w:t>(PerkinElmer)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 </w:t>
      </w:r>
      <w:r w:rsidRPr="006E1715">
        <w:rPr>
          <w:rFonts w:ascii="Arial" w:hAnsi="Arial" w:cs="Arial"/>
          <w:color w:val="131413"/>
          <w:kern w:val="0"/>
          <w:szCs w:val="21"/>
        </w:rPr>
        <w:t>according to the manufacturer’s instructions.</w:t>
      </w:r>
    </w:p>
    <w:p w14:paraId="33B0F784" w14:textId="77777777" w:rsidR="001A26B9" w:rsidRPr="00AD157E" w:rsidRDefault="001A26B9" w:rsidP="001A26B9">
      <w:pPr>
        <w:autoSpaceDE w:val="0"/>
        <w:autoSpaceDN w:val="0"/>
        <w:adjustRightInd w:val="0"/>
        <w:spacing w:after="50" w:line="360" w:lineRule="auto"/>
        <w:jc w:val="left"/>
        <w:rPr>
          <w:rFonts w:ascii="Arial" w:hAnsi="Arial" w:cs="Arial"/>
          <w:b/>
          <w:color w:val="131413"/>
          <w:kern w:val="0"/>
          <w:szCs w:val="21"/>
        </w:rPr>
      </w:pPr>
      <w:r w:rsidRPr="00AD157E">
        <w:rPr>
          <w:rFonts w:ascii="Arial" w:hAnsi="Arial" w:cs="Arial"/>
          <w:b/>
          <w:color w:val="131413"/>
          <w:kern w:val="0"/>
          <w:szCs w:val="21"/>
        </w:rPr>
        <w:t>Cell proliferation assay</w:t>
      </w:r>
    </w:p>
    <w:p w14:paraId="271443B1" w14:textId="77777777" w:rsidR="001A26B9" w:rsidRPr="00AD157E" w:rsidRDefault="001A26B9" w:rsidP="001A26B9">
      <w:pPr>
        <w:autoSpaceDE w:val="0"/>
        <w:autoSpaceDN w:val="0"/>
        <w:adjustRightInd w:val="0"/>
        <w:spacing w:afterLines="50" w:after="156" w:line="360" w:lineRule="auto"/>
        <w:jc w:val="left"/>
        <w:rPr>
          <w:rFonts w:ascii="Arial" w:eastAsiaTheme="minorEastAsia" w:hAnsi="Arial" w:cs="Arial"/>
          <w:kern w:val="0"/>
          <w:szCs w:val="21"/>
        </w:rPr>
      </w:pPr>
      <w:r w:rsidRPr="00AD157E">
        <w:rPr>
          <w:rFonts w:ascii="Arial" w:hAnsi="Arial" w:cs="Arial"/>
          <w:kern w:val="0"/>
          <w:szCs w:val="21"/>
        </w:rPr>
        <w:t xml:space="preserve">For the cell proliferation assay, </w:t>
      </w:r>
      <w:r w:rsidRPr="00AD157E">
        <w:rPr>
          <w:rFonts w:ascii="Arial" w:hAnsi="Arial" w:cs="Arial" w:hint="eastAsia"/>
          <w:kern w:val="0"/>
          <w:szCs w:val="21"/>
        </w:rPr>
        <w:t xml:space="preserve">SW620 </w:t>
      </w:r>
      <w:r w:rsidRPr="00AD157E">
        <w:rPr>
          <w:rFonts w:ascii="Arial" w:hAnsi="Arial" w:cs="Arial"/>
          <w:kern w:val="0"/>
          <w:szCs w:val="21"/>
        </w:rPr>
        <w:t xml:space="preserve">and </w:t>
      </w:r>
      <w:r w:rsidRPr="00AD157E">
        <w:rPr>
          <w:rFonts w:ascii="Arial" w:hAnsi="Arial" w:cs="Arial" w:hint="eastAsia"/>
          <w:kern w:val="0"/>
          <w:szCs w:val="21"/>
        </w:rPr>
        <w:t xml:space="preserve">RKO </w:t>
      </w:r>
      <w:r w:rsidRPr="00AD157E">
        <w:rPr>
          <w:rFonts w:ascii="Arial" w:hAnsi="Arial" w:cs="Arial"/>
          <w:kern w:val="0"/>
          <w:szCs w:val="21"/>
        </w:rPr>
        <w:t>cells transfected with the indicated plasmids were seeded into 96-well plates</w:t>
      </w:r>
      <w:r w:rsidRPr="00AD157E">
        <w:rPr>
          <w:rFonts w:ascii="Arial" w:hAnsi="Arial" w:cs="Arial" w:hint="eastAsia"/>
          <w:kern w:val="0"/>
          <w:szCs w:val="21"/>
        </w:rPr>
        <w:t>,</w:t>
      </w:r>
      <w:r w:rsidRPr="00AD157E">
        <w:rPr>
          <w:rFonts w:ascii="Arial" w:hAnsi="Arial" w:cs="Arial"/>
          <w:kern w:val="0"/>
          <w:szCs w:val="21"/>
        </w:rPr>
        <w:t xml:space="preserve"> and cell viability was assessed by</w:t>
      </w:r>
      <w:r w:rsidRPr="00AD157E">
        <w:rPr>
          <w:rFonts w:ascii="Arial" w:hAnsi="Arial" w:cs="Arial" w:hint="eastAsia"/>
          <w:kern w:val="0"/>
          <w:szCs w:val="21"/>
        </w:rPr>
        <w:t xml:space="preserve"> premix WST-1 cell proliferation</w:t>
      </w:r>
      <w:r w:rsidRPr="00AD157E">
        <w:rPr>
          <w:rFonts w:ascii="Arial" w:hAnsi="Arial" w:cs="Arial"/>
          <w:kern w:val="0"/>
          <w:szCs w:val="21"/>
        </w:rPr>
        <w:t xml:space="preserve"> assay (</w:t>
      </w:r>
      <w:proofErr w:type="spellStart"/>
      <w:r w:rsidRPr="00AD157E">
        <w:rPr>
          <w:rFonts w:ascii="Arial" w:hAnsi="Arial" w:cs="Arial" w:hint="eastAsia"/>
          <w:kern w:val="0"/>
          <w:szCs w:val="21"/>
        </w:rPr>
        <w:t>TaKaRa</w:t>
      </w:r>
      <w:proofErr w:type="spellEnd"/>
      <w:r w:rsidRPr="00AD157E">
        <w:rPr>
          <w:rFonts w:ascii="Arial" w:hAnsi="Arial" w:cs="Arial"/>
          <w:kern w:val="0"/>
          <w:szCs w:val="21"/>
        </w:rPr>
        <w:t xml:space="preserve">, </w:t>
      </w:r>
      <w:r w:rsidRPr="00AD157E">
        <w:rPr>
          <w:rFonts w:ascii="Arial" w:hAnsi="Arial" w:cs="Arial" w:hint="eastAsia"/>
          <w:kern w:val="0"/>
          <w:szCs w:val="21"/>
        </w:rPr>
        <w:t>Japan</w:t>
      </w:r>
      <w:r w:rsidRPr="00AD157E">
        <w:rPr>
          <w:rFonts w:ascii="Arial" w:hAnsi="Arial" w:cs="Arial"/>
          <w:kern w:val="0"/>
          <w:szCs w:val="21"/>
        </w:rPr>
        <w:t>). The absorbance of each</w:t>
      </w:r>
      <w:r w:rsidRPr="00AD157E">
        <w:rPr>
          <w:rFonts w:ascii="Arial" w:hAnsi="Arial" w:cs="Arial" w:hint="eastAsia"/>
          <w:kern w:val="0"/>
          <w:szCs w:val="21"/>
        </w:rPr>
        <w:t xml:space="preserve"> </w:t>
      </w:r>
      <w:r w:rsidRPr="00AD157E">
        <w:rPr>
          <w:rFonts w:ascii="Arial" w:hAnsi="Arial" w:cs="Arial"/>
          <w:kern w:val="0"/>
          <w:szCs w:val="21"/>
        </w:rPr>
        <w:t xml:space="preserve">well was read at a wavelength of </w:t>
      </w:r>
      <w:r w:rsidRPr="00AD157E">
        <w:rPr>
          <w:rFonts w:ascii="Arial" w:hAnsi="Arial" w:cs="Arial" w:hint="eastAsia"/>
          <w:kern w:val="0"/>
          <w:szCs w:val="21"/>
        </w:rPr>
        <w:t>450</w:t>
      </w:r>
      <w:r w:rsidRPr="00AD157E">
        <w:rPr>
          <w:rFonts w:ascii="Arial" w:hAnsi="Arial" w:cs="Arial"/>
          <w:kern w:val="0"/>
          <w:szCs w:val="21"/>
        </w:rPr>
        <w:t xml:space="preserve"> nm on a spectrophotometer.</w:t>
      </w:r>
      <w:r w:rsidRPr="00AD157E">
        <w:rPr>
          <w:rFonts w:ascii="Arial" w:hAnsi="Arial" w:cs="Arial" w:hint="eastAsia"/>
          <w:kern w:val="0"/>
          <w:szCs w:val="21"/>
        </w:rPr>
        <w:t xml:space="preserve"> </w:t>
      </w:r>
    </w:p>
    <w:p w14:paraId="4F75B4BE" w14:textId="77777777" w:rsidR="001A26B9" w:rsidRPr="006E1715" w:rsidRDefault="001A26B9" w:rsidP="001A26B9">
      <w:pPr>
        <w:autoSpaceDE w:val="0"/>
        <w:autoSpaceDN w:val="0"/>
        <w:adjustRightInd w:val="0"/>
        <w:spacing w:afterLines="50" w:after="156" w:line="360" w:lineRule="auto"/>
        <w:jc w:val="left"/>
        <w:rPr>
          <w:rFonts w:ascii="Arial" w:hAnsi="Arial" w:cs="Arial"/>
          <w:b/>
          <w:color w:val="131413"/>
          <w:kern w:val="0"/>
          <w:szCs w:val="21"/>
        </w:rPr>
      </w:pPr>
      <w:r w:rsidRPr="006E1715">
        <w:rPr>
          <w:rFonts w:ascii="Arial" w:hAnsi="Arial" w:cs="Arial"/>
          <w:b/>
          <w:color w:val="131413"/>
          <w:kern w:val="0"/>
          <w:szCs w:val="21"/>
        </w:rPr>
        <w:t>Cell</w:t>
      </w:r>
      <w:r w:rsidRPr="006E1715">
        <w:rPr>
          <w:rFonts w:ascii="Arial" w:hAnsi="Arial" w:cs="Arial" w:hint="eastAsia"/>
          <w:b/>
          <w:color w:val="131413"/>
          <w:kern w:val="0"/>
          <w:szCs w:val="21"/>
        </w:rPr>
        <w:t xml:space="preserve"> </w:t>
      </w:r>
      <w:r w:rsidRPr="006E1715">
        <w:rPr>
          <w:rFonts w:ascii="Arial" w:hAnsi="Arial" w:cs="Arial"/>
          <w:b/>
          <w:color w:val="131413"/>
          <w:kern w:val="0"/>
          <w:szCs w:val="21"/>
        </w:rPr>
        <w:t>apoptosis assay</w:t>
      </w:r>
    </w:p>
    <w:p w14:paraId="71A3B5E3" w14:textId="77777777" w:rsidR="001A26B9" w:rsidRPr="00C31ED9" w:rsidRDefault="001A26B9" w:rsidP="001A26B9">
      <w:pPr>
        <w:autoSpaceDE w:val="0"/>
        <w:autoSpaceDN w:val="0"/>
        <w:adjustRightInd w:val="0"/>
        <w:spacing w:afterLines="50" w:after="156" w:line="360" w:lineRule="auto"/>
        <w:jc w:val="left"/>
        <w:rPr>
          <w:rFonts w:ascii="Arial" w:eastAsiaTheme="minorEastAsia" w:hAnsi="Arial" w:cs="Arial"/>
          <w:color w:val="131413"/>
          <w:kern w:val="0"/>
          <w:szCs w:val="21"/>
        </w:rPr>
      </w:pPr>
      <w:r w:rsidRPr="006E1715">
        <w:rPr>
          <w:rFonts w:ascii="Arial" w:hAnsi="Arial" w:cs="Arial"/>
          <w:color w:val="131413"/>
          <w:kern w:val="0"/>
          <w:szCs w:val="21"/>
        </w:rPr>
        <w:t>Cell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 </w:t>
      </w:r>
      <w:r w:rsidRPr="006E1715">
        <w:rPr>
          <w:rFonts w:ascii="Arial" w:hAnsi="Arial" w:cs="Arial"/>
          <w:color w:val="131413"/>
          <w:kern w:val="0"/>
          <w:szCs w:val="21"/>
        </w:rPr>
        <w:t>apoptosis assay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 was </w:t>
      </w:r>
      <w:r w:rsidRPr="006E1715">
        <w:rPr>
          <w:rFonts w:ascii="Arial" w:hAnsi="Arial" w:cs="Arial"/>
          <w:color w:val="131413"/>
          <w:kern w:val="0"/>
          <w:szCs w:val="21"/>
        </w:rPr>
        <w:t xml:space="preserve">implemented 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in SW620 and RKO cells </w:t>
      </w:r>
      <w:r w:rsidRPr="006E1715">
        <w:rPr>
          <w:rFonts w:ascii="Arial" w:hAnsi="Arial" w:cs="Arial"/>
          <w:color w:val="131413"/>
          <w:kern w:val="0"/>
          <w:szCs w:val="21"/>
        </w:rPr>
        <w:t>after transfection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. The cells were double stained with </w:t>
      </w:r>
      <w:r w:rsidRPr="006E1715">
        <w:rPr>
          <w:rFonts w:ascii="Arial" w:hAnsi="Arial" w:cs="Arial"/>
          <w:color w:val="131413"/>
          <w:kern w:val="0"/>
          <w:szCs w:val="21"/>
        </w:rPr>
        <w:t>fluorescein isothiocyanate (FITC)-conjugated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 </w:t>
      </w:r>
      <w:r w:rsidRPr="006E1715">
        <w:rPr>
          <w:rFonts w:ascii="Arial" w:hAnsi="Arial" w:cs="Arial"/>
          <w:color w:val="131413"/>
          <w:kern w:val="0"/>
          <w:szCs w:val="21"/>
        </w:rPr>
        <w:t>Annexin V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 and</w:t>
      </w:r>
      <w:r w:rsidRPr="006E1715">
        <w:rPr>
          <w:rFonts w:ascii="Arial" w:hAnsi="Arial" w:cs="Arial"/>
          <w:color w:val="131413"/>
          <w:kern w:val="0"/>
          <w:szCs w:val="21"/>
        </w:rPr>
        <w:t xml:space="preserve"> </w:t>
      </w:r>
      <w:proofErr w:type="spellStart"/>
      <w:r w:rsidRPr="006E1715">
        <w:rPr>
          <w:rFonts w:ascii="Arial" w:hAnsi="Arial" w:cs="Arial"/>
          <w:color w:val="131413"/>
          <w:kern w:val="0"/>
          <w:szCs w:val="21"/>
        </w:rPr>
        <w:t>propodium</w:t>
      </w:r>
      <w:proofErr w:type="spellEnd"/>
      <w:r w:rsidRPr="006E1715">
        <w:rPr>
          <w:rFonts w:ascii="Arial" w:hAnsi="Arial" w:cs="Arial"/>
          <w:color w:val="131413"/>
          <w:kern w:val="0"/>
          <w:szCs w:val="21"/>
        </w:rPr>
        <w:t xml:space="preserve"> iodide (PI)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>. Then,</w:t>
      </w:r>
      <w:r w:rsidRPr="006E1715">
        <w:rPr>
          <w:rFonts w:ascii="Arial" w:hAnsi="Arial" w:cs="Arial"/>
          <w:color w:val="131413"/>
          <w:kern w:val="0"/>
          <w:szCs w:val="21"/>
        </w:rPr>
        <w:t xml:space="preserve"> the percentage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 </w:t>
      </w:r>
      <w:r w:rsidRPr="006E1715">
        <w:rPr>
          <w:rFonts w:ascii="Arial" w:hAnsi="Arial" w:cs="Arial"/>
          <w:color w:val="131413"/>
          <w:kern w:val="0"/>
          <w:szCs w:val="21"/>
        </w:rPr>
        <w:t>of early apoptotic cells was analyzed on a flow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 xml:space="preserve"> </w:t>
      </w:r>
      <w:r w:rsidRPr="006E1715">
        <w:rPr>
          <w:rFonts w:ascii="Arial" w:hAnsi="Arial" w:cs="Arial"/>
          <w:color w:val="131413"/>
          <w:kern w:val="0"/>
          <w:szCs w:val="21"/>
        </w:rPr>
        <w:t xml:space="preserve">cytometer </w:t>
      </w:r>
      <w:proofErr w:type="gramStart"/>
      <w:r w:rsidRPr="006E1715">
        <w:rPr>
          <w:rFonts w:ascii="Arial" w:hAnsi="Arial" w:cs="Arial"/>
          <w:color w:val="131413"/>
          <w:kern w:val="0"/>
          <w:szCs w:val="21"/>
        </w:rPr>
        <w:t>( BD</w:t>
      </w:r>
      <w:proofErr w:type="gramEnd"/>
      <w:r w:rsidRPr="006E1715">
        <w:rPr>
          <w:rFonts w:ascii="Arial" w:hAnsi="Arial" w:cs="Arial"/>
          <w:color w:val="131413"/>
          <w:kern w:val="0"/>
          <w:szCs w:val="21"/>
        </w:rPr>
        <w:t xml:space="preserve"> </w:t>
      </w:r>
      <w:proofErr w:type="spellStart"/>
      <w:r w:rsidRPr="006E1715">
        <w:rPr>
          <w:rFonts w:ascii="Arial" w:hAnsi="Arial" w:cs="Arial"/>
          <w:color w:val="131413"/>
          <w:kern w:val="0"/>
          <w:szCs w:val="21"/>
        </w:rPr>
        <w:t>FACSCant</w:t>
      </w:r>
      <w:r w:rsidRPr="006E1715">
        <w:rPr>
          <w:rFonts w:ascii="Arial" w:hAnsi="Arial" w:cs="Arial" w:hint="eastAsia"/>
          <w:color w:val="131413"/>
          <w:kern w:val="0"/>
          <w:szCs w:val="21"/>
        </w:rPr>
        <w:t>o</w:t>
      </w:r>
      <w:proofErr w:type="spellEnd"/>
      <w:r w:rsidRPr="006E1715">
        <w:rPr>
          <w:rFonts w:ascii="Arial" w:hAnsi="Arial" w:cs="Arial" w:hint="eastAsia"/>
          <w:color w:val="131413"/>
          <w:kern w:val="0"/>
          <w:szCs w:val="21"/>
        </w:rPr>
        <w:t>,</w:t>
      </w:r>
      <w:r w:rsidRPr="006E1715">
        <w:rPr>
          <w:rFonts w:ascii="Arial" w:hAnsi="Arial" w:cs="Arial"/>
          <w:color w:val="131413"/>
          <w:kern w:val="0"/>
          <w:szCs w:val="21"/>
        </w:rPr>
        <w:t xml:space="preserve"> USA).</w:t>
      </w:r>
    </w:p>
    <w:p w14:paraId="6DCD7295" w14:textId="77777777" w:rsidR="00CE4C48" w:rsidRPr="001A26B9" w:rsidRDefault="00CE4C48"/>
    <w:sectPr w:rsidR="00CE4C48" w:rsidRPr="001A2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BC57CF" w14:textId="77777777" w:rsidR="00157F9D" w:rsidRDefault="00157F9D" w:rsidP="001A26B9">
      <w:r>
        <w:separator/>
      </w:r>
    </w:p>
  </w:endnote>
  <w:endnote w:type="continuationSeparator" w:id="0">
    <w:p w14:paraId="12A777AF" w14:textId="77777777" w:rsidR="00157F9D" w:rsidRDefault="00157F9D" w:rsidP="001A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63C89" w14:textId="77777777" w:rsidR="00157F9D" w:rsidRDefault="00157F9D" w:rsidP="001A26B9">
      <w:r>
        <w:separator/>
      </w:r>
    </w:p>
  </w:footnote>
  <w:footnote w:type="continuationSeparator" w:id="0">
    <w:p w14:paraId="4BB11980" w14:textId="77777777" w:rsidR="00157F9D" w:rsidRDefault="00157F9D" w:rsidP="001A26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3EE"/>
    <w:rsid w:val="00060915"/>
    <w:rsid w:val="000B5400"/>
    <w:rsid w:val="000D1CDB"/>
    <w:rsid w:val="000F72BE"/>
    <w:rsid w:val="001054A3"/>
    <w:rsid w:val="001316E2"/>
    <w:rsid w:val="00157F9D"/>
    <w:rsid w:val="001A26B9"/>
    <w:rsid w:val="00215A39"/>
    <w:rsid w:val="002439EF"/>
    <w:rsid w:val="002728EF"/>
    <w:rsid w:val="002757A6"/>
    <w:rsid w:val="002808A6"/>
    <w:rsid w:val="002A2FE5"/>
    <w:rsid w:val="002B0702"/>
    <w:rsid w:val="002B48A7"/>
    <w:rsid w:val="002D0F9A"/>
    <w:rsid w:val="003034C4"/>
    <w:rsid w:val="003173C9"/>
    <w:rsid w:val="00357C01"/>
    <w:rsid w:val="00373963"/>
    <w:rsid w:val="0038233F"/>
    <w:rsid w:val="003927C6"/>
    <w:rsid w:val="003D262E"/>
    <w:rsid w:val="00403741"/>
    <w:rsid w:val="004040F8"/>
    <w:rsid w:val="00491D99"/>
    <w:rsid w:val="00496B87"/>
    <w:rsid w:val="004B2F81"/>
    <w:rsid w:val="004C01A0"/>
    <w:rsid w:val="00502813"/>
    <w:rsid w:val="005078A5"/>
    <w:rsid w:val="005373C5"/>
    <w:rsid w:val="005378B0"/>
    <w:rsid w:val="00550EED"/>
    <w:rsid w:val="005B5B9C"/>
    <w:rsid w:val="0061383B"/>
    <w:rsid w:val="006326C8"/>
    <w:rsid w:val="00647577"/>
    <w:rsid w:val="00654988"/>
    <w:rsid w:val="00663CA2"/>
    <w:rsid w:val="006813E9"/>
    <w:rsid w:val="006A02A5"/>
    <w:rsid w:val="006E3857"/>
    <w:rsid w:val="00702A6D"/>
    <w:rsid w:val="007104CD"/>
    <w:rsid w:val="00720ACF"/>
    <w:rsid w:val="0073135B"/>
    <w:rsid w:val="00731F5A"/>
    <w:rsid w:val="00751E14"/>
    <w:rsid w:val="00754E29"/>
    <w:rsid w:val="00761051"/>
    <w:rsid w:val="00776C85"/>
    <w:rsid w:val="007771CE"/>
    <w:rsid w:val="007A1432"/>
    <w:rsid w:val="007B507D"/>
    <w:rsid w:val="00861335"/>
    <w:rsid w:val="00882E2B"/>
    <w:rsid w:val="008A4704"/>
    <w:rsid w:val="008D28AE"/>
    <w:rsid w:val="008E6B1A"/>
    <w:rsid w:val="008E6C9B"/>
    <w:rsid w:val="00935E23"/>
    <w:rsid w:val="0098094F"/>
    <w:rsid w:val="009A4FBC"/>
    <w:rsid w:val="009B5B09"/>
    <w:rsid w:val="009C4521"/>
    <w:rsid w:val="009C72AD"/>
    <w:rsid w:val="009D1AA0"/>
    <w:rsid w:val="009D7CB6"/>
    <w:rsid w:val="009F0C6A"/>
    <w:rsid w:val="00A45289"/>
    <w:rsid w:val="00A45FE2"/>
    <w:rsid w:val="00A87F80"/>
    <w:rsid w:val="00A957BE"/>
    <w:rsid w:val="00AE6D21"/>
    <w:rsid w:val="00AF57AD"/>
    <w:rsid w:val="00B023EE"/>
    <w:rsid w:val="00B17A03"/>
    <w:rsid w:val="00B83EEF"/>
    <w:rsid w:val="00C15B1A"/>
    <w:rsid w:val="00C23AC9"/>
    <w:rsid w:val="00C245CB"/>
    <w:rsid w:val="00C5651A"/>
    <w:rsid w:val="00C74A02"/>
    <w:rsid w:val="00C81AD6"/>
    <w:rsid w:val="00CC41AB"/>
    <w:rsid w:val="00CE4C48"/>
    <w:rsid w:val="00D17EA9"/>
    <w:rsid w:val="00D20C60"/>
    <w:rsid w:val="00D40CDA"/>
    <w:rsid w:val="00D96508"/>
    <w:rsid w:val="00D970DF"/>
    <w:rsid w:val="00DB7F86"/>
    <w:rsid w:val="00E96E71"/>
    <w:rsid w:val="00EA4808"/>
    <w:rsid w:val="00F00D6E"/>
    <w:rsid w:val="00F05059"/>
    <w:rsid w:val="00F2338D"/>
    <w:rsid w:val="00F32680"/>
    <w:rsid w:val="00F5540A"/>
    <w:rsid w:val="00F57B1A"/>
    <w:rsid w:val="00F9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D8E8FA-5CF9-485E-958D-FE5099DD4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6B9"/>
    <w:pPr>
      <w:widowControl w:val="0"/>
      <w:jc w:val="both"/>
    </w:pPr>
    <w:rPr>
      <w:rFonts w:ascii="Times New Roman" w:eastAsia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6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26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26B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26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2020-11-26T05:48:00Z</dcterms:created>
  <dcterms:modified xsi:type="dcterms:W3CDTF">2020-11-26T05:49:00Z</dcterms:modified>
</cp:coreProperties>
</file>