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2CB" w:rsidRDefault="005D0268">
      <w:pPr>
        <w:spacing w:line="480" w:lineRule="auto"/>
        <w:rPr>
          <w:rFonts w:ascii="Arial" w:hAnsi="Arial" w:cs="Arial"/>
          <w:b/>
          <w:lang w:val="en-GB"/>
        </w:rPr>
      </w:pPr>
      <w:bookmarkStart w:id="0" w:name="OLE_LINK13"/>
      <w:bookmarkStart w:id="1" w:name="OLE_LINK16"/>
      <w:r>
        <w:rPr>
          <w:rFonts w:ascii="Arial" w:hAnsi="Arial" w:cs="Arial"/>
          <w:b/>
          <w:lang w:val="en-GB"/>
        </w:rPr>
        <w:t>Supplementary data</w:t>
      </w:r>
      <w:bookmarkEnd w:id="0"/>
      <w:bookmarkEnd w:id="1"/>
      <w:r>
        <w:rPr>
          <w:rFonts w:ascii="Arial" w:hAnsi="Arial" w:cs="Arial"/>
          <w:b/>
          <w:lang w:val="en-GB"/>
        </w:rPr>
        <w:t xml:space="preserve"> to:</w:t>
      </w:r>
    </w:p>
    <w:p w:rsidR="007552CB" w:rsidRDefault="007552CB">
      <w:pPr>
        <w:spacing w:line="480" w:lineRule="auto"/>
        <w:rPr>
          <w:b/>
        </w:rPr>
      </w:pPr>
    </w:p>
    <w:p w:rsidR="007552CB" w:rsidRDefault="005D0268">
      <w:pPr>
        <w:kinsoku w:val="0"/>
        <w:spacing w:line="480" w:lineRule="auto"/>
        <w:jc w:val="center"/>
        <w:rPr>
          <w:rFonts w:ascii="Arial" w:hAnsi="Arial" w:cs="Arial"/>
          <w:b/>
          <w:lang w:val="en-GB"/>
        </w:rPr>
      </w:pPr>
      <w:bookmarkStart w:id="2" w:name="OLE_LINK28"/>
      <w:bookmarkStart w:id="3" w:name="OLE_LINK27"/>
      <w:r>
        <w:rPr>
          <w:rFonts w:ascii="Arial" w:hAnsi="Arial" w:cs="Arial"/>
          <w:b/>
          <w:lang w:val="en-GB"/>
        </w:rPr>
        <w:t xml:space="preserve">Promotion of epithelial-mesenchymal transformation by hepatocellular </w:t>
      </w:r>
    </w:p>
    <w:p w:rsidR="007552CB" w:rsidRDefault="005D0268">
      <w:pPr>
        <w:kinsoku w:val="0"/>
        <w:spacing w:line="480" w:lineRule="auto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carcinoma-educated macrophages through Wnt2b/β-catenin/c-Myc</w:t>
      </w:r>
    </w:p>
    <w:p w:rsidR="007552CB" w:rsidRDefault="005D0268">
      <w:pPr>
        <w:kinsoku w:val="0"/>
        <w:spacing w:line="480" w:lineRule="auto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 signaling and reprogramming glycolysis</w:t>
      </w:r>
    </w:p>
    <w:p w:rsidR="007552CB" w:rsidRDefault="007552CB">
      <w:pPr>
        <w:kinsoku w:val="0"/>
        <w:spacing w:line="480" w:lineRule="auto"/>
        <w:jc w:val="center"/>
        <w:rPr>
          <w:rFonts w:ascii="Arial" w:hAnsi="Arial" w:cs="Arial"/>
          <w:b/>
          <w:bCs/>
          <w:lang w:val="en-US"/>
        </w:rPr>
      </w:pPr>
    </w:p>
    <w:bookmarkEnd w:id="2"/>
    <w:bookmarkEnd w:id="3"/>
    <w:p w:rsidR="007552CB" w:rsidRDefault="005D0268">
      <w:pPr>
        <w:spacing w:line="480" w:lineRule="auto"/>
        <w:jc w:val="center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 xml:space="preserve">Yu Jiang, </w:t>
      </w:r>
      <w:r>
        <w:rPr>
          <w:rFonts w:ascii="Arial" w:eastAsia="宋体" w:hAnsi="Arial" w:cs="Arial" w:hint="eastAsia"/>
          <w:sz w:val="22"/>
          <w:lang w:val="en-US" w:eastAsia="zh-CN"/>
        </w:rPr>
        <w:t xml:space="preserve">Qiuju Han, Huajun Zhao, </w:t>
      </w:r>
      <w:r>
        <w:rPr>
          <w:rFonts w:ascii="Arial" w:hAnsi="Arial" w:cs="Arial"/>
          <w:sz w:val="22"/>
          <w:lang w:val="en-GB"/>
        </w:rPr>
        <w:t>Jian Zhang</w:t>
      </w: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5D0268">
      <w:pPr>
        <w:spacing w:line="48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lastRenderedPageBreak/>
        <w:t>Supplementary table S1</w:t>
      </w:r>
    </w:p>
    <w:p w:rsidR="007552CB" w:rsidRDefault="005D0268">
      <w:pPr>
        <w:tabs>
          <w:tab w:val="left" w:pos="142"/>
        </w:tabs>
        <w:spacing w:line="480" w:lineRule="auto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</w:rPr>
        <w:t xml:space="preserve">Primer pairs used for </w:t>
      </w:r>
      <w:r>
        <w:rPr>
          <w:rFonts w:ascii="Arial" w:hAnsi="Arial" w:cs="Arial"/>
          <w:color w:val="000000"/>
          <w:lang w:val="en-GB"/>
        </w:rPr>
        <w:t>quantitative real-time PCR analyze.</w:t>
      </w:r>
    </w:p>
    <w:tbl>
      <w:tblPr>
        <w:tblStyle w:val="ab"/>
        <w:tblW w:w="851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3664"/>
        <w:gridCol w:w="3749"/>
      </w:tblGrid>
      <w:tr w:rsidR="007552CB">
        <w:tc>
          <w:tcPr>
            <w:tcW w:w="1177" w:type="dxa"/>
            <w:tcBorders>
              <w:right w:val="nil"/>
            </w:tcBorders>
          </w:tcPr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</w:rPr>
              <w:t>Gene</w:t>
            </w:r>
          </w:p>
        </w:tc>
        <w:tc>
          <w:tcPr>
            <w:tcW w:w="3656" w:type="dxa"/>
            <w:tcBorders>
              <w:left w:val="nil"/>
              <w:right w:val="nil"/>
            </w:tcBorders>
          </w:tcPr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</w:rPr>
              <w:t>Sense primer (5'-3')</w:t>
            </w:r>
          </w:p>
        </w:tc>
        <w:tc>
          <w:tcPr>
            <w:tcW w:w="3679" w:type="dxa"/>
            <w:tcBorders>
              <w:left w:val="nil"/>
            </w:tcBorders>
          </w:tcPr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</w:rPr>
              <w:t>Antisense primer (5'-3')</w:t>
            </w:r>
          </w:p>
        </w:tc>
      </w:tr>
      <w:tr w:rsidR="007552CB">
        <w:tc>
          <w:tcPr>
            <w:tcW w:w="1177" w:type="dxa"/>
            <w:tcBorders>
              <w:right w:val="nil"/>
            </w:tcBorders>
          </w:tcPr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IL-12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NOS2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TNF-α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IL-10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CCR2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MSR1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GLUT1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HK2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PGK1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PKM2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TPI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ALDOA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LDHA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LDHB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Wnt2b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CTNNB1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c-Myc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eastAsiaTheme="minorEastAsia" w:hAnsi="Arial" w:cs="Arial"/>
                <w:sz w:val="22"/>
                <w:lang w:val="en-GB" w:eastAsia="zh-CN"/>
              </w:rPr>
            </w:pPr>
            <w:r>
              <w:rPr>
                <w:rFonts w:ascii="Arial" w:eastAsiaTheme="minorEastAsia" w:hAnsi="Arial" w:cs="Arial" w:hint="eastAsia"/>
                <w:sz w:val="22"/>
                <w:highlight w:val="yellow"/>
                <w:lang w:val="en-GB" w:eastAsia="zh-CN"/>
              </w:rPr>
              <w:t>Axin-2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β-actin</w:t>
            </w:r>
          </w:p>
        </w:tc>
        <w:tc>
          <w:tcPr>
            <w:tcW w:w="3656" w:type="dxa"/>
            <w:tcBorders>
              <w:left w:val="nil"/>
              <w:right w:val="nil"/>
            </w:tcBorders>
          </w:tcPr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TGCCTTCACCACTCCCAAAACC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GCTCTACACCTCCAATGTGACC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CTCTTCTGCCTGCTGCACTTTG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TCCCTGTGAAAACAAGAGCA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CAGGTGACAGAGACTCTTGGGA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TGCACAAGGCAGCTCACTTTGG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TTGCAGGCTTCTCCAACTGGAC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AAGCCCTTTCTCCATCTCCT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CTTGGGACAGCAGCCTTAAT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ATGGCTGACACATTCCTGGAGC GGCGAAGTCGATATAGGCAG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GACACTCTACCAGAAGGCGGAT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CGCCGATTCCGGATCTCATT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GCGTGTGCTATCAGCATTCTG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TGGATGCCAAGGAGAAGAGGCT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CACAAGCAGAGTGCTGAAGGTG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CCTGGTGCTCCATGAGGAGAC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highlight w:val="yellow"/>
                <w:lang w:val="en-GB"/>
              </w:rPr>
              <w:t>ATTCGGCCACTGTTCAGACG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CACCATTGGCAATGAGCGGTTC</w:t>
            </w:r>
          </w:p>
        </w:tc>
        <w:tc>
          <w:tcPr>
            <w:tcW w:w="3679" w:type="dxa"/>
            <w:tcBorders>
              <w:left w:val="nil"/>
            </w:tcBorders>
          </w:tcPr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CAATCTCTTCAGAAGTGCAAGGG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CTGCCGAGATTTGAGCCTCATG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ATGGGCTACAGGCTTGTCACTC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ATAGAGTCGCCACCCTGATG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GGCAATCCTACAGCCAAGAGCT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GTGCAAGTGACTCCAGCATCTTC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CAGAACCAGGAGCACAGTGAAG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CTTCTTCACGGAGCTCAACC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CAAGCTGGACGTTAAAGGGA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CCTTCAACGTCTCCACTGATCG AGTTCTTCGTTGGGGGAAAC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GGTGGTAGTCTCGCCATTTGTC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AGCTGATCCTTTAGAGTTGCC A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TTCTCTGCACCAGATTGAGCC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GTACAGGAACCACTCACGCCAT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GATTCCTGAGAGTCCAAAGACAG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CAGACTCTGACCTTTTGCCAGG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highlight w:val="yellow"/>
                <w:lang w:val="en-GB"/>
              </w:rPr>
              <w:t>GACAACCAACTCACTGGCCTG</w:t>
            </w:r>
          </w:p>
          <w:p w:rsidR="007552CB" w:rsidRDefault="005D0268">
            <w:pPr>
              <w:tabs>
                <w:tab w:val="left" w:pos="142"/>
              </w:tabs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AGGTCTTTGCGGATGTCCACGT</w:t>
            </w:r>
          </w:p>
        </w:tc>
      </w:tr>
    </w:tbl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5D0268" w:rsidP="00944A9C">
      <w:pPr>
        <w:spacing w:line="480" w:lineRule="auto"/>
        <w:ind w:firstLineChars="450" w:firstLine="1080"/>
        <w:rPr>
          <w:rFonts w:ascii="Arial" w:hAnsi="Arial" w:cs="Arial"/>
          <w:iCs/>
          <w:color w:val="000000"/>
          <w:lang w:val="en-GB"/>
        </w:rPr>
      </w:pPr>
      <w:r>
        <w:rPr>
          <w:rFonts w:ascii="Arial" w:hAnsi="Arial" w:cs="Arial"/>
          <w:iCs/>
          <w:noProof/>
          <w:color w:val="000000"/>
          <w:lang w:val="en-US" w:eastAsia="zh-CN" w:bidi="ar-SA"/>
        </w:rPr>
        <w:drawing>
          <wp:inline distT="0" distB="0" distL="0" distR="0">
            <wp:extent cx="4893222" cy="2009589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74"/>
                    <a:stretch>
                      <a:fillRect/>
                    </a:stretch>
                  </pic:blipFill>
                  <pic:spPr>
                    <a:xfrm>
                      <a:off x="0" y="0"/>
                      <a:ext cx="4971532" cy="20417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2CB" w:rsidRDefault="005D0268">
      <w:pPr>
        <w:spacing w:line="480" w:lineRule="auto"/>
        <w:rPr>
          <w:rFonts w:ascii="Arial" w:hAnsi="Arial" w:cs="Arial"/>
          <w:iCs/>
          <w:color w:val="000000"/>
          <w:lang w:val="en-GB"/>
        </w:rPr>
      </w:pPr>
      <w:r>
        <w:rPr>
          <w:rFonts w:ascii="Arial" w:hAnsi="Arial" w:cs="Arial"/>
          <w:b/>
          <w:iCs/>
          <w:color w:val="000000"/>
          <w:lang w:val="en-GB"/>
        </w:rPr>
        <w:t xml:space="preserve">Supplementary Figure 1. HCC-TCM induces M2 polarization in human PBMC-M. </w:t>
      </w:r>
      <w:r>
        <w:rPr>
          <w:rFonts w:ascii="Arial" w:hAnsi="Arial" w:cs="Arial"/>
          <w:iCs/>
          <w:color w:val="000000"/>
          <w:lang w:val="en-GB"/>
        </w:rPr>
        <w:t>CD14</w:t>
      </w:r>
      <w:r w:rsidRPr="00944A9C">
        <w:rPr>
          <w:rFonts w:ascii="Arial" w:hAnsi="Arial" w:cs="Arial"/>
          <w:iCs/>
          <w:color w:val="000000"/>
          <w:vertAlign w:val="superscript"/>
          <w:lang w:val="en-GB"/>
        </w:rPr>
        <w:t>+</w:t>
      </w:r>
      <w:r>
        <w:rPr>
          <w:rFonts w:ascii="Arial" w:hAnsi="Arial" w:cs="Arial"/>
          <w:iCs/>
          <w:color w:val="000000"/>
          <w:lang w:val="en-GB"/>
        </w:rPr>
        <w:t xml:space="preserve"> cells were purified from the peripheral blood of healthy donors and induced with 100 ng/mL M-CSF for 5 days to obtain PBMC-derived macrophages (PBMC-M). PBMC-M were incubated with 50% Huh-7-TCM for 48 h. (A, B) The expression levels of CD163 and IL-12, IL-10 production on/in these cells were determined by flow cytometry and qPCR, respectively. qPCR, quantitative real-time PCR; PBMC, peripheral blood mononuclear cell; </w:t>
      </w:r>
      <w:r>
        <w:rPr>
          <w:rFonts w:ascii="Arial" w:hAnsi="Arial" w:cs="Arial"/>
          <w:color w:val="000000"/>
          <w:kern w:val="24"/>
          <w:lang w:val="en-GB"/>
        </w:rPr>
        <w:t xml:space="preserve">HCC, hepatocellular carcinoma; </w:t>
      </w:r>
      <w:r>
        <w:rPr>
          <w:rFonts w:ascii="Arial" w:hAnsi="Arial" w:cs="Arial"/>
          <w:iCs/>
          <w:color w:val="000000"/>
          <w:lang w:val="en-GB"/>
        </w:rPr>
        <w:t>TCM, tumour condition culture medium. Data are presented as means ± SEM from at least three independent experiments (*p &lt; 0.05).</w:t>
      </w: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iCs/>
          <w:color w:val="000000"/>
          <w:lang w:val="en-GB"/>
        </w:rPr>
      </w:pPr>
    </w:p>
    <w:p w:rsidR="007552CB" w:rsidRDefault="005D0268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  <w:r>
        <w:rPr>
          <w:rFonts w:ascii="Arial" w:hAnsi="Arial" w:cs="Arial"/>
          <w:iCs/>
          <w:noProof/>
          <w:color w:val="000000"/>
          <w:lang w:val="en-US" w:eastAsia="zh-CN" w:bidi="ar-SA"/>
        </w:rPr>
        <w:lastRenderedPageBreak/>
        <w:drawing>
          <wp:inline distT="0" distB="0" distL="0" distR="0">
            <wp:extent cx="6030595" cy="3202305"/>
            <wp:effectExtent l="0" t="0" r="825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2CB" w:rsidRDefault="005D0268" w:rsidP="004B1696">
      <w:pPr>
        <w:pStyle w:val="aa"/>
        <w:spacing w:before="0" w:beforeAutospacing="0" w:after="0" w:afterAutospacing="0" w:line="480" w:lineRule="auto"/>
        <w:rPr>
          <w:lang w:val="en-GB"/>
        </w:rPr>
      </w:pPr>
      <w:r w:rsidRPr="004C05C9">
        <w:rPr>
          <w:rFonts w:ascii="Arial" w:hAnsi="Arial" w:cs="Arial"/>
          <w:b/>
          <w:bCs/>
          <w:color w:val="000000"/>
          <w:kern w:val="24"/>
          <w:highlight w:val="yellow"/>
          <w:lang w:val="en-GB"/>
        </w:rPr>
        <w:t xml:space="preserve">Supplementary Figure </w:t>
      </w:r>
      <w:r w:rsidRPr="004C05C9">
        <w:rPr>
          <w:rFonts w:ascii="Arial" w:hAnsi="Arial" w:cs="Arial"/>
          <w:b/>
          <w:color w:val="000000"/>
          <w:kern w:val="24"/>
          <w:highlight w:val="yellow"/>
          <w:lang w:val="en-GB"/>
        </w:rPr>
        <w:t>2.</w:t>
      </w:r>
      <w:bookmarkStart w:id="4" w:name="_GoBack"/>
      <w:bookmarkEnd w:id="4"/>
      <w:r>
        <w:rPr>
          <w:rFonts w:ascii="Arial" w:hAnsi="Arial" w:cs="Arial"/>
          <w:b/>
          <w:color w:val="000000"/>
          <w:kern w:val="24"/>
          <w:lang w:val="en-GB"/>
        </w:rPr>
        <w:t xml:space="preserve"> </w:t>
      </w:r>
      <w:r>
        <w:rPr>
          <w:rFonts w:ascii="Arial" w:hAnsi="Arial" w:cs="Arial"/>
          <w:b/>
          <w:bCs/>
          <w:color w:val="000000"/>
          <w:kern w:val="24"/>
          <w:highlight w:val="yellow"/>
          <w:lang w:val="en-GB"/>
        </w:rPr>
        <w:t xml:space="preserve">HCC-TCM </w:t>
      </w:r>
      <w:r>
        <w:rPr>
          <w:rFonts w:ascii="Arial" w:hAnsi="Arial" w:cs="Arial"/>
          <w:b/>
          <w:color w:val="000000"/>
          <w:kern w:val="24"/>
          <w:highlight w:val="yellow"/>
          <w:lang w:val="en-GB"/>
        </w:rPr>
        <w:t xml:space="preserve">activates </w:t>
      </w:r>
      <w:r>
        <w:rPr>
          <w:rFonts w:ascii="Arial" w:hAnsi="Arial" w:cs="Arial"/>
          <w:b/>
          <w:bCs/>
          <w:color w:val="000000"/>
          <w:kern w:val="24"/>
          <w:highlight w:val="yellow"/>
          <w:lang w:val="en-GB"/>
        </w:rPr>
        <w:t>Wnt2b/β-catenin</w:t>
      </w:r>
      <w:r>
        <w:rPr>
          <w:rFonts w:ascii="Arial" w:hAnsi="Arial" w:cs="Arial"/>
          <w:b/>
          <w:color w:val="000000"/>
          <w:kern w:val="24"/>
          <w:highlight w:val="yellow"/>
          <w:lang w:val="en-GB"/>
        </w:rPr>
        <w:t xml:space="preserve"> </w:t>
      </w:r>
      <w:r>
        <w:rPr>
          <w:rFonts w:ascii="Arial" w:hAnsi="Arial" w:cs="Arial"/>
          <w:b/>
          <w:bCs/>
          <w:color w:val="000000"/>
          <w:kern w:val="24"/>
          <w:highlight w:val="yellow"/>
          <w:lang w:val="en-GB"/>
        </w:rPr>
        <w:t>signalling</w:t>
      </w:r>
      <w:r>
        <w:rPr>
          <w:rFonts w:ascii="Arial" w:hAnsi="Arial" w:cs="Arial"/>
          <w:b/>
          <w:color w:val="000000"/>
          <w:kern w:val="24"/>
          <w:highlight w:val="yellow"/>
          <w:lang w:val="en-GB"/>
        </w:rPr>
        <w:t xml:space="preserve"> in THP-1-M and human </w:t>
      </w:r>
      <w:r>
        <w:rPr>
          <w:rFonts w:ascii="Arial" w:hAnsi="Arial" w:cs="Arial"/>
          <w:b/>
          <w:bCs/>
          <w:color w:val="000000"/>
          <w:kern w:val="24"/>
          <w:highlight w:val="yellow"/>
          <w:lang w:val="en-GB"/>
        </w:rPr>
        <w:t xml:space="preserve">PBMC-M. </w:t>
      </w:r>
      <w:r>
        <w:rPr>
          <w:rFonts w:ascii="Arial" w:hAnsi="Arial" w:cs="Arial"/>
          <w:bCs/>
          <w:color w:val="000000"/>
          <w:kern w:val="24"/>
          <w:highlight w:val="yellow"/>
          <w:lang w:val="en-GB"/>
        </w:rPr>
        <w:t xml:space="preserve">(A, B) </w:t>
      </w:r>
      <w:r>
        <w:rPr>
          <w:rFonts w:ascii="Arial" w:hAnsi="Arial" w:cs="Arial"/>
          <w:color w:val="000000"/>
          <w:highlight w:val="yellow"/>
          <w:lang w:val="en-GB"/>
        </w:rPr>
        <w:t>THP-1-M infected with control vector or sh-Wnt2b vector were acquir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ed</w:t>
      </w:r>
      <w:r>
        <w:rPr>
          <w:rFonts w:ascii="Arial" w:hAnsi="Arial" w:cs="Arial"/>
          <w:b/>
          <w:bCs/>
          <w:color w:val="000000"/>
          <w:kern w:val="24"/>
          <w:highlight w:val="yellow"/>
          <w:lang w:val="en-GB"/>
        </w:rPr>
        <w:t xml:space="preserve">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as described in the Materials and Methods, and then incubated with 50% HCC-TCM for 48 h. The cytosolic and nuclear proteins in these HCC-TAMs were extracted</w:t>
      </w:r>
      <w:r>
        <w:rPr>
          <w:rFonts w:ascii="Arial" w:eastAsia="宋体" w:hAnsi="Arial" w:cs="Arial" w:hint="eastAsia"/>
          <w:color w:val="000000"/>
          <w:kern w:val="24"/>
          <w:highlight w:val="yellow"/>
          <w:lang w:val="en-US" w:eastAsia="zh-CN"/>
        </w:rPr>
        <w:t>,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 xml:space="preserve"> and β-atenin levels were determined by western blotting.</w:t>
      </w:r>
      <w:r>
        <w:rPr>
          <w:rFonts w:ascii="Arial" w:hAnsi="Arial" w:cs="Arial"/>
          <w:color w:val="000000"/>
          <w:kern w:val="24"/>
          <w:vertAlign w:val="superscript"/>
          <w:lang w:val="en-GB"/>
        </w:rPr>
        <w:t xml:space="preserve"> </w:t>
      </w:r>
      <w:r>
        <w:rPr>
          <w:rFonts w:ascii="Arial" w:hAnsi="Arial" w:cs="Arial"/>
          <w:color w:val="000000"/>
          <w:kern w:val="24"/>
          <w:lang w:val="en-GB"/>
        </w:rPr>
        <w:t>CD14</w:t>
      </w:r>
      <w:r>
        <w:rPr>
          <w:rFonts w:ascii="Arial" w:hAnsi="Arial" w:cs="Arial"/>
          <w:color w:val="000000"/>
          <w:kern w:val="24"/>
          <w:vertAlign w:val="superscript"/>
          <w:lang w:val="en-GB"/>
        </w:rPr>
        <w:t>+</w:t>
      </w:r>
      <w:r>
        <w:rPr>
          <w:rFonts w:ascii="Arial" w:hAnsi="Arial" w:cs="Arial"/>
          <w:color w:val="000000"/>
          <w:kern w:val="24"/>
          <w:lang w:val="en-GB"/>
        </w:rPr>
        <w:t xml:space="preserve"> cells were purified from the peripheral blood of healthy donors and treated with 100 ng/mL M-CSF for 5 days to obtain the PBMC-derived macrophages (PBMC-M). PBMC-M were incubated with 50% Huh-7-TCM for 48 h. The expression levels of </w:t>
      </w:r>
      <w:r w:rsidRPr="004670BA">
        <w:rPr>
          <w:rFonts w:ascii="Arial" w:hAnsi="Arial" w:cs="Arial"/>
          <w:color w:val="000000"/>
          <w:kern w:val="24"/>
          <w:highlight w:val="yellow"/>
          <w:lang w:val="en-GB"/>
        </w:rPr>
        <w:t>Wnt2b (C), CTNNB1 (D) and A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xin-2 (E)</w:t>
      </w:r>
      <w:r>
        <w:rPr>
          <w:rFonts w:ascii="Arial" w:hAnsi="Arial" w:cs="Arial"/>
          <w:color w:val="000000"/>
          <w:kern w:val="24"/>
          <w:lang w:val="en-GB"/>
        </w:rPr>
        <w:t xml:space="preserve"> in these cells were determined by qPCR. One representative of at least three independent experiments is shown. qPCR, quantitative real-time PCR; PBMC, peripheral blood mononuclear cell; HCC, hepatocellular carcinoma; TCM, tumour condition culture medium; TAMs, tumour-associated macrophages; 7721, SMMC-7721. Data are presented as mean ± SEM from at least three independent experiments (*p &lt; 0.05). </w:t>
      </w:r>
    </w:p>
    <w:p w:rsidR="007552CB" w:rsidRDefault="007D3DD3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  <w:r>
        <w:rPr>
          <w:rFonts w:ascii="Arial" w:hAnsi="Arial" w:cs="Arial"/>
          <w:iCs/>
          <w:noProof/>
          <w:color w:val="000000"/>
          <w:lang w:val="en-US" w:eastAsia="zh-CN" w:bidi="ar-SA"/>
        </w:rPr>
        <w:lastRenderedPageBreak/>
        <w:drawing>
          <wp:inline distT="0" distB="0" distL="0" distR="0">
            <wp:extent cx="5066053" cy="3556635"/>
            <wp:effectExtent l="0" t="0" r="127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3 -0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076" cy="356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2CB" w:rsidRDefault="005D0268">
      <w:pPr>
        <w:spacing w:line="480" w:lineRule="auto"/>
        <w:rPr>
          <w:rFonts w:ascii="Arial" w:hAnsi="Arial" w:cs="Arial"/>
          <w:b/>
          <w:bCs/>
          <w:color w:val="000000"/>
          <w:kern w:val="24"/>
          <w:lang w:val="en-GB"/>
        </w:rPr>
      </w:pPr>
      <w:r>
        <w:rPr>
          <w:rFonts w:ascii="Arial" w:hAnsi="Arial" w:cs="Arial"/>
          <w:b/>
          <w:iCs/>
          <w:color w:val="000000"/>
          <w:highlight w:val="yellow"/>
          <w:lang w:val="en-GB"/>
        </w:rPr>
        <w:t xml:space="preserve">Supplementary Figure 3. </w:t>
      </w:r>
      <w:r>
        <w:rPr>
          <w:rFonts w:ascii="Arial" w:hAnsi="Arial" w:cs="Arial"/>
          <w:b/>
          <w:bCs/>
          <w:color w:val="000000"/>
          <w:kern w:val="24"/>
          <w:highlight w:val="yellow"/>
          <w:lang w:val="en-GB"/>
        </w:rPr>
        <w:t xml:space="preserve">The activation of Wnt2b/β-catenin signalling in TAMs promotes EMT of HCC. </w:t>
      </w:r>
      <w:r>
        <w:rPr>
          <w:rFonts w:ascii="Arial" w:hAnsi="Arial" w:cs="Arial"/>
          <w:color w:val="000000"/>
          <w:highlight w:val="yellow"/>
          <w:lang w:val="en-GB"/>
        </w:rPr>
        <w:t>(</w:t>
      </w:r>
      <w:r w:rsidR="00302AB8">
        <w:rPr>
          <w:rFonts w:ascii="Arial" w:hAnsi="Arial" w:cs="Arial"/>
          <w:color w:val="000000"/>
          <w:highlight w:val="yellow"/>
          <w:lang w:val="en-GB"/>
        </w:rPr>
        <w:t>A</w:t>
      </w:r>
      <w:r>
        <w:rPr>
          <w:rFonts w:ascii="Arial" w:hAnsi="Arial" w:cs="Arial"/>
          <w:color w:val="000000"/>
          <w:highlight w:val="yellow"/>
          <w:lang w:val="en-GB"/>
        </w:rPr>
        <w:t xml:space="preserve">) THP-1 derived macrophages (THP-1-M) were transfected with control vectors or Wnt2B-V5 (over-Wnt2b) vectors for 48 h. These macrophages were incubated with RPMI 1640 for an additional 24 h to obtain the condition medium (CM). HCC cells were cultured in the presence of indicated CM for 48 h. The expression levels of ZEB1 and Slug were determined by western blotting.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(</w:t>
      </w:r>
      <w:r w:rsidR="00302AB8">
        <w:rPr>
          <w:rFonts w:ascii="Arial" w:hAnsi="Arial" w:cs="Arial"/>
          <w:color w:val="000000"/>
          <w:kern w:val="24"/>
          <w:highlight w:val="yellow"/>
          <w:lang w:val="en-GB"/>
        </w:rPr>
        <w:t>B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 xml:space="preserve">, </w:t>
      </w:r>
      <w:r w:rsidR="00302AB8">
        <w:rPr>
          <w:rFonts w:ascii="Arial" w:hAnsi="Arial" w:cs="Arial"/>
          <w:color w:val="000000"/>
          <w:kern w:val="24"/>
          <w:highlight w:val="yellow"/>
          <w:lang w:val="en-GB"/>
        </w:rPr>
        <w:t>C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) THP-1-M infected with control vectors, sh-Wnt2b or sh-CTNNB1 (β-catenin) vectors were acquired</w:t>
      </w:r>
      <w:r>
        <w:rPr>
          <w:rFonts w:ascii="Arial" w:hAnsi="Arial" w:cs="Arial"/>
          <w:b/>
          <w:bCs/>
          <w:color w:val="000000"/>
          <w:kern w:val="24"/>
          <w:highlight w:val="yellow"/>
          <w:lang w:val="en-GB"/>
        </w:rPr>
        <w:t xml:space="preserve">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 xml:space="preserve">as described in Materials and Methods. These macrophages were incubated with 50% HCC-TCM for 48 h for the preparation of the different TAMs. These TAMs were incubated with RPMI 1640 for another 24 h to obtain the CM. HCC cells were cultured in the presence of the indicated CM for 48 h. The expression levels of </w:t>
      </w:r>
      <w:r>
        <w:rPr>
          <w:rFonts w:ascii="Arial" w:hAnsi="Arial" w:cs="Arial"/>
          <w:color w:val="000000"/>
          <w:highlight w:val="yellow"/>
          <w:lang w:val="en-GB"/>
        </w:rPr>
        <w:t>ZEB1 and Slug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 xml:space="preserve"> were determined by western blotting.</w:t>
      </w:r>
      <w:r w:rsidR="00302AB8" w:rsidRPr="00302AB8">
        <w:rPr>
          <w:rFonts w:ascii="Arial" w:hAnsi="Arial" w:cs="Arial"/>
          <w:bCs/>
          <w:color w:val="000000"/>
          <w:kern w:val="24"/>
          <w:highlight w:val="yellow"/>
          <w:lang w:val="en-GB"/>
        </w:rPr>
        <w:t xml:space="preserve"> </w:t>
      </w:r>
      <w:r w:rsidR="00302AB8">
        <w:rPr>
          <w:rFonts w:ascii="Arial" w:hAnsi="Arial" w:cs="Arial"/>
          <w:bCs/>
          <w:color w:val="000000"/>
          <w:kern w:val="24"/>
          <w:highlight w:val="yellow"/>
          <w:lang w:val="en-GB"/>
        </w:rPr>
        <w:t xml:space="preserve">(D-F) Statistical analysis of the </w:t>
      </w:r>
      <w:r w:rsidR="00302AB8">
        <w:rPr>
          <w:rFonts w:ascii="Arial" w:hAnsi="Arial" w:cs="Arial"/>
          <w:color w:val="000000"/>
          <w:kern w:val="24"/>
          <w:highlight w:val="yellow"/>
          <w:lang w:val="en-GB"/>
        </w:rPr>
        <w:t>E-cadhein/N-cadherin ratio</w:t>
      </w:r>
      <w:r w:rsidR="00302AB8">
        <w:rPr>
          <w:rFonts w:ascii="Arial" w:hAnsi="Arial" w:cs="Arial"/>
          <w:bCs/>
          <w:color w:val="000000"/>
          <w:kern w:val="24"/>
          <w:highlight w:val="yellow"/>
          <w:lang w:val="en-GB"/>
        </w:rPr>
        <w:t xml:space="preserve"> </w:t>
      </w:r>
      <w:r w:rsidR="00302AB8">
        <w:rPr>
          <w:rFonts w:ascii="Arial" w:hAnsi="Arial" w:cs="Arial"/>
          <w:color w:val="000000"/>
          <w:kern w:val="24"/>
          <w:highlight w:val="yellow"/>
          <w:lang w:val="en-GB"/>
        </w:rPr>
        <w:t xml:space="preserve">in Huh-7 cells from </w:t>
      </w:r>
      <w:r w:rsidR="00C432B6">
        <w:rPr>
          <w:rFonts w:ascii="Arial" w:hAnsi="Arial" w:cs="Arial"/>
          <w:color w:val="000000"/>
          <w:kern w:val="24"/>
          <w:highlight w:val="yellow"/>
          <w:lang w:val="en-GB"/>
        </w:rPr>
        <w:t>F</w:t>
      </w:r>
      <w:r w:rsidR="00302AB8">
        <w:rPr>
          <w:rFonts w:ascii="Arial" w:hAnsi="Arial" w:cs="Arial"/>
          <w:color w:val="000000"/>
          <w:kern w:val="24"/>
          <w:highlight w:val="yellow"/>
          <w:lang w:val="en-GB"/>
        </w:rPr>
        <w:t>igure 3A, B, C</w:t>
      </w:r>
      <w:r w:rsidR="00302AB8">
        <w:rPr>
          <w:rFonts w:ascii="Arial" w:hAnsi="Arial" w:cs="Arial"/>
          <w:bCs/>
          <w:color w:val="000000"/>
          <w:kern w:val="24"/>
          <w:highlight w:val="yellow"/>
          <w:lang w:val="en-GB"/>
        </w:rPr>
        <w:t xml:space="preserve"> </w:t>
      </w:r>
      <w:r w:rsidR="00E550D1">
        <w:rPr>
          <w:rFonts w:ascii="Arial" w:hAnsi="Arial" w:cs="Arial"/>
          <w:bCs/>
          <w:color w:val="000000"/>
          <w:kern w:val="24"/>
          <w:highlight w:val="yellow"/>
          <w:lang w:val="en-GB"/>
        </w:rPr>
        <w:t>was</w:t>
      </w:r>
      <w:r w:rsidR="00302AB8">
        <w:rPr>
          <w:rFonts w:ascii="Arial" w:hAnsi="Arial" w:cs="Arial"/>
          <w:bCs/>
          <w:color w:val="000000"/>
          <w:kern w:val="24"/>
          <w:highlight w:val="yellow"/>
          <w:lang w:val="en-GB"/>
        </w:rPr>
        <w:t xml:space="preserve"> shown.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 xml:space="preserve">One representative of at least three independent experiments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lastRenderedPageBreak/>
        <w:t>is shown. TAMs, tumour-associated macrophages. Data are presented as mean ± SEM from at least three independent experiments (*p &lt; 0.05).</w:t>
      </w: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5D0268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  <w:r>
        <w:rPr>
          <w:rFonts w:ascii="Arial" w:hAnsi="Arial" w:cs="Arial"/>
          <w:iCs/>
          <w:noProof/>
          <w:color w:val="000000"/>
          <w:lang w:val="en-US" w:eastAsia="zh-CN" w:bidi="ar-SA"/>
        </w:rPr>
        <w:lastRenderedPageBreak/>
        <w:drawing>
          <wp:inline distT="0" distB="0" distL="0" distR="0">
            <wp:extent cx="4706620" cy="187071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7174" cy="1874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2CB" w:rsidRDefault="005D0268">
      <w:pPr>
        <w:spacing w:line="480" w:lineRule="auto"/>
        <w:rPr>
          <w:rFonts w:ascii="Arial" w:hAnsi="Arial" w:cs="Arial"/>
          <w:iCs/>
          <w:color w:val="000000"/>
          <w:lang w:val="en-GB"/>
        </w:rPr>
      </w:pPr>
      <w:r>
        <w:rPr>
          <w:rFonts w:ascii="Arial" w:hAnsi="Arial" w:cs="Arial"/>
          <w:b/>
          <w:iCs/>
          <w:color w:val="000000"/>
          <w:highlight w:val="yellow"/>
          <w:lang w:val="en-GB"/>
        </w:rPr>
        <w:t xml:space="preserve">Supplementary Figure 4. </w:t>
      </w:r>
      <w:r>
        <w:rPr>
          <w:rFonts w:ascii="Arial" w:hAnsi="Arial" w:cs="Arial"/>
          <w:b/>
          <w:bCs/>
          <w:color w:val="000000"/>
          <w:kern w:val="24"/>
          <w:highlight w:val="yellow"/>
          <w:lang w:val="en-GB"/>
        </w:rPr>
        <w:t>2DG inhibits TCM-induced EMT-promoting effects of TAMs.</w:t>
      </w:r>
      <w:r>
        <w:rPr>
          <w:rFonts w:ascii="Arial" w:hAnsi="Arial" w:cs="Arial"/>
          <w:iCs/>
          <w:color w:val="000000"/>
          <w:highlight w:val="yellow"/>
          <w:lang w:val="en-GB"/>
        </w:rPr>
        <w:t xml:space="preserve"> (A) THP-1-M were treated with Huh-7-TCM for 20 h in the presence or absence of 2DG (12.5 mM) to obtain different TAMs. These TAMs were incubated with RPMI 1640 for an additional 24 h to obtain the condition medium (CM). Huh-7 cells were cultured in the presence of indicated CM for 48 h. The expression levels of ZEB1 were determined by western blotting. (B) </w:t>
      </w:r>
      <w:r>
        <w:rPr>
          <w:rFonts w:ascii="Arial" w:hAnsi="Arial" w:cs="Arial"/>
          <w:bCs/>
          <w:color w:val="000000"/>
          <w:kern w:val="24"/>
          <w:highlight w:val="yellow"/>
          <w:lang w:val="en-GB"/>
        </w:rPr>
        <w:t xml:space="preserve">Statistical analysis of the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E-cadhein/N-cadherin ratio</w:t>
      </w:r>
      <w:r>
        <w:rPr>
          <w:rFonts w:ascii="Arial" w:hAnsi="Arial" w:cs="Arial"/>
          <w:bCs/>
          <w:color w:val="000000"/>
          <w:kern w:val="24"/>
          <w:highlight w:val="yellow"/>
          <w:lang w:val="en-GB"/>
        </w:rPr>
        <w:t xml:space="preserve">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 xml:space="preserve">in Huh-7 cells from </w:t>
      </w:r>
      <w:r>
        <w:rPr>
          <w:rFonts w:ascii="Arial" w:eastAsia="宋体" w:hAnsi="Arial" w:cs="Arial" w:hint="eastAsia"/>
          <w:color w:val="000000"/>
          <w:kern w:val="24"/>
          <w:highlight w:val="yellow"/>
          <w:lang w:val="en-US" w:eastAsia="zh-CN"/>
        </w:rPr>
        <w:t>F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igure 4F</w:t>
      </w:r>
      <w:r>
        <w:rPr>
          <w:rFonts w:ascii="Arial" w:hAnsi="Arial" w:cs="Arial"/>
          <w:bCs/>
          <w:color w:val="000000"/>
          <w:kern w:val="24"/>
          <w:highlight w:val="yellow"/>
          <w:lang w:val="en-GB"/>
        </w:rPr>
        <w:t xml:space="preserve"> was shown.</w:t>
      </w:r>
      <w:r>
        <w:rPr>
          <w:rFonts w:ascii="Arial" w:hAnsi="Arial" w:cs="Arial"/>
          <w:iCs/>
          <w:color w:val="000000"/>
          <w:highlight w:val="yellow"/>
          <w:lang w:val="en-GB"/>
        </w:rPr>
        <w:t xml:space="preserve">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 xml:space="preserve">One representative of at least three independent experiments is shown. </w:t>
      </w:r>
      <w:r>
        <w:rPr>
          <w:rFonts w:ascii="Arial" w:hAnsi="Arial" w:cs="Arial"/>
          <w:iCs/>
          <w:color w:val="000000"/>
          <w:highlight w:val="yellow"/>
          <w:lang w:val="en-GB"/>
        </w:rPr>
        <w:t xml:space="preserve">2DG, 2-deoxy-D-glucose;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TAMs, tumour-associated macrophages.</w:t>
      </w:r>
      <w:r>
        <w:rPr>
          <w:highlight w:val="yellow"/>
        </w:rPr>
        <w:t xml:space="preserve">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Data are presented as mean ± SEM from at least three independent experiments (*p &lt; 0.05).</w:t>
      </w: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7552CB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</w:p>
    <w:p w:rsidR="007552CB" w:rsidRDefault="0020512C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  <w:r>
        <w:rPr>
          <w:rFonts w:ascii="Arial" w:hAnsi="Arial" w:cs="Arial"/>
          <w:iCs/>
          <w:noProof/>
          <w:color w:val="000000"/>
          <w:lang w:val="en-US" w:eastAsia="zh-CN" w:bidi="ar-SA"/>
        </w:rPr>
        <w:lastRenderedPageBreak/>
        <w:drawing>
          <wp:inline distT="0" distB="0" distL="0" distR="0">
            <wp:extent cx="5894832" cy="325831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5-01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4832" cy="3258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2CB" w:rsidRDefault="005D0268">
      <w:pPr>
        <w:pStyle w:val="aa"/>
        <w:spacing w:before="0" w:beforeAutospacing="0" w:after="0" w:afterAutospacing="0" w:line="48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iCs/>
          <w:color w:val="000000"/>
          <w:highlight w:val="yellow"/>
          <w:lang w:val="en-GB"/>
        </w:rPr>
        <w:t xml:space="preserve">Supplementary Figure 5. </w:t>
      </w:r>
      <w:r>
        <w:rPr>
          <w:rFonts w:ascii="Arial" w:hAnsi="Arial" w:cs="Arial"/>
          <w:b/>
          <w:bCs/>
          <w:color w:val="000000"/>
          <w:kern w:val="24"/>
          <w:highlight w:val="yellow"/>
          <w:lang w:val="en-GB"/>
        </w:rPr>
        <w:t xml:space="preserve">CpG ODN inhibits the activation of Wnt2b/β-catenin signalling in HCC-TAMs and block its EMT promoting effect. </w:t>
      </w:r>
      <w:r>
        <w:rPr>
          <w:rFonts w:ascii="Arial" w:hAnsi="Arial" w:cs="Arial"/>
          <w:bCs/>
          <w:color w:val="000000"/>
          <w:kern w:val="24"/>
          <w:highlight w:val="yellow"/>
          <w:lang w:val="en-GB"/>
        </w:rPr>
        <w:t xml:space="preserve">(A, B)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THP-1 derived macrophages (THP-1-M) were treated with HCC-TCM for 48 h in the presence or absence of CpG ODN</w:t>
      </w:r>
      <w:r w:rsidRPr="00B05260">
        <w:rPr>
          <w:rFonts w:ascii="Arial" w:hAnsi="Arial" w:cs="Arial"/>
          <w:color w:val="000000"/>
          <w:kern w:val="24"/>
          <w:highlight w:val="yellow"/>
          <w:lang w:val="en-GB"/>
        </w:rPr>
        <w:t xml:space="preserve"> (2 </w:t>
      </w:r>
      <w:r w:rsidRPr="00B05260">
        <w:rPr>
          <w:rFonts w:ascii="Arial" w:hAnsi="Arial" w:cs="Arial"/>
          <w:color w:val="000000"/>
          <w:highlight w:val="yellow"/>
          <w:lang w:val="en-GB"/>
        </w:rPr>
        <w:t>µ</w:t>
      </w:r>
      <w:r w:rsidRPr="00B05260">
        <w:rPr>
          <w:rFonts w:ascii="Arial" w:hAnsi="Arial" w:cs="Arial"/>
          <w:color w:val="000000"/>
          <w:kern w:val="24"/>
          <w:highlight w:val="yellow"/>
          <w:lang w:val="en-GB"/>
        </w:rPr>
        <w:t xml:space="preserve">g/mL).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The cytosolic and nuclear proteins in these HCC-TAMs were extracted and β-atenin levels were determined by western blotting.</w:t>
      </w:r>
      <w:r>
        <w:rPr>
          <w:rFonts w:ascii="Arial" w:hAnsi="Arial" w:cs="Arial"/>
          <w:color w:val="000000"/>
          <w:kern w:val="24"/>
          <w:lang w:val="en-GB"/>
        </w:rPr>
        <w:t xml:space="preserve">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 xml:space="preserve">(C) The expression levels of Axin-2 in these TAMs were determined by qPCR. (D) These TAMs were incubated with RPMI 1640 for another 24 h to obtain the condition medium (CM). Huh-7 cells were cultured in the presence of indicated CM for 48 h. The expression levels of ZEB1 was determined by western blotting. </w:t>
      </w:r>
      <w:r>
        <w:rPr>
          <w:rFonts w:ascii="Arial" w:hAnsi="Arial" w:cs="Arial"/>
          <w:iCs/>
          <w:color w:val="000000"/>
          <w:highlight w:val="yellow"/>
          <w:lang w:val="en-GB"/>
        </w:rPr>
        <w:t xml:space="preserve">(E) </w:t>
      </w:r>
      <w:r>
        <w:rPr>
          <w:rFonts w:ascii="Arial" w:hAnsi="Arial" w:cs="Arial"/>
          <w:bCs/>
          <w:color w:val="000000"/>
          <w:kern w:val="24"/>
          <w:highlight w:val="yellow"/>
          <w:lang w:val="en-GB"/>
        </w:rPr>
        <w:t xml:space="preserve">Statistical analysis of the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E-cadhein/N-cadherin ratio</w:t>
      </w:r>
      <w:r>
        <w:rPr>
          <w:rFonts w:ascii="Arial" w:hAnsi="Arial" w:cs="Arial"/>
          <w:bCs/>
          <w:color w:val="000000"/>
          <w:kern w:val="24"/>
          <w:highlight w:val="yellow"/>
          <w:lang w:val="en-GB"/>
        </w:rPr>
        <w:t xml:space="preserve">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 xml:space="preserve">in Huh-7 cells from </w:t>
      </w:r>
      <w:r>
        <w:rPr>
          <w:rFonts w:ascii="Arial" w:eastAsia="宋体" w:hAnsi="Arial" w:cs="Arial" w:hint="eastAsia"/>
          <w:color w:val="000000"/>
          <w:kern w:val="24"/>
          <w:highlight w:val="yellow"/>
          <w:lang w:val="en-US" w:eastAsia="zh-CN"/>
        </w:rPr>
        <w:t>F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igure 5F</w:t>
      </w:r>
      <w:r>
        <w:rPr>
          <w:rFonts w:ascii="Arial" w:hAnsi="Arial" w:cs="Arial"/>
          <w:bCs/>
          <w:color w:val="000000"/>
          <w:kern w:val="24"/>
          <w:highlight w:val="yellow"/>
          <w:lang w:val="en-GB"/>
        </w:rPr>
        <w:t xml:space="preserve"> was shown.</w:t>
      </w:r>
      <w:r>
        <w:rPr>
          <w:rFonts w:ascii="Arial" w:hAnsi="Arial" w:cs="Arial"/>
          <w:iCs/>
          <w:color w:val="000000"/>
          <w:highlight w:val="yellow"/>
          <w:lang w:val="en-GB"/>
        </w:rPr>
        <w:t xml:space="preserve">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One representative of at least three independent experiments is shown. qPCR, quantitative real-time PCR; HCC, hepatocellular carcinoma; TCM, tumour condition culture medium; TAMs, tumour-associated macrophages; 7721, SMMC-7721. Data are presented as means ± SEM from at least three independent experiments (**p &lt; 0.01).</w:t>
      </w:r>
      <w:r>
        <w:rPr>
          <w:rFonts w:ascii="Arial" w:hAnsi="Arial" w:cs="Arial"/>
          <w:color w:val="000000"/>
          <w:kern w:val="24"/>
          <w:lang w:val="en-GB"/>
        </w:rPr>
        <w:t xml:space="preserve"> </w:t>
      </w:r>
    </w:p>
    <w:p w:rsidR="007552CB" w:rsidRDefault="005D0268">
      <w:pPr>
        <w:spacing w:line="480" w:lineRule="auto"/>
        <w:jc w:val="center"/>
        <w:rPr>
          <w:rFonts w:ascii="Arial" w:hAnsi="Arial" w:cs="Arial"/>
          <w:iCs/>
          <w:color w:val="000000"/>
          <w:lang w:val="en-GB"/>
        </w:rPr>
      </w:pPr>
      <w:r>
        <w:rPr>
          <w:rFonts w:ascii="Arial" w:hAnsi="Arial" w:cs="Arial"/>
          <w:iCs/>
          <w:noProof/>
          <w:color w:val="000000"/>
          <w:lang w:val="en-US" w:eastAsia="zh-CN" w:bidi="ar-SA"/>
        </w:rPr>
        <w:lastRenderedPageBreak/>
        <w:drawing>
          <wp:inline distT="0" distB="0" distL="0" distR="0">
            <wp:extent cx="5583555" cy="391033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36" cy="391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2CB" w:rsidRDefault="005D0268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  <w:r w:rsidRPr="001645C6">
        <w:rPr>
          <w:rFonts w:ascii="Arial" w:hAnsi="Arial" w:cs="Arial"/>
          <w:b/>
          <w:iCs/>
          <w:color w:val="000000"/>
          <w:highlight w:val="yellow"/>
          <w:lang w:val="en-GB"/>
        </w:rPr>
        <w:t>Supplementary Figure 6.</w:t>
      </w:r>
      <w:r>
        <w:rPr>
          <w:rFonts w:ascii="Arial" w:hAnsi="Arial" w:cs="Arial"/>
          <w:b/>
          <w:iCs/>
          <w:color w:val="000000"/>
          <w:lang w:val="en-GB"/>
        </w:rPr>
        <w:t xml:space="preserve"> </w:t>
      </w:r>
      <w:r>
        <w:rPr>
          <w:rFonts w:ascii="Arial" w:hAnsi="Arial" w:cs="Arial"/>
          <w:b/>
          <w:color w:val="000000"/>
          <w:kern w:val="24"/>
          <w:lang w:val="en-GB"/>
        </w:rPr>
        <w:t>CpG-ODN blocks M2 polarization, downregulates the expression of Wnt2b/β-catenin and suppresses the glycolysis of HCC-TAMs derived from human PBMC-M via c-Myc.</w:t>
      </w:r>
      <w:r>
        <w:rPr>
          <w:rFonts w:ascii="Arial" w:hAnsi="Arial" w:cs="Arial"/>
          <w:color w:val="000000"/>
          <w:kern w:val="24"/>
          <w:lang w:val="en-GB"/>
        </w:rPr>
        <w:t xml:space="preserve"> CD14</w:t>
      </w:r>
      <w:r>
        <w:rPr>
          <w:rFonts w:ascii="Arial" w:hAnsi="Arial" w:cs="Arial"/>
          <w:color w:val="000000"/>
          <w:kern w:val="24"/>
          <w:vertAlign w:val="superscript"/>
          <w:lang w:val="en-GB"/>
        </w:rPr>
        <w:t>+</w:t>
      </w:r>
      <w:r>
        <w:rPr>
          <w:rFonts w:ascii="Arial" w:hAnsi="Arial" w:cs="Arial"/>
          <w:color w:val="000000"/>
          <w:kern w:val="24"/>
          <w:lang w:val="en-GB"/>
        </w:rPr>
        <w:t xml:space="preserve"> cells were purified from the peripheral blood of healthy donors and induced with 100 ng/mL M-CSF for 5 days to obtain the PBMC-derived macrophages (PBMC-M). PBMC-M were incubated with 50% Huh-7-TCM for 48 h in the presence or absence of CpG ODN (2 </w:t>
      </w:r>
      <w:r>
        <w:rPr>
          <w:rFonts w:ascii="Arial" w:hAnsi="Arial" w:cs="Arial"/>
          <w:color w:val="000000"/>
          <w:lang w:val="en-GB"/>
        </w:rPr>
        <w:t>µ</w:t>
      </w:r>
      <w:r>
        <w:rPr>
          <w:rFonts w:ascii="Arial" w:hAnsi="Arial" w:cs="Arial"/>
          <w:color w:val="000000"/>
          <w:kern w:val="24"/>
          <w:lang w:val="en-GB"/>
        </w:rPr>
        <w:t xml:space="preserve">g/mL). (A, B) The expression levels of CD163 and IL-12, IL-10 on/in these TAMs were determined by flow cytometry and qPCR, respectively.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(C,D) The expression levels of Wnt2b, CTNNB1 and Axin-2 in these cells were determined by qPCR.</w:t>
      </w:r>
      <w:r>
        <w:rPr>
          <w:rFonts w:ascii="Arial" w:hAnsi="Arial" w:cs="Arial"/>
          <w:color w:val="000000"/>
          <w:kern w:val="24"/>
          <w:lang w:val="en-GB"/>
        </w:rPr>
        <w:t xml:space="preserve">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(E)</w:t>
      </w:r>
      <w:r>
        <w:rPr>
          <w:rFonts w:ascii="Arial" w:hAnsi="Arial" w:cs="Arial"/>
          <w:color w:val="000000"/>
          <w:kern w:val="24"/>
          <w:lang w:val="en-GB"/>
        </w:rPr>
        <w:t xml:space="preserve"> The mRNA expression levels of key enzymes involved in glycolysis were determined in PBMC-M by qPCR. </w:t>
      </w:r>
      <w:r>
        <w:rPr>
          <w:rFonts w:ascii="Arial" w:hAnsi="Arial" w:cs="Arial"/>
          <w:color w:val="000000"/>
          <w:kern w:val="24"/>
          <w:highlight w:val="yellow"/>
          <w:lang w:val="en-GB"/>
        </w:rPr>
        <w:t>(F)</w:t>
      </w:r>
      <w:r>
        <w:rPr>
          <w:rFonts w:ascii="Arial" w:hAnsi="Arial" w:cs="Arial"/>
          <w:color w:val="000000"/>
          <w:kern w:val="24"/>
          <w:lang w:val="en-GB"/>
        </w:rPr>
        <w:t xml:space="preserve"> The mRNA expression levels of c-Myc were determined in indicated the PBMC-M by qPCR. One representative of at least three independent experiments is shown.</w:t>
      </w:r>
      <w:r>
        <w:rPr>
          <w:rFonts w:ascii="Arial" w:eastAsiaTheme="minorEastAsia" w:hAnsi="Arial" w:cs="Arial" w:hint="eastAsia"/>
          <w:color w:val="000000"/>
          <w:kern w:val="24"/>
          <w:lang w:val="en-GB" w:eastAsia="zh-CN"/>
        </w:rPr>
        <w:t xml:space="preserve"> </w:t>
      </w:r>
      <w:r>
        <w:rPr>
          <w:rFonts w:ascii="Arial" w:hAnsi="Arial" w:cs="Arial"/>
          <w:color w:val="000000"/>
          <w:kern w:val="24"/>
          <w:lang w:val="en-GB"/>
        </w:rPr>
        <w:t xml:space="preserve">qPCR, quantitative real-time PCR; PBMC, peripheral </w:t>
      </w:r>
      <w:r>
        <w:rPr>
          <w:rFonts w:ascii="Arial" w:hAnsi="Arial" w:cs="Arial"/>
          <w:color w:val="000000"/>
          <w:kern w:val="24"/>
          <w:lang w:val="en-GB"/>
        </w:rPr>
        <w:lastRenderedPageBreak/>
        <w:t xml:space="preserve">blood mononuclear cell; HCC, hepatocellular carcinoma; TCM, tumour condition culture medium. Data are presented as mean ± SEM from at least three independent experiments </w:t>
      </w:r>
      <w:r w:rsidR="00C70F6D">
        <w:rPr>
          <w:rFonts w:ascii="Arial" w:hAnsi="Arial" w:cs="Arial"/>
          <w:color w:val="000000"/>
          <w:kern w:val="24"/>
          <w:lang w:val="en-GB"/>
        </w:rPr>
        <w:t xml:space="preserve"> (*p &lt; 0.05, **p &lt; 0.01 and ***p &lt; 0.001).</w:t>
      </w: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ind w:firstLineChars="50" w:firstLine="120"/>
        <w:rPr>
          <w:rFonts w:ascii="Arial" w:hAnsi="Arial" w:cs="Arial"/>
          <w:color w:val="000000"/>
          <w:kern w:val="24"/>
          <w:lang w:val="en-GB"/>
        </w:rPr>
      </w:pPr>
    </w:p>
    <w:p w:rsidR="007552CB" w:rsidRDefault="007552CB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</w:p>
    <w:p w:rsidR="007552CB" w:rsidRDefault="005D0268">
      <w:pPr>
        <w:spacing w:line="480" w:lineRule="auto"/>
        <w:jc w:val="center"/>
        <w:rPr>
          <w:rFonts w:ascii="Arial" w:hAnsi="Arial" w:cs="Arial"/>
          <w:color w:val="000000"/>
          <w:kern w:val="24"/>
          <w:lang w:val="en-GB"/>
        </w:rPr>
      </w:pPr>
      <w:r>
        <w:rPr>
          <w:rFonts w:ascii="Arial" w:hAnsi="Arial" w:cs="Arial"/>
          <w:noProof/>
          <w:color w:val="000000"/>
          <w:kern w:val="24"/>
          <w:lang w:val="en-US" w:eastAsia="zh-CN" w:bidi="ar-SA"/>
        </w:rPr>
        <w:lastRenderedPageBreak/>
        <w:drawing>
          <wp:inline distT="0" distB="0" distL="0" distR="0">
            <wp:extent cx="4672330" cy="18192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8" t="13095" r="3809"/>
                    <a:stretch>
                      <a:fillRect/>
                    </a:stretch>
                  </pic:blipFill>
                  <pic:spPr>
                    <a:xfrm>
                      <a:off x="0" y="0"/>
                      <a:ext cx="4677676" cy="182117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2CB" w:rsidRDefault="005D0268">
      <w:pPr>
        <w:spacing w:line="480" w:lineRule="auto"/>
        <w:rPr>
          <w:rFonts w:ascii="Arial" w:hAnsi="Arial" w:cs="Arial"/>
          <w:color w:val="000000"/>
          <w:kern w:val="24"/>
          <w:lang w:val="en-GB"/>
        </w:rPr>
      </w:pPr>
      <w:r>
        <w:rPr>
          <w:rFonts w:ascii="Arial" w:hAnsi="Arial" w:cs="Arial"/>
          <w:b/>
          <w:color w:val="000000"/>
          <w:kern w:val="24"/>
          <w:lang w:val="en-GB"/>
        </w:rPr>
        <w:t xml:space="preserve">Supplementary Figure </w:t>
      </w:r>
      <w:r w:rsidRPr="00067498">
        <w:rPr>
          <w:rFonts w:ascii="Arial" w:hAnsi="Arial" w:cs="Arial"/>
          <w:b/>
          <w:color w:val="000000"/>
          <w:kern w:val="24"/>
          <w:highlight w:val="yellow"/>
          <w:lang w:val="en-GB"/>
        </w:rPr>
        <w:t>7</w:t>
      </w:r>
      <w:r>
        <w:rPr>
          <w:rFonts w:ascii="Arial" w:hAnsi="Arial" w:cs="Arial"/>
          <w:b/>
          <w:color w:val="000000"/>
          <w:kern w:val="24"/>
          <w:lang w:val="en-GB"/>
        </w:rPr>
        <w:t xml:space="preserve">. Factors in HCC-microenvironment that can upregulate Wnt2b expression in tumour-associated macrophages. </w:t>
      </w:r>
      <w:r>
        <w:rPr>
          <w:rFonts w:ascii="Arial" w:hAnsi="Arial" w:cs="Arial"/>
          <w:color w:val="000000"/>
          <w:kern w:val="24"/>
          <w:lang w:val="en-GB"/>
        </w:rPr>
        <w:t>THP-1 derived macrophages (THP-1-M) were treated with or without IL-10 (50 ng/mL) or TGF-β (10 ng/mL) for 48 h. The expression levels of Wnt2b, CTNNB1 and c-Myc in these macrophages were determined by qPCR. qPCR, quantitative real-time PCR; HCC, hepatocellular carcinoma; TCM, tumour condition culture medium. Data are presented as mean ± SEM from at least three independent experiments (*p &lt; 0.05).</w:t>
      </w:r>
    </w:p>
    <w:sectPr w:rsidR="007552CB" w:rsidSect="0020512C">
      <w:headerReference w:type="default" r:id="rId14"/>
      <w:pgSz w:w="11906" w:h="16838"/>
      <w:pgMar w:top="1440" w:right="991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5AC" w:rsidRDefault="000705AC">
      <w:r>
        <w:separator/>
      </w:r>
    </w:p>
  </w:endnote>
  <w:endnote w:type="continuationSeparator" w:id="0">
    <w:p w:rsidR="000705AC" w:rsidRDefault="00070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-BoldMT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SFT-R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5AC" w:rsidRDefault="000705AC">
      <w:r>
        <w:separator/>
      </w:r>
    </w:p>
  </w:footnote>
  <w:footnote w:type="continuationSeparator" w:id="0">
    <w:p w:rsidR="000705AC" w:rsidRDefault="00070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3686050"/>
    </w:sdtPr>
    <w:sdtEndPr/>
    <w:sdtContent>
      <w:p w:rsidR="007552CB" w:rsidRDefault="005D026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671" w:rsidRPr="00824671">
          <w:rPr>
            <w:noProof/>
            <w:lang w:val="zh-CN" w:eastAsia="zh-CN"/>
          </w:rPr>
          <w:t>2</w:t>
        </w:r>
        <w:r>
          <w:fldChar w:fldCharType="end"/>
        </w:r>
      </w:p>
    </w:sdtContent>
  </w:sdt>
  <w:p w:rsidR="007552CB" w:rsidRDefault="007552C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u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70F40"/>
    <w:rsid w:val="00027BF8"/>
    <w:rsid w:val="000371A5"/>
    <w:rsid w:val="000527F3"/>
    <w:rsid w:val="00067498"/>
    <w:rsid w:val="000705AC"/>
    <w:rsid w:val="000829EB"/>
    <w:rsid w:val="000874F4"/>
    <w:rsid w:val="00095E75"/>
    <w:rsid w:val="000B1E48"/>
    <w:rsid w:val="000D2D18"/>
    <w:rsid w:val="000F2C78"/>
    <w:rsid w:val="00137DC7"/>
    <w:rsid w:val="00160F2C"/>
    <w:rsid w:val="001645C6"/>
    <w:rsid w:val="00170F40"/>
    <w:rsid w:val="001B1036"/>
    <w:rsid w:val="001B4754"/>
    <w:rsid w:val="001B5F37"/>
    <w:rsid w:val="001E3FDB"/>
    <w:rsid w:val="001E5617"/>
    <w:rsid w:val="001E7B49"/>
    <w:rsid w:val="0020512C"/>
    <w:rsid w:val="002110BF"/>
    <w:rsid w:val="0022032D"/>
    <w:rsid w:val="00231BE2"/>
    <w:rsid w:val="0024740E"/>
    <w:rsid w:val="002D3878"/>
    <w:rsid w:val="002D4943"/>
    <w:rsid w:val="002E4BBD"/>
    <w:rsid w:val="00302AB8"/>
    <w:rsid w:val="00311B85"/>
    <w:rsid w:val="003204F3"/>
    <w:rsid w:val="003247AA"/>
    <w:rsid w:val="0036015E"/>
    <w:rsid w:val="00380B8C"/>
    <w:rsid w:val="00383833"/>
    <w:rsid w:val="003A28E6"/>
    <w:rsid w:val="003C2437"/>
    <w:rsid w:val="003D0536"/>
    <w:rsid w:val="003F078C"/>
    <w:rsid w:val="003F2D44"/>
    <w:rsid w:val="0041556D"/>
    <w:rsid w:val="00464E7A"/>
    <w:rsid w:val="004670BA"/>
    <w:rsid w:val="004735C4"/>
    <w:rsid w:val="0049379B"/>
    <w:rsid w:val="004A3A87"/>
    <w:rsid w:val="004A6240"/>
    <w:rsid w:val="004B1696"/>
    <w:rsid w:val="004C05C9"/>
    <w:rsid w:val="004E2924"/>
    <w:rsid w:val="004F42D8"/>
    <w:rsid w:val="005473DE"/>
    <w:rsid w:val="005A283C"/>
    <w:rsid w:val="005C09DB"/>
    <w:rsid w:val="005D0268"/>
    <w:rsid w:val="00604D28"/>
    <w:rsid w:val="0065337A"/>
    <w:rsid w:val="006774E7"/>
    <w:rsid w:val="006A6710"/>
    <w:rsid w:val="006B618F"/>
    <w:rsid w:val="006C62DD"/>
    <w:rsid w:val="00705CD7"/>
    <w:rsid w:val="00740F8A"/>
    <w:rsid w:val="007538D1"/>
    <w:rsid w:val="007552CB"/>
    <w:rsid w:val="00755748"/>
    <w:rsid w:val="00781C38"/>
    <w:rsid w:val="007D1AFE"/>
    <w:rsid w:val="007D3DD3"/>
    <w:rsid w:val="007D4B51"/>
    <w:rsid w:val="008004CD"/>
    <w:rsid w:val="00802627"/>
    <w:rsid w:val="00816BBD"/>
    <w:rsid w:val="00824092"/>
    <w:rsid w:val="00824671"/>
    <w:rsid w:val="0082795B"/>
    <w:rsid w:val="00881588"/>
    <w:rsid w:val="00883A71"/>
    <w:rsid w:val="00944A9C"/>
    <w:rsid w:val="00946542"/>
    <w:rsid w:val="009572FB"/>
    <w:rsid w:val="009652AA"/>
    <w:rsid w:val="00974DCB"/>
    <w:rsid w:val="009B1773"/>
    <w:rsid w:val="009B5DA5"/>
    <w:rsid w:val="009E544B"/>
    <w:rsid w:val="009F71FA"/>
    <w:rsid w:val="00A13272"/>
    <w:rsid w:val="00A31AEB"/>
    <w:rsid w:val="00A8372A"/>
    <w:rsid w:val="00A8645D"/>
    <w:rsid w:val="00A90CF2"/>
    <w:rsid w:val="00AD7E20"/>
    <w:rsid w:val="00AF5690"/>
    <w:rsid w:val="00B05260"/>
    <w:rsid w:val="00B36E6E"/>
    <w:rsid w:val="00B4590D"/>
    <w:rsid w:val="00B5543A"/>
    <w:rsid w:val="00B93963"/>
    <w:rsid w:val="00BC1A01"/>
    <w:rsid w:val="00BE4AC4"/>
    <w:rsid w:val="00C046B8"/>
    <w:rsid w:val="00C14349"/>
    <w:rsid w:val="00C428CD"/>
    <w:rsid w:val="00C432B6"/>
    <w:rsid w:val="00C70F6D"/>
    <w:rsid w:val="00C735D8"/>
    <w:rsid w:val="00C8118A"/>
    <w:rsid w:val="00C936F7"/>
    <w:rsid w:val="00CD0A1F"/>
    <w:rsid w:val="00CD223A"/>
    <w:rsid w:val="00CD3337"/>
    <w:rsid w:val="00D216F5"/>
    <w:rsid w:val="00D3107E"/>
    <w:rsid w:val="00D66177"/>
    <w:rsid w:val="00D816DE"/>
    <w:rsid w:val="00D83584"/>
    <w:rsid w:val="00D876F6"/>
    <w:rsid w:val="00DA583B"/>
    <w:rsid w:val="00DC613D"/>
    <w:rsid w:val="00DE17DD"/>
    <w:rsid w:val="00DE5F2A"/>
    <w:rsid w:val="00E550D1"/>
    <w:rsid w:val="00E6108A"/>
    <w:rsid w:val="00E71B84"/>
    <w:rsid w:val="00E911B8"/>
    <w:rsid w:val="00E973F9"/>
    <w:rsid w:val="00EB784A"/>
    <w:rsid w:val="00EC290C"/>
    <w:rsid w:val="00ED13A8"/>
    <w:rsid w:val="00ED339B"/>
    <w:rsid w:val="00ED4D3E"/>
    <w:rsid w:val="00ED6489"/>
    <w:rsid w:val="00F43966"/>
    <w:rsid w:val="00F64038"/>
    <w:rsid w:val="00F817D7"/>
    <w:rsid w:val="00F85C1E"/>
    <w:rsid w:val="00FE27CB"/>
    <w:rsid w:val="00FE392B"/>
    <w:rsid w:val="1C6C66D6"/>
    <w:rsid w:val="39D25F26"/>
    <w:rsid w:val="6F23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3BE7297-C08B-4C47-92B0-3903CCA9B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宋体" w:hAnsi="Arial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val="en-AU" w:eastAsia="en-GB" w:bidi="ta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spacing w:after="100" w:line="259" w:lineRule="auto"/>
    </w:pPr>
    <w:rPr>
      <w:rFonts w:asciiTheme="minorHAnsi" w:eastAsiaTheme="minorEastAsia" w:hAnsiTheme="minorHAnsi"/>
      <w:sz w:val="22"/>
      <w:szCs w:val="22"/>
      <w:lang w:val="en-US" w:eastAsia="zh-CN" w:bidi="ar-SA"/>
    </w:rPr>
  </w:style>
  <w:style w:type="paragraph" w:styleId="aa">
    <w:name w:val="Normal (Web)"/>
    <w:basedOn w:val="a"/>
    <w:uiPriority w:val="99"/>
    <w:semiHidden/>
    <w:pPr>
      <w:spacing w:before="100" w:beforeAutospacing="1" w:after="100" w:afterAutospacing="1"/>
    </w:pPr>
    <w:rPr>
      <w:rFonts w:ascii="宋体" w:hAnsi="宋体" w:cs="宋体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Arial-BoldMT" w:hAnsi="Arial-BoldMT" w:hint="default"/>
      <w:b/>
      <w:bCs/>
      <w:color w:val="000000"/>
      <w:sz w:val="22"/>
      <w:szCs w:val="22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lang w:val="en-GB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Times New Roman" w:eastAsia="Times New Roman" w:hAnsi="Times New Roman"/>
      <w:sz w:val="24"/>
      <w:szCs w:val="24"/>
      <w:lang w:val="en-GB" w:eastAsia="en-GB" w:bidi="ta-IN"/>
    </w:rPr>
  </w:style>
  <w:style w:type="paragraph" w:customStyle="1" w:styleId="EndNoteBibliography">
    <w:name w:val="EndNote Bibliography"/>
    <w:basedOn w:val="a"/>
    <w:link w:val="EndNoteBibliography0"/>
    <w:qFormat/>
    <w:rPr>
      <w:lang w:val="en-GB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Times New Roman" w:eastAsia="Times New Roman" w:hAnsi="Times New Roman"/>
      <w:sz w:val="24"/>
      <w:szCs w:val="24"/>
      <w:lang w:val="en-GB" w:eastAsia="en-GB" w:bidi="ta-IN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Times New Roman" w:hAnsi="Times New Roman"/>
      <w:b/>
      <w:bCs/>
      <w:kern w:val="44"/>
      <w:sz w:val="44"/>
      <w:szCs w:val="44"/>
      <w:lang w:val="en-AU" w:eastAsia="en-GB" w:bidi="ta-IN"/>
    </w:rPr>
  </w:style>
  <w:style w:type="paragraph" w:customStyle="1" w:styleId="TOC1">
    <w:name w:val="TOC 标题1"/>
    <w:basedOn w:val="1"/>
    <w:next w:val="a"/>
    <w:uiPriority w:val="39"/>
    <w:unhideWhenUsed/>
    <w:qFormat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en-US" w:eastAsia="zh-CN" w:bidi="ar-SA"/>
    </w:rPr>
  </w:style>
  <w:style w:type="character" w:customStyle="1" w:styleId="a5">
    <w:name w:val="批注框文本 字符"/>
    <w:basedOn w:val="a0"/>
    <w:link w:val="a4"/>
    <w:uiPriority w:val="99"/>
    <w:semiHidden/>
    <w:rPr>
      <w:rFonts w:ascii="Times New Roman" w:eastAsia="Times New Roman" w:hAnsi="Times New Roman"/>
      <w:sz w:val="18"/>
      <w:szCs w:val="18"/>
      <w:lang w:val="en-AU" w:eastAsia="en-GB" w:bidi="ta-IN"/>
    </w:rPr>
  </w:style>
  <w:style w:type="paragraph" w:customStyle="1" w:styleId="12">
    <w:name w:val="修订1"/>
    <w:hidden/>
    <w:uiPriority w:val="99"/>
    <w:semiHidden/>
    <w:qFormat/>
    <w:rPr>
      <w:rFonts w:ascii="Times New Roman" w:eastAsia="Times New Roman" w:hAnsi="Times New Roman"/>
      <w:sz w:val="24"/>
      <w:szCs w:val="24"/>
      <w:lang w:val="en-AU" w:eastAsia="en-GB" w:bidi="ta-IN"/>
    </w:rPr>
  </w:style>
  <w:style w:type="character" w:customStyle="1" w:styleId="fontstyle11">
    <w:name w:val="fontstyle11"/>
    <w:basedOn w:val="a0"/>
    <w:qFormat/>
    <w:rPr>
      <w:rFonts w:ascii="AdvPSFT-R" w:hAnsi="AdvPSFT-R" w:hint="default"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11</Pages>
  <Words>1190</Words>
  <Characters>6784</Characters>
  <Application>Microsoft Office Word</Application>
  <DocSecurity>0</DocSecurity>
  <Lines>56</Lines>
  <Paragraphs>15</Paragraphs>
  <ScaleCrop>false</ScaleCrop>
  <Company>China</Company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姜姜</cp:lastModifiedBy>
  <cp:revision>53</cp:revision>
  <dcterms:created xsi:type="dcterms:W3CDTF">2020-08-09T12:02:00Z</dcterms:created>
  <dcterms:modified xsi:type="dcterms:W3CDTF">2020-12-06T10:24:00Z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