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3E46" w:rsidRDefault="00293E46" w:rsidP="00293E46">
      <w:pPr>
        <w:autoSpaceDE w:val="0"/>
        <w:autoSpaceDN w:val="0"/>
        <w:adjustRightInd w:val="0"/>
        <w:spacing w:after="0" w:line="480" w:lineRule="auto"/>
        <w:jc w:val="both"/>
        <w:rPr>
          <w:rFonts w:ascii="Arial" w:hAnsi="Arial" w:cs="Arial"/>
          <w:b/>
          <w:bCs/>
          <w:color w:val="222222"/>
          <w:sz w:val="20"/>
          <w:szCs w:val="20"/>
          <w:lang w:val="en-US"/>
        </w:rPr>
      </w:pPr>
      <w:r w:rsidRPr="004F0235">
        <w:rPr>
          <w:noProof/>
          <w:lang w:eastAsia="de-DE"/>
        </w:rPr>
        <w:drawing>
          <wp:inline distT="0" distB="0" distL="0" distR="0" wp14:anchorId="05227209" wp14:editId="157D6A16">
            <wp:extent cx="5892800" cy="4184460"/>
            <wp:effectExtent l="0" t="0" r="0" b="6985"/>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893427" cy="4184905"/>
                    </a:xfrm>
                    <a:prstGeom prst="rect">
                      <a:avLst/>
                    </a:prstGeom>
                    <a:noFill/>
                    <a:ln>
                      <a:noFill/>
                    </a:ln>
                  </pic:spPr>
                </pic:pic>
              </a:graphicData>
            </a:graphic>
          </wp:inline>
        </w:drawing>
      </w:r>
    </w:p>
    <w:p w:rsidR="00293E46" w:rsidRPr="007478A1" w:rsidRDefault="00293E46" w:rsidP="00293E46">
      <w:pPr>
        <w:autoSpaceDE w:val="0"/>
        <w:autoSpaceDN w:val="0"/>
        <w:adjustRightInd w:val="0"/>
        <w:spacing w:after="0" w:line="480" w:lineRule="auto"/>
        <w:jc w:val="both"/>
        <w:rPr>
          <w:rFonts w:ascii="Arial" w:hAnsi="Arial" w:cs="Arial"/>
          <w:b/>
          <w:bCs/>
          <w:color w:val="222222"/>
          <w:sz w:val="20"/>
          <w:szCs w:val="20"/>
          <w:lang w:val="en-US"/>
        </w:rPr>
      </w:pPr>
      <w:r>
        <w:rPr>
          <w:rFonts w:ascii="Arial" w:hAnsi="Arial" w:cs="Arial"/>
          <w:b/>
          <w:bCs/>
          <w:color w:val="222222"/>
          <w:sz w:val="20"/>
          <w:szCs w:val="20"/>
          <w:lang w:val="en-US"/>
        </w:rPr>
        <w:t xml:space="preserve">Figure S1: </w:t>
      </w:r>
    </w:p>
    <w:p w:rsidR="00293E46" w:rsidRDefault="00293E46" w:rsidP="00293E46">
      <w:pPr>
        <w:autoSpaceDE w:val="0"/>
        <w:autoSpaceDN w:val="0"/>
        <w:adjustRightInd w:val="0"/>
        <w:spacing w:after="0" w:line="480" w:lineRule="auto"/>
        <w:jc w:val="both"/>
        <w:rPr>
          <w:rFonts w:ascii="Arial" w:hAnsi="Arial" w:cs="Arial"/>
          <w:color w:val="222222"/>
          <w:sz w:val="20"/>
          <w:szCs w:val="20"/>
          <w:lang w:val="en-US"/>
        </w:rPr>
      </w:pPr>
      <w:r>
        <w:rPr>
          <w:rFonts w:ascii="Arial" w:hAnsi="Arial" w:cs="Arial"/>
          <w:color w:val="222222"/>
          <w:sz w:val="20"/>
          <w:szCs w:val="20"/>
          <w:lang w:val="en-US"/>
        </w:rPr>
        <w:t xml:space="preserve">(A) </w:t>
      </w:r>
      <w:r w:rsidRPr="008763B4">
        <w:rPr>
          <w:rFonts w:ascii="Arial" w:hAnsi="Arial" w:cs="Arial"/>
          <w:color w:val="222222"/>
          <w:sz w:val="20"/>
          <w:szCs w:val="20"/>
          <w:lang w:val="en-US"/>
        </w:rPr>
        <w:t xml:space="preserve">Schematic representation of domain organization in RANBP3L and RANBP3 (AS sequence in table S1). (B) Median gene expression of RANBP3 and RANBP3L in a </w:t>
      </w:r>
      <w:proofErr w:type="spellStart"/>
      <w:r w:rsidRPr="008763B4">
        <w:rPr>
          <w:rFonts w:ascii="Arial" w:hAnsi="Arial" w:cs="Arial"/>
          <w:color w:val="222222"/>
          <w:sz w:val="20"/>
          <w:szCs w:val="20"/>
          <w:lang w:val="en-US"/>
        </w:rPr>
        <w:t>bodymap</w:t>
      </w:r>
      <w:proofErr w:type="spellEnd"/>
      <w:r w:rsidRPr="008763B4">
        <w:rPr>
          <w:rFonts w:ascii="Arial" w:hAnsi="Arial" w:cs="Arial"/>
          <w:color w:val="222222"/>
          <w:sz w:val="20"/>
          <w:szCs w:val="20"/>
          <w:lang w:val="en-US"/>
        </w:rPr>
        <w:t xml:space="preserve"> from the gene expression profiling interactive analysis tool</w:t>
      </w:r>
      <w:r>
        <w:rPr>
          <w:rFonts w:ascii="Arial" w:hAnsi="Arial" w:cs="Arial"/>
          <w:color w:val="222222"/>
          <w:sz w:val="20"/>
          <w:szCs w:val="20"/>
          <w:lang w:val="en-US"/>
        </w:rPr>
        <w:t xml:space="preserve"> (GEPIA2) </w:t>
      </w:r>
      <w:r>
        <w:rPr>
          <w:rStyle w:val="Funotenzeichen"/>
          <w:rFonts w:ascii="Arial" w:hAnsi="Arial" w:cs="Arial"/>
          <w:color w:val="222222"/>
          <w:sz w:val="20"/>
          <w:szCs w:val="20"/>
          <w:lang w:val="en-US"/>
        </w:rPr>
        <w:fldChar w:fldCharType="begin" w:fldLock="1"/>
      </w:r>
      <w:r>
        <w:rPr>
          <w:rFonts w:ascii="Arial" w:hAnsi="Arial" w:cs="Arial"/>
          <w:color w:val="222222"/>
          <w:sz w:val="20"/>
          <w:szCs w:val="20"/>
          <w:lang w:val="en-US"/>
        </w:rPr>
        <w:instrText>ADDIN CSL_CITATION {"citationItems":[{"id":"ITEM-1","itemData":{"DOI":"10.1093/nar/gkz430","ISSN":"13624962","PMID":"31114875","abstract":"Introduced in 2017, the GEPIA (Gene Expression Profiling Interactive Analysis) web server has been a valuable and highly cited resource for gene expression analysis based on tumor and normal samples from the TCGA and the GTEx databases. Here, we present GEPIA2, an updated and enhanced version to provide insights with higher resolution and more functionalities. Featuring 198 619 isoforms and 84 cancer subtypes, GEPIA2 has extended gene expression quantification from the gene level to the transcript level, and supports analysis of a specific cancer subtype, and comparison between subtypes. In addition, GEPIA2 has adopted new analysis techniques of gene signature quantification inspired by single-cell sequencing studies, and provides customized analysis where users can upload their own RNA-seq data and compare them with TCGA and GTEx samples. We also offer an API for batch process and easy retrieval of the analysis results. The updated web server is publicly accessible at http://gepia2.cancer-pku.cn/.","author":[{"dropping-particle":"","family":"Tang","given":"Zefang","non-dropping-particle":"","parse-names":false,"suffix":""},{"dropping-particle":"","family":"Kang","given":"Boxi","non-dropping-particle":"","parse-names":false,"suffix":""},{"dropping-particle":"","family":"Li","given":"Chenwei","non-dropping-particle":"","parse-names":false,"suffix":""},{"dropping-particle":"","family":"Chen","given":"Tianxiang","non-dropping-particle":"","parse-names":false,"suffix":""},{"dropping-particle":"","family":"Zhang","given":"Zemin","non-dropping-particle":"","parse-names":false,"suffix":""}],"container-title":"Nucleic Acids Research","id":"ITEM-1","issued":{"date-parts":[["2019"]]},"title":"GEPIA2: an enhanced web server for large-scale expression profiling and interactive analysis","type":"article-journal"},"uris":["http://www.mendeley.com/documents/?uuid=080727cc-301a-43da-80bb-a22c4650165f"]}],"mendeley":{"formattedCitation":"[33]","plainTextFormattedCitation":"[33]","previouslyFormattedCitation":"(33)"},"properties":{"noteIndex":0},"schema":"https://github.com/citation-style-language/schema/raw/master/csl-citation.json"}</w:instrText>
      </w:r>
      <w:r>
        <w:rPr>
          <w:rStyle w:val="Funotenzeichen"/>
          <w:rFonts w:ascii="Arial" w:hAnsi="Arial" w:cs="Arial"/>
          <w:color w:val="222222"/>
          <w:sz w:val="20"/>
          <w:szCs w:val="20"/>
          <w:lang w:val="en-US"/>
        </w:rPr>
        <w:fldChar w:fldCharType="separate"/>
      </w:r>
      <w:r w:rsidRPr="00BD10C7">
        <w:rPr>
          <w:rFonts w:ascii="Arial" w:hAnsi="Arial" w:cs="Arial"/>
          <w:noProof/>
          <w:color w:val="222222"/>
          <w:sz w:val="20"/>
          <w:szCs w:val="20"/>
          <w:lang w:val="en-US"/>
        </w:rPr>
        <w:t>[33]</w:t>
      </w:r>
      <w:r>
        <w:rPr>
          <w:rStyle w:val="Funotenzeichen"/>
          <w:rFonts w:ascii="Arial" w:hAnsi="Arial" w:cs="Arial"/>
          <w:color w:val="222222"/>
          <w:sz w:val="20"/>
          <w:szCs w:val="20"/>
          <w:lang w:val="en-US"/>
        </w:rPr>
        <w:fldChar w:fldCharType="end"/>
      </w:r>
      <w:r w:rsidRPr="008763B4">
        <w:rPr>
          <w:rFonts w:ascii="Arial" w:hAnsi="Arial" w:cs="Arial"/>
          <w:color w:val="222222"/>
          <w:sz w:val="20"/>
          <w:szCs w:val="20"/>
          <w:lang w:val="en-US"/>
        </w:rPr>
        <w:t xml:space="preserve">. (C) Schematic representation of IMCD isolation and culturing from murine kidneys </w:t>
      </w:r>
      <w:r>
        <w:rPr>
          <w:rFonts w:ascii="Arial" w:hAnsi="Arial" w:cs="Arial"/>
          <w:color w:val="222222"/>
          <w:sz w:val="20"/>
          <w:szCs w:val="20"/>
          <w:lang w:val="en-US"/>
        </w:rPr>
        <w:t xml:space="preserve">for </w:t>
      </w:r>
      <w:r w:rsidRPr="008763B4">
        <w:rPr>
          <w:rFonts w:ascii="Arial" w:hAnsi="Arial" w:cs="Arial"/>
          <w:color w:val="222222"/>
          <w:sz w:val="20"/>
          <w:szCs w:val="20"/>
          <w:lang w:val="en-US"/>
        </w:rPr>
        <w:t>next</w:t>
      </w:r>
      <w:r>
        <w:rPr>
          <w:rFonts w:ascii="Arial" w:hAnsi="Arial" w:cs="Arial"/>
          <w:color w:val="222222"/>
          <w:sz w:val="20"/>
          <w:szCs w:val="20"/>
          <w:lang w:val="en-US"/>
        </w:rPr>
        <w:t>-</w:t>
      </w:r>
      <w:r w:rsidRPr="008763B4">
        <w:rPr>
          <w:rFonts w:ascii="Arial" w:hAnsi="Arial" w:cs="Arial"/>
          <w:color w:val="222222"/>
          <w:sz w:val="20"/>
          <w:szCs w:val="20"/>
          <w:lang w:val="en-US"/>
        </w:rPr>
        <w:t>gen</w:t>
      </w:r>
      <w:r>
        <w:rPr>
          <w:rFonts w:ascii="Arial" w:hAnsi="Arial" w:cs="Arial"/>
          <w:color w:val="222222"/>
          <w:sz w:val="20"/>
          <w:szCs w:val="20"/>
          <w:lang w:val="en-US"/>
        </w:rPr>
        <w:t>eration</w:t>
      </w:r>
      <w:r w:rsidRPr="008763B4">
        <w:rPr>
          <w:rFonts w:ascii="Arial" w:hAnsi="Arial" w:cs="Arial"/>
          <w:color w:val="222222"/>
          <w:sz w:val="20"/>
          <w:szCs w:val="20"/>
          <w:lang w:val="en-US"/>
        </w:rPr>
        <w:t xml:space="preserve"> sequencing (NGS). </w:t>
      </w:r>
      <w:r>
        <w:rPr>
          <w:rFonts w:ascii="Arial" w:hAnsi="Arial" w:cs="Arial"/>
          <w:color w:val="222222"/>
          <w:sz w:val="20"/>
          <w:szCs w:val="20"/>
          <w:lang w:val="en-US"/>
        </w:rPr>
        <w:t>(D-E</w:t>
      </w:r>
      <w:r w:rsidRPr="003E5419">
        <w:rPr>
          <w:rFonts w:ascii="Arial" w:hAnsi="Arial" w:cs="Arial"/>
          <w:color w:val="222222"/>
          <w:sz w:val="20"/>
          <w:szCs w:val="20"/>
          <w:lang w:val="en-US"/>
        </w:rPr>
        <w:t xml:space="preserve">) Analysis of NFAT5 intensity in </w:t>
      </w:r>
      <w:proofErr w:type="spellStart"/>
      <w:r w:rsidRPr="003E5419">
        <w:rPr>
          <w:rFonts w:ascii="Arial" w:hAnsi="Arial" w:cs="Arial"/>
          <w:color w:val="222222"/>
          <w:sz w:val="20"/>
          <w:szCs w:val="20"/>
          <w:lang w:val="en-US"/>
        </w:rPr>
        <w:t>mpKCCD</w:t>
      </w:r>
      <w:proofErr w:type="spellEnd"/>
      <w:r w:rsidRPr="003E5419">
        <w:rPr>
          <w:rFonts w:ascii="Arial" w:hAnsi="Arial" w:cs="Arial"/>
          <w:color w:val="222222"/>
          <w:sz w:val="20"/>
          <w:szCs w:val="20"/>
          <w:lang w:val="en-US"/>
        </w:rPr>
        <w:t xml:space="preserve"> immunofluorescence images</w:t>
      </w:r>
      <w:r>
        <w:rPr>
          <w:rFonts w:ascii="Arial" w:hAnsi="Arial" w:cs="Arial"/>
          <w:color w:val="222222"/>
          <w:sz w:val="20"/>
          <w:szCs w:val="20"/>
          <w:lang w:val="en-US"/>
        </w:rPr>
        <w:t xml:space="preserve"> (D) and in </w:t>
      </w:r>
      <w:r w:rsidRPr="003E5419">
        <w:rPr>
          <w:rFonts w:ascii="Arial" w:hAnsi="Arial" w:cs="Arial"/>
          <w:color w:val="222222"/>
          <w:sz w:val="20"/>
          <w:szCs w:val="20"/>
          <w:lang w:val="en-US"/>
        </w:rPr>
        <w:t>IMCD cell immunofluorescence images</w:t>
      </w:r>
      <w:r>
        <w:rPr>
          <w:rFonts w:ascii="Arial" w:hAnsi="Arial" w:cs="Arial"/>
          <w:color w:val="222222"/>
          <w:sz w:val="20"/>
          <w:szCs w:val="20"/>
          <w:lang w:val="en-US"/>
        </w:rPr>
        <w:t xml:space="preserve"> (E)</w:t>
      </w:r>
      <w:r w:rsidRPr="003E5419">
        <w:rPr>
          <w:rFonts w:ascii="Arial" w:hAnsi="Arial" w:cs="Arial"/>
          <w:color w:val="222222"/>
          <w:sz w:val="20"/>
          <w:szCs w:val="20"/>
          <w:lang w:val="en-US"/>
        </w:rPr>
        <w:t xml:space="preserve"> sho</w:t>
      </w:r>
      <w:r>
        <w:rPr>
          <w:rFonts w:ascii="Arial" w:hAnsi="Arial" w:cs="Arial"/>
          <w:color w:val="222222"/>
          <w:sz w:val="20"/>
          <w:szCs w:val="20"/>
          <w:lang w:val="en-US"/>
        </w:rPr>
        <w:t>wn</w:t>
      </w:r>
      <w:r w:rsidRPr="003E5419">
        <w:rPr>
          <w:rFonts w:ascii="Arial" w:hAnsi="Arial" w:cs="Arial"/>
          <w:color w:val="222222"/>
          <w:sz w:val="20"/>
          <w:szCs w:val="20"/>
          <w:lang w:val="en-US"/>
        </w:rPr>
        <w:t xml:space="preserve"> in Fig. 2A. Scale bar 100µm. </w:t>
      </w:r>
      <w:r>
        <w:rPr>
          <w:rFonts w:ascii="Arial" w:hAnsi="Arial" w:cs="Arial"/>
          <w:color w:val="222222"/>
          <w:sz w:val="20"/>
          <w:szCs w:val="20"/>
          <w:lang w:val="en-US"/>
        </w:rPr>
        <w:t>(F-G) T</w:t>
      </w:r>
      <w:r w:rsidRPr="003E5419">
        <w:rPr>
          <w:rFonts w:ascii="Arial" w:hAnsi="Arial" w:cs="Arial"/>
          <w:color w:val="222222"/>
          <w:sz w:val="20"/>
          <w:szCs w:val="20"/>
          <w:lang w:val="en-US"/>
        </w:rPr>
        <w:t xml:space="preserve">he NFAT5 fluorescence intensities of cells </w:t>
      </w:r>
      <w:proofErr w:type="gramStart"/>
      <w:r w:rsidRPr="003E5419">
        <w:rPr>
          <w:rFonts w:ascii="Arial" w:hAnsi="Arial" w:cs="Arial"/>
          <w:color w:val="222222"/>
          <w:sz w:val="20"/>
          <w:szCs w:val="20"/>
          <w:lang w:val="en-US"/>
        </w:rPr>
        <w:t>were plotted</w:t>
      </w:r>
      <w:proofErr w:type="gramEnd"/>
      <w:r w:rsidRPr="003E5419">
        <w:rPr>
          <w:rFonts w:ascii="Arial" w:hAnsi="Arial" w:cs="Arial"/>
          <w:color w:val="222222"/>
          <w:sz w:val="20"/>
          <w:szCs w:val="20"/>
          <w:lang w:val="en-US"/>
        </w:rPr>
        <w:t xml:space="preserve"> on a line graph.</w:t>
      </w:r>
      <w:r>
        <w:rPr>
          <w:rFonts w:ascii="Arial" w:hAnsi="Arial" w:cs="Arial"/>
          <w:color w:val="222222"/>
          <w:sz w:val="20"/>
          <w:szCs w:val="20"/>
          <w:lang w:val="en-US"/>
        </w:rPr>
        <w:t xml:space="preserve"> L</w:t>
      </w:r>
      <w:r w:rsidRPr="003E5419">
        <w:rPr>
          <w:rFonts w:ascii="Arial" w:hAnsi="Arial" w:cs="Arial"/>
          <w:color w:val="222222"/>
          <w:sz w:val="20"/>
          <w:szCs w:val="20"/>
          <w:lang w:val="en-US"/>
        </w:rPr>
        <w:t>ine</w:t>
      </w:r>
      <w:r>
        <w:rPr>
          <w:rFonts w:ascii="Arial" w:hAnsi="Arial" w:cs="Arial"/>
          <w:color w:val="222222"/>
          <w:sz w:val="20"/>
          <w:szCs w:val="20"/>
          <w:lang w:val="en-US"/>
        </w:rPr>
        <w:t>s</w:t>
      </w:r>
      <w:r w:rsidRPr="003E5419">
        <w:rPr>
          <w:rFonts w:ascii="Arial" w:hAnsi="Arial" w:cs="Arial"/>
          <w:color w:val="222222"/>
          <w:sz w:val="20"/>
          <w:szCs w:val="20"/>
          <w:lang w:val="en-US"/>
        </w:rPr>
        <w:t xml:space="preserve"> correspond to the relative fluorescence of cells marked with a white arrow.</w:t>
      </w:r>
      <w:r>
        <w:rPr>
          <w:rFonts w:ascii="Arial" w:hAnsi="Arial" w:cs="Arial"/>
          <w:color w:val="222222"/>
          <w:sz w:val="20"/>
          <w:szCs w:val="20"/>
          <w:lang w:val="en-US"/>
        </w:rPr>
        <w:t xml:space="preserve"> F corresponds to signal intensity in </w:t>
      </w:r>
      <w:proofErr w:type="spellStart"/>
      <w:r>
        <w:rPr>
          <w:rFonts w:ascii="Arial" w:hAnsi="Arial" w:cs="Arial"/>
          <w:color w:val="222222"/>
          <w:sz w:val="20"/>
          <w:szCs w:val="20"/>
          <w:lang w:val="en-US"/>
        </w:rPr>
        <w:t>mpkCCD</w:t>
      </w:r>
      <w:proofErr w:type="spellEnd"/>
      <w:r>
        <w:rPr>
          <w:rFonts w:ascii="Arial" w:hAnsi="Arial" w:cs="Arial"/>
          <w:color w:val="222222"/>
          <w:sz w:val="20"/>
          <w:szCs w:val="20"/>
          <w:lang w:val="en-US"/>
        </w:rPr>
        <w:t xml:space="preserve"> cell while G corresponds to signal intensity of IMCD cells.</w:t>
      </w:r>
      <w:r w:rsidRPr="003E5419">
        <w:rPr>
          <w:rFonts w:ascii="Arial" w:hAnsi="Arial" w:cs="Arial"/>
          <w:color w:val="222222"/>
          <w:sz w:val="20"/>
          <w:szCs w:val="20"/>
          <w:lang w:val="en-US"/>
        </w:rPr>
        <w:t xml:space="preserve"> (</w:t>
      </w:r>
      <w:r>
        <w:rPr>
          <w:rFonts w:ascii="Arial" w:hAnsi="Arial" w:cs="Arial"/>
          <w:color w:val="222222"/>
          <w:sz w:val="20"/>
          <w:szCs w:val="20"/>
          <w:lang w:val="en-US"/>
        </w:rPr>
        <w:t>H</w:t>
      </w:r>
      <w:r w:rsidRPr="003E5419">
        <w:rPr>
          <w:rFonts w:ascii="Arial" w:hAnsi="Arial" w:cs="Arial"/>
          <w:color w:val="222222"/>
          <w:sz w:val="20"/>
          <w:szCs w:val="20"/>
          <w:lang w:val="en-US"/>
        </w:rPr>
        <w:t>) TIDE analysis of N1 and N3 single clones</w:t>
      </w:r>
      <w:r>
        <w:rPr>
          <w:rFonts w:ascii="Arial" w:hAnsi="Arial" w:cs="Arial"/>
          <w:color w:val="222222"/>
          <w:sz w:val="20"/>
          <w:szCs w:val="20"/>
          <w:lang w:val="en-US"/>
        </w:rPr>
        <w:t xml:space="preserve"> reveal INDELs</w:t>
      </w:r>
      <w:r w:rsidRPr="003E5419">
        <w:rPr>
          <w:rFonts w:ascii="Arial" w:hAnsi="Arial" w:cs="Arial"/>
          <w:color w:val="222222"/>
          <w:sz w:val="20"/>
          <w:szCs w:val="20"/>
          <w:lang w:val="en-US"/>
        </w:rPr>
        <w:t xml:space="preserve"> in the </w:t>
      </w:r>
      <w:r w:rsidRPr="003E5419">
        <w:rPr>
          <w:rFonts w:ascii="Arial" w:hAnsi="Arial" w:cs="Arial"/>
          <w:i/>
          <w:iCs/>
          <w:color w:val="222222"/>
          <w:sz w:val="20"/>
          <w:szCs w:val="20"/>
          <w:lang w:val="en-US"/>
        </w:rPr>
        <w:t xml:space="preserve">Nfat5 </w:t>
      </w:r>
      <w:r w:rsidRPr="003E5419">
        <w:rPr>
          <w:rFonts w:ascii="Arial" w:hAnsi="Arial" w:cs="Arial"/>
          <w:color w:val="222222"/>
          <w:sz w:val="20"/>
          <w:szCs w:val="20"/>
          <w:lang w:val="en-US"/>
        </w:rPr>
        <w:t>target sites</w:t>
      </w:r>
      <w:r>
        <w:rPr>
          <w:rFonts w:ascii="Arial" w:hAnsi="Arial" w:cs="Arial"/>
          <w:color w:val="222222"/>
          <w:sz w:val="20"/>
          <w:szCs w:val="20"/>
          <w:lang w:val="en-US"/>
        </w:rPr>
        <w:t xml:space="preserve"> </w:t>
      </w:r>
      <w:r>
        <w:rPr>
          <w:rFonts w:ascii="Arial" w:hAnsi="Arial" w:cs="Arial"/>
          <w:color w:val="222222"/>
          <w:sz w:val="20"/>
          <w:szCs w:val="20"/>
          <w:lang w:val="en-US"/>
        </w:rPr>
        <w:fldChar w:fldCharType="begin" w:fldLock="1"/>
      </w:r>
      <w:r>
        <w:rPr>
          <w:rFonts w:ascii="Arial" w:hAnsi="Arial" w:cs="Arial"/>
          <w:color w:val="222222"/>
          <w:sz w:val="20"/>
          <w:szCs w:val="20"/>
          <w:lang w:val="en-US"/>
        </w:rPr>
        <w:instrText>ADDIN CSL_CITATION {"citationItems":[{"id":"ITEM-1","itemData":{"DOI":"10.1093/nar/gku936","ISSN":"13624962","PMID":"25300484","abstract":"The efficacy and the mutation spectrum of genome editing methods can vary substantially depending on the targeted sequence. A simple, quick assay to accurately characterize and quantify the induced mutations is therefore needed. Here we present TIDE, a method for this purpose that requires only a pair of PCR reactions and two standard capillary sequencing runs. The sequence traces are then analyzed by a specially developed decomposition algorithm that identifies the major induced mutations in the projected editing site and accurately determines their frequency in a cell population. This method is costeffective and quick, and it provides much more detailed information than current enzyme-based assays. An interactive web tool for automated decomposition of the sequence traces is available. TIDE greatly facilitates the testing and rational design of genome editing strategies.","author":[{"dropping-particle":"","family":"Brinkman","given":"Eva K.","non-dropping-particle":"","parse-names":false,"suffix":""},{"dropping-particle":"","family":"Chen","given":"Tao","non-dropping-particle":"","parse-names":false,"suffix":""},{"dropping-particle":"","family":"Amendola","given":"Mario","non-dropping-particle":"","parse-names":false,"suffix":""},{"dropping-particle":"","family":"Steensel","given":"Bas","non-dropping-particle":"Van","parse-names":false,"suffix":""}],"container-title":"Nucleic Acids Research","id":"ITEM-1","issued":{"date-parts":[["2014"]]},"title":"Easy quantitative assessment of genome editing by sequence trace decomposition","type":"article-journal"},"uris":["http://www.mendeley.com/documents/?uuid=e9f815c0-16c1-48fa-b177-15c4cf8cfbb7"]}],"mendeley":{"formattedCitation":"[25]","plainTextFormattedCitation":"[25]","previouslyFormattedCitation":"(25)"},"properties":{"noteIndex":0},"schema":"https://github.com/citation-style-language/schema/raw/master/csl-citation.json"}</w:instrText>
      </w:r>
      <w:r>
        <w:rPr>
          <w:rFonts w:ascii="Arial" w:hAnsi="Arial" w:cs="Arial"/>
          <w:color w:val="222222"/>
          <w:sz w:val="20"/>
          <w:szCs w:val="20"/>
          <w:lang w:val="en-US"/>
        </w:rPr>
        <w:fldChar w:fldCharType="separate"/>
      </w:r>
      <w:r w:rsidRPr="00BD10C7">
        <w:rPr>
          <w:rFonts w:ascii="Arial" w:hAnsi="Arial" w:cs="Arial"/>
          <w:noProof/>
          <w:color w:val="222222"/>
          <w:sz w:val="20"/>
          <w:szCs w:val="20"/>
          <w:lang w:val="en-US"/>
        </w:rPr>
        <w:t>[25]</w:t>
      </w:r>
      <w:r>
        <w:rPr>
          <w:rFonts w:ascii="Arial" w:hAnsi="Arial" w:cs="Arial"/>
          <w:color w:val="222222"/>
          <w:sz w:val="20"/>
          <w:szCs w:val="20"/>
          <w:lang w:val="en-US"/>
        </w:rPr>
        <w:fldChar w:fldCharType="end"/>
      </w:r>
      <w:r w:rsidRPr="003E5419">
        <w:rPr>
          <w:rFonts w:ascii="Arial" w:hAnsi="Arial" w:cs="Arial"/>
          <w:color w:val="222222"/>
          <w:sz w:val="20"/>
          <w:szCs w:val="20"/>
          <w:lang w:val="en-US"/>
        </w:rPr>
        <w:t xml:space="preserve">. </w:t>
      </w:r>
      <w:r>
        <w:rPr>
          <w:rFonts w:ascii="Arial" w:hAnsi="Arial" w:cs="Arial"/>
          <w:color w:val="222222"/>
          <w:sz w:val="20"/>
          <w:szCs w:val="20"/>
          <w:lang w:val="en-US"/>
        </w:rPr>
        <w:t>(I</w:t>
      </w:r>
      <w:r w:rsidRPr="003E5419">
        <w:rPr>
          <w:rFonts w:ascii="Arial" w:hAnsi="Arial" w:cs="Arial"/>
          <w:color w:val="222222"/>
          <w:sz w:val="20"/>
          <w:szCs w:val="20"/>
          <w:lang w:val="en-US"/>
        </w:rPr>
        <w:t>) Selected distribution of RNA-</w:t>
      </w:r>
      <w:proofErr w:type="spellStart"/>
      <w:r>
        <w:rPr>
          <w:rFonts w:ascii="Arial" w:hAnsi="Arial" w:cs="Arial"/>
          <w:color w:val="222222"/>
          <w:sz w:val="20"/>
          <w:szCs w:val="20"/>
          <w:lang w:val="en-US"/>
        </w:rPr>
        <w:t>S</w:t>
      </w:r>
      <w:r w:rsidRPr="003E5419">
        <w:rPr>
          <w:rFonts w:ascii="Arial" w:hAnsi="Arial" w:cs="Arial"/>
          <w:color w:val="222222"/>
          <w:sz w:val="20"/>
          <w:szCs w:val="20"/>
          <w:lang w:val="en-US"/>
        </w:rPr>
        <w:t>eq</w:t>
      </w:r>
      <w:proofErr w:type="spellEnd"/>
      <w:r w:rsidRPr="003E5419">
        <w:rPr>
          <w:rFonts w:ascii="Arial" w:hAnsi="Arial" w:cs="Arial"/>
          <w:color w:val="222222"/>
          <w:sz w:val="20"/>
          <w:szCs w:val="20"/>
          <w:lang w:val="en-US"/>
        </w:rPr>
        <w:t xml:space="preserve"> reads across the </w:t>
      </w:r>
      <w:r w:rsidRPr="003E5419">
        <w:rPr>
          <w:rFonts w:ascii="Arial" w:hAnsi="Arial" w:cs="Arial"/>
          <w:i/>
          <w:iCs/>
          <w:color w:val="222222"/>
          <w:sz w:val="20"/>
          <w:szCs w:val="20"/>
          <w:lang w:val="en-US"/>
        </w:rPr>
        <w:t>Nfat5</w:t>
      </w:r>
      <w:r w:rsidRPr="003E5419">
        <w:rPr>
          <w:rFonts w:ascii="Arial" w:hAnsi="Arial" w:cs="Arial"/>
          <w:color w:val="222222"/>
          <w:sz w:val="20"/>
          <w:szCs w:val="20"/>
          <w:lang w:val="en-US"/>
        </w:rPr>
        <w:t xml:space="preserve"> gene for control and 4-OH-TM treated cells</w:t>
      </w:r>
      <w:r>
        <w:rPr>
          <w:rFonts w:ascii="Arial" w:hAnsi="Arial" w:cs="Arial"/>
          <w:color w:val="222222"/>
          <w:sz w:val="20"/>
          <w:szCs w:val="20"/>
          <w:lang w:val="en-US"/>
        </w:rPr>
        <w:t xml:space="preserve"> shows loss of exon 4.</w:t>
      </w:r>
      <w:r w:rsidRPr="003E5419">
        <w:rPr>
          <w:rFonts w:ascii="Arial" w:hAnsi="Arial" w:cs="Arial"/>
          <w:color w:val="222222"/>
          <w:sz w:val="20"/>
          <w:szCs w:val="20"/>
          <w:lang w:val="en-US"/>
        </w:rPr>
        <w:t xml:space="preserve"> </w:t>
      </w:r>
      <w:r>
        <w:rPr>
          <w:rFonts w:ascii="Arial" w:hAnsi="Arial" w:cs="Arial"/>
          <w:color w:val="222222"/>
          <w:sz w:val="20"/>
          <w:szCs w:val="20"/>
          <w:lang w:val="en-US"/>
        </w:rPr>
        <w:t xml:space="preserve">(J) </w:t>
      </w:r>
      <w:r w:rsidRPr="00CC2D1C">
        <w:rPr>
          <w:rFonts w:ascii="Arial" w:hAnsi="Arial" w:cs="Arial"/>
          <w:color w:val="222222"/>
          <w:sz w:val="20"/>
          <w:szCs w:val="20"/>
          <w:lang w:val="en-US"/>
        </w:rPr>
        <w:t xml:space="preserve">Screen capture of human </w:t>
      </w:r>
      <w:r w:rsidRPr="00E7175F">
        <w:rPr>
          <w:rFonts w:ascii="Arial" w:hAnsi="Arial" w:cs="Arial"/>
          <w:i/>
          <w:iCs/>
          <w:color w:val="222222"/>
          <w:sz w:val="20"/>
          <w:szCs w:val="20"/>
          <w:lang w:val="en-US"/>
        </w:rPr>
        <w:t>RANBP3L</w:t>
      </w:r>
      <w:r w:rsidRPr="00CC2D1C">
        <w:rPr>
          <w:rFonts w:ascii="Arial" w:hAnsi="Arial" w:cs="Arial"/>
          <w:color w:val="222222"/>
          <w:sz w:val="20"/>
          <w:szCs w:val="20"/>
          <w:lang w:val="en-US"/>
        </w:rPr>
        <w:t xml:space="preserve"> promotor regio</w:t>
      </w:r>
      <w:r>
        <w:rPr>
          <w:rFonts w:ascii="Arial" w:hAnsi="Arial" w:cs="Arial"/>
          <w:color w:val="222222"/>
          <w:sz w:val="20"/>
          <w:szCs w:val="20"/>
          <w:lang w:val="en-US"/>
        </w:rPr>
        <w:t xml:space="preserve">n from the ECR Browser website </w:t>
      </w:r>
      <w:r w:rsidRPr="00CC2D1C">
        <w:rPr>
          <w:rFonts w:ascii="Arial" w:hAnsi="Arial" w:cs="Arial"/>
          <w:color w:val="222222"/>
          <w:sz w:val="20"/>
          <w:szCs w:val="20"/>
          <w:lang w:val="en-US"/>
        </w:rPr>
        <w:t xml:space="preserve">with evolutionary conserved regions (ECR) in the genomes of rat, mouse, </w:t>
      </w:r>
      <w:proofErr w:type="spellStart"/>
      <w:r w:rsidRPr="00CC2D1C">
        <w:rPr>
          <w:rFonts w:ascii="Arial" w:hAnsi="Arial" w:cs="Arial"/>
          <w:color w:val="222222"/>
          <w:sz w:val="20"/>
          <w:szCs w:val="20"/>
          <w:lang w:val="en-US"/>
        </w:rPr>
        <w:t>canis</w:t>
      </w:r>
      <w:proofErr w:type="spellEnd"/>
      <w:r w:rsidRPr="00CC2D1C">
        <w:rPr>
          <w:rFonts w:ascii="Arial" w:hAnsi="Arial" w:cs="Arial"/>
          <w:color w:val="222222"/>
          <w:sz w:val="20"/>
          <w:szCs w:val="20"/>
          <w:lang w:val="en-US"/>
        </w:rPr>
        <w:t xml:space="preserve">, </w:t>
      </w:r>
      <w:proofErr w:type="spellStart"/>
      <w:r w:rsidRPr="00CC2D1C">
        <w:rPr>
          <w:rFonts w:ascii="Arial" w:hAnsi="Arial" w:cs="Arial"/>
          <w:color w:val="222222"/>
          <w:sz w:val="20"/>
          <w:szCs w:val="20"/>
          <w:lang w:val="en-US"/>
        </w:rPr>
        <w:t>macaca</w:t>
      </w:r>
      <w:proofErr w:type="spellEnd"/>
      <w:r w:rsidRPr="00CC2D1C">
        <w:rPr>
          <w:rFonts w:ascii="Arial" w:hAnsi="Arial" w:cs="Arial"/>
          <w:color w:val="222222"/>
          <w:sz w:val="20"/>
          <w:szCs w:val="20"/>
          <w:lang w:val="en-US"/>
        </w:rPr>
        <w:t xml:space="preserve"> and pan. The lines in pink (arrows ahead) show ECR between hum</w:t>
      </w:r>
      <w:r>
        <w:rPr>
          <w:rFonts w:ascii="Arial" w:hAnsi="Arial" w:cs="Arial"/>
          <w:color w:val="222222"/>
          <w:sz w:val="20"/>
          <w:szCs w:val="20"/>
          <w:lang w:val="en-US"/>
        </w:rPr>
        <w:t xml:space="preserve">an and the indicated mammals </w:t>
      </w:r>
      <w:r>
        <w:rPr>
          <w:rFonts w:ascii="Arial" w:hAnsi="Arial" w:cs="Arial"/>
          <w:color w:val="222222"/>
          <w:sz w:val="20"/>
          <w:szCs w:val="20"/>
          <w:lang w:val="en-US"/>
        </w:rPr>
        <w:fldChar w:fldCharType="begin" w:fldLock="1"/>
      </w:r>
      <w:r>
        <w:rPr>
          <w:rFonts w:ascii="Arial" w:hAnsi="Arial" w:cs="Arial"/>
          <w:color w:val="222222"/>
          <w:sz w:val="20"/>
          <w:szCs w:val="20"/>
          <w:lang w:val="en-US"/>
        </w:rPr>
        <w:instrText>ADDIN CSL_CITATION {"citationItems":[{"id":"ITEM-1","itemData":{"DOI":"10.1093/nar/gkh355","ISSN":"03051048","abstract":"With an increasing number of vertebrate genomes being sequenced in draft or finished form, unique opportunities for decoding the language of DNA sequence through comparative genome alignments have arisen. However, novel tools and strategies are required to accommodate this large volume of genomic information and to facilitate the transfer of predictions generated by comparative sequence alignment to researchers focused on experimental annotation of genome function. Here, we present the ECR Browser, a tool that provides easy and dynamic access to whole genome alignments of human, mouse, rat and fish sequences. This web-based tool (http://ecrbrowser.dcode.org) provides the starting point for discovery of novel genes, identification of distant gene regulatory elements and prediction of transcription factor binding sites. The genome alignment portal of the ECR Browser also permits fast and automated alignments of any user-submitted sequence to the genome of choice. The interconnection of the ECR Browser with other DNA sequence analysis tools creates a unique portal for studying and exploring vertebrate genome. © Oxford University Press 2004; all rights reserved.","author":[{"dropping-particle":"","family":"Ovcharenko","given":"Ivan","non-dropping-particle":"","parse-names":false,"suffix":""},{"dropping-particle":"","family":"Nobrega","given":"Marcelo A.","non-dropping-particle":"","parse-names":false,"suffix":""},{"dropping-particle":"","family":"Loots","given":"Gabriela G.","non-dropping-particle":"","parse-names":false,"suffix":""},{"dropping-particle":"","family":"Stubbs","given":"Lisa","non-dropping-particle":"","parse-names":false,"suffix":""}],"container-title":"Nucleic Acids Research","id":"ITEM-1","issued":{"date-parts":[["2004"]]},"title":"ECR Browser: A tool for visualizing and accessing data from comparisons of multiple vertebrate genomes","type":"article-journal"},"uris":["http://www.mendeley.com/documents/?uuid=2049344d-a7c9-4929-b92b-867b2453c031"]}],"mendeley":{"formattedCitation":"[27]","plainTextFormattedCitation":"[27]","previouslyFormattedCitation":"(27)"},"properties":{"noteIndex":0},"schema":"https://github.com/citation-style-language/schema/raw/master/csl-citation.json"}</w:instrText>
      </w:r>
      <w:r>
        <w:rPr>
          <w:rFonts w:ascii="Arial" w:hAnsi="Arial" w:cs="Arial"/>
          <w:color w:val="222222"/>
          <w:sz w:val="20"/>
          <w:szCs w:val="20"/>
          <w:lang w:val="en-US"/>
        </w:rPr>
        <w:fldChar w:fldCharType="separate"/>
      </w:r>
      <w:r w:rsidRPr="00BD10C7">
        <w:rPr>
          <w:rFonts w:ascii="Arial" w:hAnsi="Arial" w:cs="Arial"/>
          <w:noProof/>
          <w:color w:val="222222"/>
          <w:sz w:val="20"/>
          <w:szCs w:val="20"/>
          <w:lang w:val="en-US"/>
        </w:rPr>
        <w:t>[27]</w:t>
      </w:r>
      <w:r>
        <w:rPr>
          <w:rFonts w:ascii="Arial" w:hAnsi="Arial" w:cs="Arial"/>
          <w:color w:val="222222"/>
          <w:sz w:val="20"/>
          <w:szCs w:val="20"/>
          <w:lang w:val="en-US"/>
        </w:rPr>
        <w:fldChar w:fldCharType="end"/>
      </w:r>
      <w:r>
        <w:rPr>
          <w:rFonts w:ascii="Arial" w:hAnsi="Arial" w:cs="Arial"/>
          <w:color w:val="222222"/>
          <w:sz w:val="20"/>
          <w:szCs w:val="20"/>
          <w:lang w:val="en-US"/>
        </w:rPr>
        <w:t>. (K</w:t>
      </w:r>
      <w:r w:rsidRPr="00CC2D1C">
        <w:rPr>
          <w:rFonts w:ascii="Arial" w:hAnsi="Arial" w:cs="Arial"/>
          <w:color w:val="222222"/>
          <w:sz w:val="20"/>
          <w:szCs w:val="20"/>
          <w:lang w:val="en-US"/>
        </w:rPr>
        <w:t xml:space="preserve">) 800 </w:t>
      </w:r>
      <w:proofErr w:type="spellStart"/>
      <w:r w:rsidRPr="00CC2D1C">
        <w:rPr>
          <w:rFonts w:ascii="Arial" w:hAnsi="Arial" w:cs="Arial"/>
          <w:color w:val="222222"/>
          <w:sz w:val="20"/>
          <w:szCs w:val="20"/>
          <w:lang w:val="en-US"/>
        </w:rPr>
        <w:t>bp</w:t>
      </w:r>
      <w:proofErr w:type="spellEnd"/>
      <w:r w:rsidRPr="00CC2D1C">
        <w:rPr>
          <w:rFonts w:ascii="Arial" w:hAnsi="Arial" w:cs="Arial"/>
          <w:color w:val="222222"/>
          <w:sz w:val="20"/>
          <w:szCs w:val="20"/>
          <w:lang w:val="en-US"/>
        </w:rPr>
        <w:t xml:space="preserve"> region </w:t>
      </w:r>
      <w:proofErr w:type="spellStart"/>
      <w:r w:rsidRPr="00CC2D1C">
        <w:rPr>
          <w:rFonts w:ascii="Arial" w:hAnsi="Arial" w:cs="Arial"/>
          <w:color w:val="222222"/>
          <w:sz w:val="20"/>
          <w:szCs w:val="20"/>
          <w:lang w:val="en-US"/>
        </w:rPr>
        <w:t>uptream</w:t>
      </w:r>
      <w:proofErr w:type="spellEnd"/>
      <w:r w:rsidRPr="00CC2D1C">
        <w:rPr>
          <w:rFonts w:ascii="Arial" w:hAnsi="Arial" w:cs="Arial"/>
          <w:color w:val="222222"/>
          <w:sz w:val="20"/>
          <w:szCs w:val="20"/>
          <w:lang w:val="en-US"/>
        </w:rPr>
        <w:t xml:space="preserve"> from </w:t>
      </w:r>
      <w:r w:rsidRPr="002D62F8">
        <w:rPr>
          <w:rFonts w:ascii="Arial" w:hAnsi="Arial" w:cs="Arial"/>
          <w:i/>
          <w:color w:val="222222"/>
          <w:sz w:val="20"/>
          <w:szCs w:val="20"/>
          <w:lang w:val="en-US"/>
        </w:rPr>
        <w:t>RANBP3L</w:t>
      </w:r>
      <w:r w:rsidRPr="00CC2D1C">
        <w:rPr>
          <w:rFonts w:ascii="Arial" w:hAnsi="Arial" w:cs="Arial"/>
          <w:color w:val="222222"/>
          <w:sz w:val="20"/>
          <w:szCs w:val="20"/>
          <w:lang w:val="en-US"/>
        </w:rPr>
        <w:t xml:space="preserve"> start site is conserved in the indicated mammals and contains one conserved NFAT5 consensus sequence (NNTTTCCA is indicated in yellow) and one non-conserved (nucleotides </w:t>
      </w:r>
      <w:r w:rsidRPr="00CC2D1C">
        <w:rPr>
          <w:rFonts w:ascii="Arial" w:hAnsi="Arial" w:cs="Arial"/>
          <w:color w:val="222222"/>
          <w:sz w:val="20"/>
          <w:szCs w:val="20"/>
          <w:lang w:val="en-US"/>
        </w:rPr>
        <w:lastRenderedPageBreak/>
        <w:t>are indicated in red).</w:t>
      </w:r>
      <w:r>
        <w:rPr>
          <w:rFonts w:ascii="Arial" w:hAnsi="Arial" w:cs="Arial"/>
          <w:color w:val="222222"/>
          <w:sz w:val="20"/>
          <w:szCs w:val="20"/>
          <w:lang w:val="en-US"/>
        </w:rPr>
        <w:t xml:space="preserve"> (L) Relative promotor activity of all </w:t>
      </w:r>
      <w:r w:rsidRPr="005E54CF">
        <w:rPr>
          <w:rFonts w:ascii="Arial" w:hAnsi="Arial" w:cs="Arial"/>
          <w:i/>
          <w:iCs/>
          <w:color w:val="222222"/>
          <w:sz w:val="20"/>
          <w:szCs w:val="20"/>
          <w:lang w:val="en-US"/>
        </w:rPr>
        <w:t xml:space="preserve">Ranbp3l </w:t>
      </w:r>
      <w:r>
        <w:rPr>
          <w:rFonts w:ascii="Arial" w:hAnsi="Arial" w:cs="Arial"/>
          <w:color w:val="222222"/>
          <w:sz w:val="20"/>
          <w:szCs w:val="20"/>
          <w:lang w:val="en-US"/>
        </w:rPr>
        <w:t xml:space="preserve">promotor constructs normalized to the </w:t>
      </w:r>
      <w:proofErr w:type="spellStart"/>
      <w:r>
        <w:rPr>
          <w:rFonts w:ascii="Arial" w:hAnsi="Arial" w:cs="Arial"/>
          <w:color w:val="222222"/>
          <w:sz w:val="20"/>
          <w:szCs w:val="20"/>
          <w:lang w:val="en-US"/>
        </w:rPr>
        <w:t>isoosmolar</w:t>
      </w:r>
      <w:proofErr w:type="spellEnd"/>
      <w:r>
        <w:rPr>
          <w:rFonts w:ascii="Arial" w:hAnsi="Arial" w:cs="Arial"/>
          <w:color w:val="222222"/>
          <w:sz w:val="20"/>
          <w:szCs w:val="20"/>
          <w:lang w:val="en-US"/>
        </w:rPr>
        <w:t xml:space="preserve"> control (n=</w:t>
      </w:r>
      <w:proofErr w:type="gramStart"/>
      <w:r>
        <w:rPr>
          <w:rFonts w:ascii="Arial" w:hAnsi="Arial" w:cs="Arial"/>
          <w:color w:val="222222"/>
          <w:sz w:val="20"/>
          <w:szCs w:val="20"/>
          <w:lang w:val="en-US"/>
        </w:rPr>
        <w:t>4</w:t>
      </w:r>
      <w:proofErr w:type="gramEnd"/>
      <w:r>
        <w:rPr>
          <w:rFonts w:ascii="Arial" w:hAnsi="Arial" w:cs="Arial"/>
          <w:color w:val="222222"/>
          <w:sz w:val="20"/>
          <w:szCs w:val="20"/>
          <w:lang w:val="en-US"/>
        </w:rPr>
        <w:t xml:space="preserve">, each with duplicates). </w:t>
      </w:r>
      <w:proofErr w:type="spellStart"/>
      <w:proofErr w:type="gramStart"/>
      <w:r w:rsidRPr="009268E9">
        <w:rPr>
          <w:rFonts w:ascii="Arial" w:eastAsiaTheme="minorEastAsia" w:hAnsi="Arial" w:cs="Arial"/>
          <w:kern w:val="24"/>
          <w:sz w:val="20"/>
          <w:szCs w:val="20"/>
          <w:lang w:val="en-US"/>
        </w:rPr>
        <w:t>n.s</w:t>
      </w:r>
      <w:proofErr w:type="spellEnd"/>
      <w:proofErr w:type="gramEnd"/>
      <w:r w:rsidRPr="009268E9">
        <w:rPr>
          <w:rFonts w:ascii="Arial" w:eastAsiaTheme="minorEastAsia" w:hAnsi="Arial" w:cs="Arial"/>
          <w:kern w:val="24"/>
          <w:sz w:val="20"/>
          <w:szCs w:val="20"/>
          <w:lang w:val="en-US"/>
        </w:rPr>
        <w:t>. &gt; 0.05, *, p &lt; 0.05, **, p &lt; 0.0</w:t>
      </w:r>
      <w:r>
        <w:rPr>
          <w:rFonts w:ascii="Arial" w:eastAsiaTheme="minorEastAsia" w:hAnsi="Arial" w:cs="Arial"/>
          <w:kern w:val="24"/>
          <w:sz w:val="20"/>
          <w:szCs w:val="20"/>
          <w:lang w:val="en-US"/>
        </w:rPr>
        <w:t xml:space="preserve">1. </w:t>
      </w:r>
      <w:r w:rsidRPr="005E54CF">
        <w:rPr>
          <w:rFonts w:ascii="Arial" w:hAnsi="Arial" w:cs="Arial"/>
          <w:sz w:val="20"/>
          <w:szCs w:val="20"/>
          <w:lang w:val="en-US"/>
        </w:rPr>
        <w:t xml:space="preserve">Student’s </w:t>
      </w:r>
      <w:r w:rsidRPr="005E54CF">
        <w:rPr>
          <w:rStyle w:val="Hervorhebung"/>
          <w:rFonts w:ascii="Arial" w:hAnsi="Arial" w:cs="Arial"/>
          <w:sz w:val="20"/>
          <w:szCs w:val="20"/>
          <w:lang w:val="en-US"/>
        </w:rPr>
        <w:t>t</w:t>
      </w:r>
      <w:r w:rsidRPr="005E54CF">
        <w:rPr>
          <w:rFonts w:ascii="Arial" w:hAnsi="Arial" w:cs="Arial"/>
          <w:sz w:val="20"/>
          <w:szCs w:val="20"/>
          <w:lang w:val="en-US"/>
        </w:rPr>
        <w:t xml:space="preserve"> test</w:t>
      </w:r>
      <w:r>
        <w:rPr>
          <w:rFonts w:ascii="Arial" w:hAnsi="Arial" w:cs="Arial"/>
          <w:sz w:val="20"/>
          <w:szCs w:val="20"/>
          <w:lang w:val="en-US"/>
        </w:rPr>
        <w:t>.</w:t>
      </w:r>
    </w:p>
    <w:p w:rsidR="00085CA1" w:rsidRDefault="00085CA1">
      <w:bookmarkStart w:id="0" w:name="_GoBack"/>
      <w:bookmarkEnd w:id="0"/>
    </w:p>
    <w:sectPr w:rsidR="00085CA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E46"/>
    <w:rsid w:val="00085CA1"/>
    <w:rsid w:val="00293E4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9A98E0-827D-4825-A4BC-BC29CCBAF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93E46"/>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ervorhebung">
    <w:name w:val="Emphasis"/>
    <w:basedOn w:val="Absatz-Standardschriftart"/>
    <w:uiPriority w:val="20"/>
    <w:qFormat/>
    <w:rsid w:val="00293E46"/>
    <w:rPr>
      <w:i/>
      <w:iCs/>
    </w:rPr>
  </w:style>
  <w:style w:type="character" w:styleId="Funotenzeichen">
    <w:name w:val="footnote reference"/>
    <w:basedOn w:val="Absatz-Standardschriftart"/>
    <w:uiPriority w:val="99"/>
    <w:semiHidden/>
    <w:unhideWhenUsed/>
    <w:rsid w:val="00293E4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1149</Words>
  <Characters>7240</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
    </vt:vector>
  </TitlesOfParts>
  <Company>Universitätsklinikum Halle (Saale)</Company>
  <LinksUpToDate>false</LinksUpToDate>
  <CharactersWithSpaces>8373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Chernyakov, Dmitry</dc:creator>
  <cp:keywords/>
  <dc:description/>
  <cp:lastModifiedBy>Chernyakov, Dmitry</cp:lastModifiedBy>
  <cp:revision>1</cp:revision>
  <dcterms:created xsi:type="dcterms:W3CDTF">2021-01-25T08:40:00Z</dcterms:created>
  <dcterms:modified xsi:type="dcterms:W3CDTF">2021-01-25T08:40:00Z</dcterms:modified>
</cp:coreProperties>
</file>