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F9F" w:rsidRPr="009268E9" w:rsidRDefault="00035F9F" w:rsidP="00035F9F">
      <w:pPr>
        <w:pStyle w:val="StandardWeb"/>
        <w:spacing w:before="0" w:beforeAutospacing="0" w:after="0" w:afterAutospacing="0" w:line="480" w:lineRule="auto"/>
        <w:jc w:val="both"/>
        <w:rPr>
          <w:rFonts w:ascii="Arial" w:eastAsiaTheme="minorEastAsia" w:hAnsi="Arial" w:cs="Arial"/>
          <w:kern w:val="24"/>
          <w:sz w:val="20"/>
          <w:szCs w:val="20"/>
          <w:lang w:val="en-US"/>
        </w:rPr>
      </w:pPr>
      <w:r w:rsidRPr="00FE0178">
        <w:rPr>
          <w:rFonts w:eastAsiaTheme="minorEastAsia"/>
          <w:noProof/>
        </w:rPr>
        <w:drawing>
          <wp:inline distT="0" distB="0" distL="0" distR="0" wp14:anchorId="1D53543E" wp14:editId="20D39B07">
            <wp:extent cx="5760720" cy="428879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4288790"/>
                    </a:xfrm>
                    <a:prstGeom prst="rect">
                      <a:avLst/>
                    </a:prstGeom>
                    <a:noFill/>
                    <a:ln>
                      <a:noFill/>
                    </a:ln>
                  </pic:spPr>
                </pic:pic>
              </a:graphicData>
            </a:graphic>
          </wp:inline>
        </w:drawing>
      </w:r>
    </w:p>
    <w:p w:rsidR="00035F9F" w:rsidRDefault="00035F9F" w:rsidP="00035F9F">
      <w:pPr>
        <w:spacing w:line="480" w:lineRule="auto"/>
        <w:rPr>
          <w:rFonts w:ascii="Arial" w:hAnsi="Arial" w:cs="Arial"/>
          <w:b/>
          <w:color w:val="000000"/>
          <w:sz w:val="20"/>
          <w:szCs w:val="20"/>
          <w:lang w:val="en-US"/>
        </w:rPr>
      </w:pPr>
      <w:r w:rsidRPr="00C86F5A">
        <w:rPr>
          <w:rFonts w:ascii="Arial" w:hAnsi="Arial" w:cs="Arial"/>
          <w:b/>
          <w:color w:val="000000"/>
          <w:sz w:val="20"/>
          <w:szCs w:val="20"/>
          <w:lang w:val="en-US"/>
        </w:rPr>
        <w:t>Figure S4:</w:t>
      </w:r>
    </w:p>
    <w:p w:rsidR="00035F9F" w:rsidRPr="0008542F" w:rsidRDefault="00035F9F" w:rsidP="00035F9F">
      <w:pPr>
        <w:spacing w:line="480" w:lineRule="auto"/>
        <w:jc w:val="both"/>
        <w:rPr>
          <w:rFonts w:ascii="Arial" w:hAnsi="Arial" w:cs="Arial"/>
          <w:b/>
          <w:color w:val="000000"/>
          <w:sz w:val="20"/>
          <w:szCs w:val="20"/>
          <w:lang w:val="en-US"/>
        </w:rPr>
      </w:pPr>
      <w:r w:rsidRPr="00C86F5A">
        <w:rPr>
          <w:rFonts w:ascii="Arial" w:hAnsi="Arial" w:cs="Arial"/>
          <w:bCs/>
          <w:color w:val="000000"/>
          <w:sz w:val="20"/>
          <w:szCs w:val="20"/>
          <w:lang w:val="en-US"/>
        </w:rPr>
        <w:t>(A-C) Somatic mutation analysis of</w:t>
      </w:r>
      <w:r w:rsidRPr="00C86F5A">
        <w:rPr>
          <w:rFonts w:ascii="Arial" w:hAnsi="Arial" w:cs="Arial"/>
          <w:bCs/>
          <w:i/>
          <w:iCs/>
          <w:color w:val="000000"/>
          <w:sz w:val="20"/>
          <w:szCs w:val="20"/>
          <w:lang w:val="en-US"/>
        </w:rPr>
        <w:t xml:space="preserve"> RANBP3L </w:t>
      </w:r>
      <w:r w:rsidRPr="00C86F5A">
        <w:rPr>
          <w:rFonts w:ascii="Arial" w:hAnsi="Arial" w:cs="Arial"/>
          <w:bCs/>
          <w:color w:val="000000"/>
          <w:sz w:val="20"/>
          <w:szCs w:val="20"/>
          <w:lang w:val="en-US"/>
        </w:rPr>
        <w:t>in KIRC (A), KICH (B) and KIRP (C).</w:t>
      </w:r>
      <w:r w:rsidRPr="00C86F5A">
        <w:rPr>
          <w:rFonts w:ascii="Arial" w:hAnsi="Arial" w:cs="Arial"/>
          <w:bCs/>
          <w:i/>
          <w:iCs/>
          <w:color w:val="000000"/>
          <w:sz w:val="20"/>
          <w:szCs w:val="20"/>
          <w:lang w:val="en-US"/>
        </w:rPr>
        <w:t xml:space="preserve"> </w:t>
      </w:r>
      <w:r>
        <w:rPr>
          <w:rFonts w:ascii="Arial" w:hAnsi="Arial" w:cs="Arial"/>
          <w:bCs/>
          <w:color w:val="000000"/>
          <w:sz w:val="20"/>
          <w:szCs w:val="20"/>
          <w:lang w:val="en-US"/>
        </w:rPr>
        <w:t xml:space="preserve">(D) </w:t>
      </w:r>
      <w:r w:rsidRPr="0008542F">
        <w:rPr>
          <w:rFonts w:ascii="Arial" w:hAnsi="Arial" w:cs="Arial"/>
          <w:bCs/>
          <w:color w:val="000000"/>
          <w:sz w:val="20"/>
          <w:szCs w:val="20"/>
          <w:lang w:val="en-US"/>
        </w:rPr>
        <w:t>RNA</w:t>
      </w:r>
      <w:r>
        <w:rPr>
          <w:rFonts w:ascii="Arial" w:hAnsi="Arial" w:cs="Arial"/>
          <w:bCs/>
          <w:color w:val="000000"/>
          <w:sz w:val="20"/>
          <w:szCs w:val="20"/>
          <w:lang w:val="en-US"/>
        </w:rPr>
        <w:t>-</w:t>
      </w:r>
      <w:proofErr w:type="spellStart"/>
      <w:r>
        <w:rPr>
          <w:rFonts w:ascii="Arial" w:hAnsi="Arial" w:cs="Arial"/>
          <w:bCs/>
          <w:color w:val="000000"/>
          <w:sz w:val="20"/>
          <w:szCs w:val="20"/>
          <w:lang w:val="en-US"/>
        </w:rPr>
        <w:t>Seq</w:t>
      </w:r>
      <w:proofErr w:type="spellEnd"/>
      <w:r w:rsidRPr="0008542F">
        <w:rPr>
          <w:rFonts w:ascii="Arial" w:hAnsi="Arial" w:cs="Arial"/>
          <w:bCs/>
          <w:color w:val="000000"/>
          <w:sz w:val="20"/>
          <w:szCs w:val="20"/>
          <w:lang w:val="en-US"/>
        </w:rPr>
        <w:t xml:space="preserve"> analy</w:t>
      </w:r>
      <w:r>
        <w:rPr>
          <w:rFonts w:ascii="Arial" w:hAnsi="Arial" w:cs="Arial"/>
          <w:bCs/>
          <w:color w:val="000000"/>
          <w:sz w:val="20"/>
          <w:szCs w:val="20"/>
          <w:lang w:val="en-US"/>
        </w:rPr>
        <w:t>sis</w:t>
      </w:r>
      <w:r w:rsidRPr="0008542F">
        <w:rPr>
          <w:rFonts w:ascii="Arial" w:hAnsi="Arial" w:cs="Arial"/>
          <w:bCs/>
          <w:color w:val="000000"/>
          <w:sz w:val="20"/>
          <w:szCs w:val="20"/>
          <w:lang w:val="en-US"/>
        </w:rPr>
        <w:t xml:space="preserve"> of WT (</w:t>
      </w:r>
      <w:proofErr w:type="spellStart"/>
      <w:r w:rsidRPr="0008542F">
        <w:rPr>
          <w:rFonts w:ascii="Arial" w:hAnsi="Arial" w:cs="Arial"/>
          <w:bCs/>
          <w:color w:val="000000"/>
          <w:sz w:val="20"/>
          <w:szCs w:val="20"/>
          <w:lang w:val="en-US"/>
        </w:rPr>
        <w:t>wildtype</w:t>
      </w:r>
      <w:proofErr w:type="spellEnd"/>
      <w:r w:rsidRPr="0008542F">
        <w:rPr>
          <w:rFonts w:ascii="Arial" w:hAnsi="Arial" w:cs="Arial"/>
          <w:bCs/>
          <w:color w:val="000000"/>
          <w:sz w:val="20"/>
          <w:szCs w:val="20"/>
          <w:lang w:val="en-US"/>
        </w:rPr>
        <w:t xml:space="preserve">) and </w:t>
      </w:r>
      <w:proofErr w:type="spellStart"/>
      <w:r w:rsidRPr="0008542F">
        <w:rPr>
          <w:rFonts w:ascii="Arial" w:hAnsi="Arial" w:cs="Arial"/>
          <w:bCs/>
          <w:color w:val="000000"/>
          <w:sz w:val="20"/>
          <w:szCs w:val="20"/>
          <w:lang w:val="en-US"/>
        </w:rPr>
        <w:t>Vhl</w:t>
      </w:r>
      <w:proofErr w:type="spellEnd"/>
      <w:r w:rsidRPr="0008542F">
        <w:rPr>
          <w:rFonts w:ascii="Arial" w:hAnsi="Arial" w:cs="Arial"/>
          <w:bCs/>
          <w:color w:val="000000"/>
          <w:sz w:val="20"/>
          <w:szCs w:val="20"/>
          <w:vertAlign w:val="superscript"/>
          <w:lang w:val="en-US"/>
        </w:rPr>
        <w:t>∆/∆</w:t>
      </w:r>
      <w:r w:rsidRPr="0008542F">
        <w:rPr>
          <w:rFonts w:ascii="Arial" w:hAnsi="Arial" w:cs="Arial"/>
          <w:bCs/>
          <w:color w:val="000000"/>
          <w:sz w:val="20"/>
          <w:szCs w:val="20"/>
          <w:lang w:val="en-US"/>
        </w:rPr>
        <w:t>Trp53</w:t>
      </w:r>
      <w:r w:rsidRPr="0008542F">
        <w:rPr>
          <w:rFonts w:ascii="Arial" w:hAnsi="Arial" w:cs="Arial"/>
          <w:bCs/>
          <w:color w:val="000000"/>
          <w:sz w:val="20"/>
          <w:szCs w:val="20"/>
          <w:vertAlign w:val="superscript"/>
          <w:lang w:val="en-US"/>
        </w:rPr>
        <w:t>∆/∆</w:t>
      </w:r>
      <w:r w:rsidRPr="0008542F">
        <w:rPr>
          <w:rFonts w:ascii="Arial" w:hAnsi="Arial" w:cs="Arial"/>
          <w:bCs/>
          <w:color w:val="000000"/>
          <w:sz w:val="20"/>
          <w:szCs w:val="20"/>
          <w:lang w:val="en-US"/>
        </w:rPr>
        <w:t>Rb1</w:t>
      </w:r>
      <w:r w:rsidRPr="0008542F">
        <w:rPr>
          <w:rFonts w:ascii="Arial" w:hAnsi="Arial" w:cs="Arial"/>
          <w:bCs/>
          <w:color w:val="000000"/>
          <w:sz w:val="20"/>
          <w:szCs w:val="20"/>
          <w:vertAlign w:val="superscript"/>
          <w:lang w:val="en-US"/>
        </w:rPr>
        <w:t>∆/∆</w:t>
      </w:r>
      <w:r w:rsidRPr="0008542F">
        <w:rPr>
          <w:rFonts w:ascii="Arial" w:hAnsi="Arial" w:cs="Arial"/>
          <w:bCs/>
          <w:color w:val="000000"/>
          <w:sz w:val="20"/>
          <w:szCs w:val="20"/>
          <w:lang w:val="en-US"/>
        </w:rPr>
        <w:t xml:space="preserve"> mice samples from </w:t>
      </w:r>
      <w:proofErr w:type="spellStart"/>
      <w:r w:rsidRPr="0008542F">
        <w:rPr>
          <w:rFonts w:ascii="Arial" w:hAnsi="Arial" w:cs="Arial"/>
          <w:bCs/>
          <w:i/>
          <w:iCs/>
          <w:color w:val="000000"/>
          <w:sz w:val="20"/>
          <w:szCs w:val="20"/>
          <w:lang w:val="en-US"/>
        </w:rPr>
        <w:t>Frew</w:t>
      </w:r>
      <w:proofErr w:type="spellEnd"/>
      <w:r w:rsidRPr="0008542F">
        <w:rPr>
          <w:rFonts w:ascii="Arial" w:hAnsi="Arial" w:cs="Arial"/>
          <w:bCs/>
          <w:i/>
          <w:iCs/>
          <w:color w:val="000000"/>
          <w:sz w:val="20"/>
          <w:szCs w:val="20"/>
          <w:lang w:val="en-US"/>
        </w:rPr>
        <w:t xml:space="preserve"> et al.</w:t>
      </w:r>
      <w:r w:rsidRPr="0008542F">
        <w:rPr>
          <w:rFonts w:ascii="Arial" w:hAnsi="Arial" w:cs="Arial"/>
          <w:bCs/>
          <w:color w:val="000000"/>
          <w:sz w:val="20"/>
          <w:szCs w:val="20"/>
          <w:lang w:val="en-US"/>
        </w:rPr>
        <w:t xml:space="preserve"> showing the normalized reads of </w:t>
      </w:r>
      <w:r w:rsidRPr="0008542F">
        <w:rPr>
          <w:rFonts w:ascii="Arial" w:hAnsi="Arial" w:cs="Arial"/>
          <w:bCs/>
          <w:i/>
          <w:iCs/>
          <w:color w:val="000000"/>
          <w:sz w:val="20"/>
          <w:szCs w:val="20"/>
          <w:lang w:val="en-US"/>
        </w:rPr>
        <w:t>Ranbp3l</w:t>
      </w:r>
      <w:r>
        <w:rPr>
          <w:rFonts w:ascii="Arial" w:hAnsi="Arial" w:cs="Arial"/>
          <w:bCs/>
          <w:i/>
          <w:iCs/>
          <w:color w:val="000000"/>
          <w:sz w:val="20"/>
          <w:szCs w:val="20"/>
          <w:lang w:val="en-US"/>
        </w:rPr>
        <w:t xml:space="preserve"> </w:t>
      </w:r>
      <w:r>
        <w:rPr>
          <w:rFonts w:ascii="Arial" w:hAnsi="Arial" w:cs="Arial"/>
          <w:bCs/>
          <w:i/>
          <w:iCs/>
          <w:color w:val="000000"/>
          <w:sz w:val="20"/>
          <w:szCs w:val="20"/>
          <w:lang w:val="en-US"/>
        </w:rPr>
        <w:fldChar w:fldCharType="begin" w:fldLock="1"/>
      </w:r>
      <w:r>
        <w:rPr>
          <w:rFonts w:ascii="Arial" w:hAnsi="Arial" w:cs="Arial"/>
          <w:bCs/>
          <w:i/>
          <w:iCs/>
          <w:color w:val="000000"/>
          <w:sz w:val="20"/>
          <w:szCs w:val="20"/>
          <w:lang w:val="en-US"/>
        </w:rPr>
        <w:instrText>ADDIN CSL_CITATION {"citationItems":[{"id":"ITEM-1","itemData":{"DOI":"10.1038/s41467-020-17873-3","ISSN":"20411723","PMID":"32807776","abstract":"Mutational inactivation of VHL is the earliest genetic event in the majority of clear cell renal cell carcinomas (ccRCC), leading to accumulation of the HIF-1α and HIF-2α transcription factors. While correlative studies of human ccRCC and functional studies using human ccRCC cell lines have implicated HIF-1α as an inhibitor and HIF-2α as a promoter of aggressive tumour behaviours, their roles in tumour onset have not been functionally addressed. Herein we show using an autochthonous ccRCC model that Hif1a is essential for tumour formation whereas Hif2a deletion has only minor effects on tumour initiation and growth. Both HIF-1α and HIF-2α are required for the clear cell phenotype. Transcriptomic and proteomic analyses reveal that HIF-1α regulates glycolysis while HIF-2α regulates genes associated with lipoprotein metabolism, ribosome biogenesis and E2F and MYC transcriptional activities. HIF-2α-deficient tumours are characterised by increased antigen presentation, interferon signalling and CD8+ T cell infiltration and activation. Single copy loss of HIF1A or high levels of HIF2A mRNA expression correlate with altered immune microenvironments in human ccRCC. These studies reveal an oncogenic role of HIF-1α in ccRCC initiation and suggest that alterations in the balance of HIF-1α and HIF-2α activities can affect different aspects of ccRCC biology and disease aggressiveness.","author":[{"dropping-particle":"","family":"Hoefflin","given":"Rouven","non-dropping-particle":"","parse-names":false,"suffix":""},{"dropping-particle":"","family":"Harlander","given":"Sabine","non-dropping-particle":"","parse-names":false,"suffix":""},{"dropping-particle":"","family":"Schäfer","given":"Silvia","non-dropping-particle":"","parse-names":false,"suffix":""},{"dropping-particle":"","family":"Metzger","given":"Patrick","non-dropping-particle":"","parse-names":false,"suffix":""},{"dropping-particle":"","family":"Kuo","given":"Fengshen","non-dropping-particle":"","parse-names":false,"suffix":""},{"dropping-particle":"","family":"Schönenberger","given":"Désirée","non-dropping-particle":"","parse-names":false,"suffix":""},{"dropping-particle":"","family":"Adlesic","given":"Mojca","non-dropping-particle":"","parse-names":false,"suffix":""},{"dropping-particle":"","family":"Peighambari","given":"Asin","non-dropping-particle":"","parse-names":false,"suffix":""},{"dropping-particle":"","family":"Seidel","given":"Philipp","non-dropping-particle":"","parse-names":false,"suffix":""},{"dropping-particle":"","family":"Chen","given":"Chia yi","non-dropping-particle":"","parse-names":false,"suffix":""},{"dropping-particle":"","family":"Consenza-Contreras","given":"Miguel","non-dropping-particle":"","parse-names":false,"suffix":""},{"dropping-particle":"","family":"Jud","given":"Andreas","non-dropping-particle":"","parse-names":false,"suffix":""},{"dropping-particle":"","family":"Lahrmann","given":"Bernd","non-dropping-particle":"","parse-names":false,"suffix":""},{"dropping-particle":"","family":"Grabe","given":"Niels","non-dropping-particle":"","parse-names":false,"suffix":""},{"dropping-particle":"","family":"Heide","given":"Danijela","non-dropping-particle":"","parse-names":false,"suffix":""},{"dropping-particle":"","family":"Uhl","given":"Franziska M.","non-dropping-particle":"","parse-names":false,"suffix":""},{"dropping-particle":"","family":"Chan","given":"Timothy A.","non-dropping-particle":"","parse-names":false,"suffix":""},{"dropping-particle":"","family":"Duyster","given":"Justus","non-dropping-particle":"","parse-names":false,"suffix":""},{"dropping-particle":"","family":"Zeiser","given":"Robert","non-dropping-particle":"","parse-names":false,"suffix":""},{"dropping-particle":"","family":"Schell","given":"Christoph","non-dropping-particle":"","parse-names":false,"suffix":""},{"dropping-particle":"","family":"Heikenwalder","given":"Mathias","non-dropping-particle":"","parse-names":false,"suffix":""},{"dropping-particle":"","family":"Schilling","given":"Oliver","non-dropping-particle":"","parse-names":false,"suffix":""},{"dropping-particle":"","family":"Hakimi","given":"A. Ari","non-dropping-particle":"","parse-names":false,"suffix":""},{"dropping-particle":"","family":"Boerries","given":"Melanie","non-dropping-particle":"","parse-names":false,"suffix":""},{"dropping-particle":"","family":"Frew","given":"Ian J.","non-dropping-particle":"","parse-names":false,"suffix":""}],"container-title":"Nature Communications","id":"ITEM-1","issued":{"date-parts":[["2020"]]},"title":"HIF-1α and HIF-2α differently regulate tumour development and inflammation of clear cell renal cell carcinoma in mice","type":"article-journal"},"uris":["http://www.mendeley.com/documents/?uuid=5bd6246c-974d-4a97-a682-5d1b6bb1a3bc"]}],"mendeley":{"formattedCitation":"[63]","plainTextFormattedCitation":"[63]","previouslyFormattedCitation":"(63)"},"properties":{"noteIndex":0},"schema":"https://github.com/citation-style-language/schema/raw/master/csl-citation.json"}</w:instrText>
      </w:r>
      <w:r>
        <w:rPr>
          <w:rFonts w:ascii="Arial" w:hAnsi="Arial" w:cs="Arial"/>
          <w:bCs/>
          <w:i/>
          <w:iCs/>
          <w:color w:val="000000"/>
          <w:sz w:val="20"/>
          <w:szCs w:val="20"/>
          <w:lang w:val="en-US"/>
        </w:rPr>
        <w:fldChar w:fldCharType="separate"/>
      </w:r>
      <w:r w:rsidRPr="00BD10C7">
        <w:rPr>
          <w:rFonts w:ascii="Arial" w:hAnsi="Arial" w:cs="Arial"/>
          <w:bCs/>
          <w:iCs/>
          <w:noProof/>
          <w:color w:val="000000"/>
          <w:sz w:val="20"/>
          <w:szCs w:val="20"/>
          <w:lang w:val="en-US"/>
        </w:rPr>
        <w:t>[63]</w:t>
      </w:r>
      <w:r>
        <w:rPr>
          <w:rFonts w:ascii="Arial" w:hAnsi="Arial" w:cs="Arial"/>
          <w:bCs/>
          <w:i/>
          <w:iCs/>
          <w:color w:val="000000"/>
          <w:sz w:val="20"/>
          <w:szCs w:val="20"/>
          <w:lang w:val="en-US"/>
        </w:rPr>
        <w:fldChar w:fldCharType="end"/>
      </w:r>
      <w:r>
        <w:rPr>
          <w:rFonts w:ascii="Arial" w:hAnsi="Arial" w:cs="Arial"/>
          <w:bCs/>
          <w:i/>
          <w:iCs/>
          <w:color w:val="000000"/>
          <w:sz w:val="20"/>
          <w:szCs w:val="20"/>
          <w:lang w:val="en-US"/>
        </w:rPr>
        <w:t xml:space="preserve">. </w:t>
      </w:r>
      <w:r w:rsidRPr="009268E9">
        <w:rPr>
          <w:rFonts w:ascii="Arial" w:eastAsiaTheme="minorEastAsia" w:hAnsi="Arial" w:cs="Arial"/>
          <w:kern w:val="24"/>
          <w:sz w:val="20"/>
          <w:szCs w:val="20"/>
          <w:lang w:val="en-US"/>
        </w:rPr>
        <w:t>*</w:t>
      </w:r>
      <w:r>
        <w:rPr>
          <w:rFonts w:ascii="Arial" w:eastAsiaTheme="minorEastAsia" w:hAnsi="Arial" w:cs="Arial"/>
          <w:kern w:val="24"/>
          <w:sz w:val="20"/>
          <w:szCs w:val="20"/>
          <w:lang w:val="en-US"/>
        </w:rPr>
        <w:t>*</w:t>
      </w:r>
      <w:r w:rsidRPr="009268E9">
        <w:rPr>
          <w:rFonts w:ascii="Arial" w:eastAsiaTheme="minorEastAsia" w:hAnsi="Arial" w:cs="Arial"/>
          <w:kern w:val="24"/>
          <w:sz w:val="20"/>
          <w:szCs w:val="20"/>
          <w:lang w:val="en-US"/>
        </w:rPr>
        <w:t>*, p &lt; 0.</w:t>
      </w:r>
      <w:r w:rsidRPr="005E54CF">
        <w:rPr>
          <w:rFonts w:ascii="Arial" w:eastAsiaTheme="minorEastAsia" w:hAnsi="Arial" w:cs="Arial"/>
          <w:kern w:val="24"/>
          <w:sz w:val="20"/>
          <w:szCs w:val="20"/>
          <w:lang w:val="en-US"/>
        </w:rPr>
        <w:t xml:space="preserve">001, </w:t>
      </w:r>
      <w:r w:rsidRPr="005E54CF">
        <w:rPr>
          <w:rFonts w:ascii="Arial" w:hAnsi="Arial" w:cs="Arial"/>
          <w:sz w:val="20"/>
          <w:szCs w:val="20"/>
          <w:lang w:val="en-US"/>
        </w:rPr>
        <w:t xml:space="preserve">Student’s </w:t>
      </w:r>
      <w:r w:rsidRPr="005E54CF">
        <w:rPr>
          <w:rStyle w:val="Hervorhebung"/>
          <w:rFonts w:ascii="Arial" w:hAnsi="Arial" w:cs="Arial"/>
          <w:sz w:val="20"/>
          <w:szCs w:val="20"/>
          <w:lang w:val="en-US"/>
        </w:rPr>
        <w:t>t</w:t>
      </w:r>
      <w:r w:rsidRPr="005E54CF">
        <w:rPr>
          <w:rFonts w:ascii="Arial" w:hAnsi="Arial" w:cs="Arial"/>
          <w:sz w:val="20"/>
          <w:szCs w:val="20"/>
          <w:lang w:val="en-US"/>
        </w:rPr>
        <w:t xml:space="preserve"> test</w:t>
      </w:r>
      <w:r w:rsidRPr="005E54CF">
        <w:rPr>
          <w:rFonts w:ascii="Arial" w:hAnsi="Arial" w:cs="Arial"/>
          <w:bCs/>
          <w:color w:val="000000"/>
          <w:sz w:val="20"/>
          <w:szCs w:val="20"/>
          <w:lang w:val="en-US"/>
        </w:rPr>
        <w:t>.</w:t>
      </w:r>
      <w:r>
        <w:rPr>
          <w:rFonts w:ascii="Arial" w:hAnsi="Arial" w:cs="Arial"/>
          <w:bCs/>
          <w:color w:val="000000"/>
          <w:sz w:val="20"/>
          <w:szCs w:val="20"/>
          <w:lang w:val="en-US"/>
        </w:rPr>
        <w:t xml:space="preserve"> </w:t>
      </w:r>
      <w:r w:rsidRPr="0008542F">
        <w:rPr>
          <w:rFonts w:ascii="Arial" w:hAnsi="Arial" w:cs="Arial"/>
          <w:bCs/>
          <w:color w:val="000000"/>
          <w:sz w:val="20"/>
          <w:szCs w:val="20"/>
          <w:lang w:val="en-US"/>
        </w:rPr>
        <w:t>(E</w:t>
      </w:r>
      <w:r>
        <w:rPr>
          <w:rFonts w:ascii="Arial" w:hAnsi="Arial" w:cs="Arial"/>
          <w:bCs/>
          <w:color w:val="000000"/>
          <w:sz w:val="20"/>
          <w:szCs w:val="20"/>
          <w:lang w:val="en-US"/>
        </w:rPr>
        <w:t>-F</w:t>
      </w:r>
      <w:r w:rsidRPr="0008542F">
        <w:rPr>
          <w:rFonts w:ascii="Arial" w:hAnsi="Arial" w:cs="Arial"/>
          <w:bCs/>
          <w:color w:val="000000"/>
          <w:sz w:val="20"/>
          <w:szCs w:val="20"/>
          <w:lang w:val="en-US"/>
        </w:rPr>
        <w:t>)</w:t>
      </w:r>
      <w:r>
        <w:rPr>
          <w:rFonts w:ascii="Arial" w:hAnsi="Arial" w:cs="Arial"/>
          <w:bCs/>
          <w:i/>
          <w:iCs/>
          <w:color w:val="000000"/>
          <w:sz w:val="20"/>
          <w:szCs w:val="20"/>
          <w:lang w:val="en-US"/>
        </w:rPr>
        <w:t xml:space="preserve"> </w:t>
      </w:r>
      <w:r w:rsidRPr="000F2656">
        <w:rPr>
          <w:rFonts w:ascii="Arial" w:hAnsi="Arial" w:cs="Arial"/>
          <w:bCs/>
          <w:color w:val="000000"/>
          <w:sz w:val="20"/>
          <w:szCs w:val="20"/>
          <w:lang w:val="en-US"/>
        </w:rPr>
        <w:t>RNA-</w:t>
      </w:r>
      <w:proofErr w:type="spellStart"/>
      <w:r w:rsidRPr="000F2656">
        <w:rPr>
          <w:rFonts w:ascii="Arial" w:hAnsi="Arial" w:cs="Arial"/>
          <w:bCs/>
          <w:color w:val="000000"/>
          <w:sz w:val="20"/>
          <w:szCs w:val="20"/>
          <w:lang w:val="en-US"/>
        </w:rPr>
        <w:t>Seq</w:t>
      </w:r>
      <w:proofErr w:type="spellEnd"/>
      <w:r>
        <w:rPr>
          <w:rFonts w:ascii="Arial" w:hAnsi="Arial" w:cs="Arial"/>
          <w:bCs/>
          <w:i/>
          <w:iCs/>
          <w:color w:val="000000"/>
          <w:sz w:val="20"/>
          <w:szCs w:val="20"/>
          <w:lang w:val="en-US"/>
        </w:rPr>
        <w:t xml:space="preserve"> </w:t>
      </w:r>
      <w:r>
        <w:rPr>
          <w:rFonts w:ascii="Arial" w:hAnsi="Arial" w:cs="Arial"/>
          <w:bCs/>
          <w:color w:val="000000"/>
          <w:sz w:val="20"/>
          <w:szCs w:val="20"/>
          <w:lang w:val="en-US"/>
        </w:rPr>
        <w:t xml:space="preserve">analysis from </w:t>
      </w:r>
      <w:r w:rsidRPr="008926DE">
        <w:rPr>
          <w:rFonts w:ascii="Arial" w:hAnsi="Arial" w:cs="Arial"/>
          <w:bCs/>
          <w:i/>
          <w:iCs/>
          <w:color w:val="000000"/>
          <w:sz w:val="20"/>
          <w:szCs w:val="20"/>
          <w:lang w:val="en-US"/>
        </w:rPr>
        <w:t>Pili et al.</w:t>
      </w:r>
      <w:r>
        <w:rPr>
          <w:rFonts w:ascii="Arial" w:hAnsi="Arial" w:cs="Arial"/>
          <w:bCs/>
          <w:iCs/>
          <w:color w:val="000000"/>
          <w:sz w:val="20"/>
          <w:szCs w:val="20"/>
          <w:lang w:val="en-US"/>
        </w:rPr>
        <w:t xml:space="preserve"> </w:t>
      </w:r>
      <w:r w:rsidRPr="008926DE">
        <w:rPr>
          <w:rFonts w:ascii="Arial" w:hAnsi="Arial" w:cs="Arial"/>
          <w:bCs/>
          <w:iCs/>
          <w:color w:val="000000"/>
          <w:sz w:val="20"/>
          <w:szCs w:val="20"/>
          <w:lang w:val="en-US"/>
        </w:rPr>
        <w:t>(E)</w:t>
      </w:r>
      <w:r>
        <w:rPr>
          <w:rFonts w:ascii="Arial" w:hAnsi="Arial" w:cs="Arial"/>
          <w:bCs/>
          <w:iCs/>
          <w:color w:val="000000"/>
          <w:sz w:val="20"/>
          <w:szCs w:val="20"/>
          <w:lang w:val="en-US"/>
        </w:rPr>
        <w:t xml:space="preserve"> </w:t>
      </w:r>
      <w:r>
        <w:rPr>
          <w:rFonts w:ascii="Arial" w:hAnsi="Arial" w:cs="Arial"/>
          <w:bCs/>
          <w:iCs/>
          <w:color w:val="000000"/>
          <w:sz w:val="20"/>
          <w:szCs w:val="20"/>
          <w:lang w:val="en-US"/>
        </w:rPr>
        <w:fldChar w:fldCharType="begin" w:fldLock="1"/>
      </w:r>
      <w:r>
        <w:rPr>
          <w:rFonts w:ascii="Arial" w:hAnsi="Arial" w:cs="Arial"/>
          <w:bCs/>
          <w:iCs/>
          <w:color w:val="000000"/>
          <w:sz w:val="20"/>
          <w:szCs w:val="20"/>
          <w:lang w:val="en-US"/>
        </w:rPr>
        <w:instrText>ADDIN CSL_CITATION {"citationItems":[{"id":"ITEM-1","itemData":{"DOI":"10.18632/oncotarget.9093","ISSN":"19492553","PMID":"27144525","abstract":"The genetic landscape and molecular features of collecting duct carcinoma (CDC) of the kidney remain largely unknown. Herein, we performed whole exome sequencing (WES) and transcriptome sequencing (RNASeq) on 7 CDC samples (CDC1 -7). Among the 7 samples, 4 samples with matched non-tumor tissue were used for copy number analysis by SNP array data. No recurrent somatic SNVs were observed except for MLL, which was found to be mutated (p.V297I and p.F407C) in 2 samples. We identified somatic SNVs in 14 other cancer census genes including: ATM, CREBBP, PRDM1, CBFB, FBXW7, IKZF1, KDR, KRAS, NACA, NF2, NUP98, SS18, TP53, and ZNF521. SNP array data identified a CDKN2A homozygous deletion in 3 samples and SNV analysis showed a non-sense mutation of the CDKN2A gene with unknown somatic status. To estimate the recurrent rate of CDKN2A abnormalities, we performed FISH screening of additional samples and confirmed the frequent loss (62.5%) of CDKN2A expression. Since cisplatin based therapy is the common treatment option for CDC, we investigated the expression of solute carrier (SLC) family transporters and found 45% alteration. In addition, SLC7A11 (cystine transporter, xCT), a cisplatin resistance associated gene, was found to be overexpressed in 4 out of 5 (80%) cases of CDC tumors tested, as compared to matched non-tumor tissue. In summary, our study provides a comprehensive genomic analysis of CDC and identifies potential pathways suitable for targeted therapies.","author":[{"dropping-particle":"","family":"Wang","given":"Jianmin","non-dropping-particle":"","parse-names":false,"suffix":""},{"dropping-particle":"","family":"Papanicolau-Sengos","given":"Antonios","non-dropping-particle":"","parse-names":false,"suffix":""},{"dropping-particle":"","family":"Chintala","given":"Sreenivasulu","non-dropping-particle":"","parse-names":false,"suffix":""},{"dropping-particle":"","family":"Wei","given":"Lei","non-dropping-particle":"","parse-names":false,"suffix":""},{"dropping-particle":"","family":"Liu","given":"Biao","non-dropping-particle":"","parse-names":false,"suffix":""},{"dropping-particle":"","family":"Hu","given":"Qiang","non-dropping-particle":"","parse-names":false,"suffix":""},{"dropping-particle":"","family":"Miles","given":"Kiersten Marie","non-dropping-particle":"","parse-names":false,"suffix":""},{"dropping-particle":"","family":"Conroy","given":"Jeffrey M.","non-dropping-particle":"","parse-names":false,"suffix":""},{"dropping-particle":"","family":"Glenn","given":"Sean T.","non-dropping-particle":"","parse-names":false,"suffix":""},{"dropping-particle":"","family":"Costantini","given":"Manuela","non-dropping-particle":"","parse-names":false,"suffix":""},{"dropping-particle":"","family":"Magi-Galluzzi","given":"Cristina","non-dropping-particle":"","parse-names":false,"suffix":""},{"dropping-particle":"","family":"Signoretti","given":"Sabina","non-dropping-particle":"","parse-names":false,"suffix":""},{"dropping-particle":"","family":"Choueiri","given":"Toni","non-dropping-particle":"","parse-names":false,"suffix":""},{"dropping-particle":"","family":"Gallucci","given":"Michele","non-dropping-particle":"","parse-names":false,"suffix":""},{"dropping-particle":"","family":"Sentinelli","given":"Steno","non-dropping-particle":"","parse-names":false,"suffix":""},{"dropping-particle":"","family":"Fazio","given":"Vito M.","non-dropping-particle":"","parse-names":false,"suffix":""},{"dropping-particle":"","family":"Poeta","given":"Maria Luana","non-dropping-particle":"","parse-names":false,"suffix":""},{"dropping-particle":"","family":"Liu","given":"Song","non-dropping-particle":"","parse-names":false,"suffix":""},{"dropping-particle":"","family":"Morrison","given":"Carl","non-dropping-particle":"","parse-names":false,"suffix":""},{"dropping-particle":"","family":"Pili","given":"Roberto","non-dropping-particle":"","parse-names":false,"suffix":""}],"container-title":"Oncotarget","id":"ITEM-1","issued":{"date-parts":[["2016"]]},"title":"Collecting duct carcinoma of the kidney is associated with CDKN2A deletion and SLC family gene up-regulation","type":"article-journal"},"uris":["http://www.mendeley.com/documents/?uuid=5a24fa65-dea6-4a9c-a5e4-6882f7b7549c"]}],"mendeley":{"formattedCitation":"[59]","plainTextFormattedCitation":"[59]","previouslyFormattedCitation":"(59)"},"properties":{"noteIndex":0},"schema":"https://github.com/citation-style-language/schema/raw/master/csl-citation.json"}</w:instrText>
      </w:r>
      <w:r>
        <w:rPr>
          <w:rFonts w:ascii="Arial" w:hAnsi="Arial" w:cs="Arial"/>
          <w:bCs/>
          <w:iCs/>
          <w:color w:val="000000"/>
          <w:sz w:val="20"/>
          <w:szCs w:val="20"/>
          <w:lang w:val="en-US"/>
        </w:rPr>
        <w:fldChar w:fldCharType="separate"/>
      </w:r>
      <w:r w:rsidRPr="00BD10C7">
        <w:rPr>
          <w:rFonts w:ascii="Arial" w:hAnsi="Arial" w:cs="Arial"/>
          <w:bCs/>
          <w:iCs/>
          <w:noProof/>
          <w:color w:val="000000"/>
          <w:sz w:val="20"/>
          <w:szCs w:val="20"/>
          <w:lang w:val="en-US"/>
        </w:rPr>
        <w:t>[59]</w:t>
      </w:r>
      <w:r>
        <w:rPr>
          <w:rFonts w:ascii="Arial" w:hAnsi="Arial" w:cs="Arial"/>
          <w:bCs/>
          <w:iCs/>
          <w:color w:val="000000"/>
          <w:sz w:val="20"/>
          <w:szCs w:val="20"/>
          <w:lang w:val="en-US"/>
        </w:rPr>
        <w:fldChar w:fldCharType="end"/>
      </w:r>
      <w:r>
        <w:rPr>
          <w:rFonts w:ascii="Arial" w:hAnsi="Arial" w:cs="Arial"/>
          <w:bCs/>
          <w:iCs/>
          <w:color w:val="000000"/>
          <w:sz w:val="20"/>
          <w:szCs w:val="20"/>
          <w:lang w:val="en-US"/>
        </w:rPr>
        <w:t xml:space="preserve"> </w:t>
      </w:r>
      <w:r w:rsidRPr="005E54CF">
        <w:rPr>
          <w:rFonts w:ascii="Arial" w:hAnsi="Arial" w:cs="Arial"/>
          <w:bCs/>
          <w:iCs/>
          <w:color w:val="000000"/>
          <w:sz w:val="20"/>
          <w:szCs w:val="20"/>
          <w:lang w:val="en-US"/>
        </w:rPr>
        <w:t>(</w:t>
      </w:r>
      <w:r w:rsidRPr="005E54CF">
        <w:rPr>
          <w:rFonts w:ascii="Arial" w:eastAsiaTheme="minorEastAsia" w:hAnsi="Arial" w:cs="Arial"/>
          <w:kern w:val="24"/>
          <w:sz w:val="20"/>
          <w:szCs w:val="20"/>
          <w:lang w:val="en-US"/>
        </w:rPr>
        <w:t xml:space="preserve">**, p &lt; 0.01, </w:t>
      </w:r>
      <w:r w:rsidRPr="005E54CF">
        <w:rPr>
          <w:rFonts w:ascii="Arial" w:hAnsi="Arial" w:cs="Arial"/>
          <w:sz w:val="20"/>
          <w:szCs w:val="20"/>
          <w:lang w:val="en-US"/>
        </w:rPr>
        <w:t xml:space="preserve">Student’s </w:t>
      </w:r>
      <w:r w:rsidRPr="005E54CF">
        <w:rPr>
          <w:rStyle w:val="Hervorhebung"/>
          <w:rFonts w:ascii="Arial" w:hAnsi="Arial" w:cs="Arial"/>
          <w:sz w:val="20"/>
          <w:szCs w:val="20"/>
          <w:lang w:val="en-US"/>
        </w:rPr>
        <w:t>t</w:t>
      </w:r>
      <w:r w:rsidRPr="005E54CF">
        <w:rPr>
          <w:rFonts w:ascii="Arial" w:hAnsi="Arial" w:cs="Arial"/>
          <w:sz w:val="20"/>
          <w:szCs w:val="20"/>
          <w:lang w:val="en-US"/>
        </w:rPr>
        <w:t xml:space="preserve"> test</w:t>
      </w:r>
      <w:r w:rsidRPr="005E54CF">
        <w:rPr>
          <w:rFonts w:ascii="Arial" w:eastAsiaTheme="minorEastAsia" w:hAnsi="Arial" w:cs="Arial"/>
          <w:kern w:val="24"/>
          <w:sz w:val="20"/>
          <w:szCs w:val="20"/>
          <w:lang w:val="en-US"/>
        </w:rPr>
        <w:t>)</w:t>
      </w:r>
      <w:r>
        <w:rPr>
          <w:rFonts w:ascii="Arial" w:eastAsiaTheme="minorEastAsia" w:hAnsi="Arial" w:cs="Arial"/>
          <w:kern w:val="24"/>
          <w:sz w:val="20"/>
          <w:szCs w:val="20"/>
          <w:lang w:val="en-US"/>
        </w:rPr>
        <w:t xml:space="preserve"> </w:t>
      </w:r>
      <w:r w:rsidRPr="005E54CF">
        <w:rPr>
          <w:rFonts w:ascii="Arial" w:hAnsi="Arial" w:cs="Arial"/>
          <w:bCs/>
          <w:iCs/>
          <w:color w:val="000000"/>
          <w:sz w:val="20"/>
          <w:szCs w:val="20"/>
          <w:lang w:val="en-US"/>
        </w:rPr>
        <w:t>and</w:t>
      </w:r>
      <w:r>
        <w:rPr>
          <w:rFonts w:ascii="Arial" w:hAnsi="Arial" w:cs="Arial"/>
          <w:bCs/>
          <w:iCs/>
          <w:color w:val="000000"/>
          <w:sz w:val="20"/>
          <w:szCs w:val="20"/>
          <w:lang w:val="en-US"/>
        </w:rPr>
        <w:t xml:space="preserve"> </w:t>
      </w:r>
      <w:r w:rsidRPr="000F2656">
        <w:rPr>
          <w:rFonts w:ascii="Arial" w:hAnsi="Arial" w:cs="Arial"/>
          <w:bCs/>
          <w:i/>
          <w:iCs/>
          <w:color w:val="000000"/>
          <w:sz w:val="20"/>
          <w:szCs w:val="20"/>
          <w:lang w:val="en-US"/>
        </w:rPr>
        <w:t>Lai et al</w:t>
      </w:r>
      <w:r>
        <w:rPr>
          <w:rFonts w:ascii="Arial" w:hAnsi="Arial" w:cs="Arial"/>
          <w:bCs/>
          <w:i/>
          <w:iCs/>
          <w:color w:val="000000"/>
          <w:sz w:val="20"/>
          <w:szCs w:val="20"/>
          <w:lang w:val="en-US"/>
        </w:rPr>
        <w:t xml:space="preserve">. </w:t>
      </w:r>
      <w:r w:rsidRPr="008926DE">
        <w:rPr>
          <w:rFonts w:ascii="Arial" w:hAnsi="Arial" w:cs="Arial"/>
          <w:bCs/>
          <w:iCs/>
          <w:color w:val="000000"/>
          <w:sz w:val="20"/>
          <w:szCs w:val="20"/>
          <w:lang w:val="en-US"/>
        </w:rPr>
        <w:t>(F)</w:t>
      </w:r>
      <w:r>
        <w:rPr>
          <w:rFonts w:ascii="Arial" w:hAnsi="Arial" w:cs="Arial"/>
          <w:bCs/>
          <w:iCs/>
          <w:color w:val="000000"/>
          <w:sz w:val="20"/>
          <w:szCs w:val="20"/>
          <w:lang w:val="en-US"/>
        </w:rPr>
        <w:t xml:space="preserve"> </w:t>
      </w:r>
      <w:r>
        <w:rPr>
          <w:rFonts w:ascii="Arial" w:hAnsi="Arial" w:cs="Arial"/>
          <w:bCs/>
          <w:iCs/>
          <w:color w:val="000000"/>
          <w:sz w:val="20"/>
          <w:szCs w:val="20"/>
          <w:lang w:val="en-US"/>
        </w:rPr>
        <w:fldChar w:fldCharType="begin" w:fldLock="1"/>
      </w:r>
      <w:r>
        <w:rPr>
          <w:rFonts w:ascii="Arial" w:hAnsi="Arial" w:cs="Arial"/>
          <w:bCs/>
          <w:iCs/>
          <w:color w:val="000000"/>
          <w:sz w:val="20"/>
          <w:szCs w:val="20"/>
          <w:lang w:val="en-US"/>
        </w:rPr>
        <w:instrText>ADDIN CSL_CITATION {"citationItems":[{"id":"ITEM-1","itemData":{"DOI":"10.3390/cancers12010064","ISSN":"20726694","abstract":"Collecting duct carcinoma (CDC) is a rare renal cell carcinoma subtype with a very poor prognosis. There have been only a few studies on gene expression analysis in CDCs. We compared the gene expression profiles of two CDC cases with those of eight normal tissues of renal cell carcinoma patients. At a threshold of |log2fold-change| ≥ 1, 3349 genes were upregulated and 1947 genes were downregulated in CDCs compared to the normal samples. Pathway analysis of the deregulated genes revealed that cancer pathways and cell cycle pathways were most prominent in CDCs. The most upregulated gene was keratin 17, and the most downregulated gene was cubilin. Among the most downregulated genes were four solute carrier genes (SLC3A1, SLC9A3, SLC26A7, and SLC47A1). The strongest negative correlations between miRNAs and mRNAs were found between the downregulated miR-374b-5p and its upregulated target genes HIST1H3B, HK2, and SLC7A11 and between upregulated miR-26b-5p and its downregulated target genes PPARGC1A, ALDH6A1, and MARC2. An upregulation of HK2 and a downregulation of PPARGC1A, ALDH6A1, and MARC2 were observed at the protein level. Survival analysis of the cancer genome atlas (TCGA) dataset showed for the first time that low gene expression of MARC2, cubilin, and SLC47A1 and high gene expression of KRT17 are associated with poor overall survival in clear cell renal cell carcinoma patients. Altogether, we identified dysregulated protein-coding genes, potential miRNA-target interactions, and prognostic markers that could be associated with CDC.","author":[{"dropping-particle":"","family":"Wach","given":"Sven","non-dropping-particle":"","parse-names":false,"suffix":""},{"dropping-particle":"","family":"Taubert","given":"Helge","non-dropping-particle":"","parse-names":false,"suffix":""},{"dropping-particle":"","family":"Weigelt","given":"Katrin","non-dropping-particle":"","parse-names":false,"suffix":""},{"dropping-particle":"","family":"Hase","given":"Nora","non-dropping-particle":"","parse-names":false,"suffix":""},{"dropping-particle":"","family":"Köhn","given":"Marcel","non-dropping-particle":"","parse-names":false,"suffix":""},{"dropping-particle":"","family":"Misiak","given":"Danny","non-dropping-particle":"","parse-names":false,"suffix":""},{"dropping-particle":"","family":"Hüttelmaier","given":"Stefan","non-dropping-particle":"","parse-names":false,"suffix":""},{"dropping-particle":"","family":"Stöhr","given":"Christine G.","non-dropping-particle":"","parse-names":false,"suffix":""},{"dropping-particle":"","family":"Kahlmeyer","given":"Andreas","non-dropping-particle":"","parse-names":false,"suffix":""},{"dropping-particle":"","family":"Haller","given":"Florian","non-dropping-particle":"","parse-names":false,"suffix":""},{"dropping-particle":"","family":"Vera","given":"Julio","non-dropping-particle":"","parse-names":false,"suffix":""},{"dropping-particle":"","family":"Hartmann","given":"Arndt","non-dropping-particle":"","parse-names":false,"suffix":""},{"dropping-particle":"","family":"Wullich","given":"Bernd","non-dropping-particle":"","parse-names":false,"suffix":""},{"dropping-particle":"","family":"Lai","given":"Xin","non-dropping-particle":"","parse-names":false,"suffix":""}],"container-title":"Cancers","id":"ITEM-1","issued":{"date-parts":[["2020"]]},"title":"RNA sequencing of collecting duct renal cell carcinoma suggests an interaction between miRNA and target genes and a predominance of deregulated solute carrier genes","type":"article-journal"},"uris":["http://www.mendeley.com/documents/?uuid=d69b3b07-f8be-44fe-bc30-2e059aa274ee"]}],"mendeley":{"formattedCitation":"[61]","plainTextFormattedCitation":"[61]","previouslyFormattedCitation":"(61)"},"properties":{"noteIndex":0},"schema":"https://github.com/citation-style-language/schema/raw/master/csl-citation.json"}</w:instrText>
      </w:r>
      <w:r>
        <w:rPr>
          <w:rFonts w:ascii="Arial" w:hAnsi="Arial" w:cs="Arial"/>
          <w:bCs/>
          <w:iCs/>
          <w:color w:val="000000"/>
          <w:sz w:val="20"/>
          <w:szCs w:val="20"/>
          <w:lang w:val="en-US"/>
        </w:rPr>
        <w:fldChar w:fldCharType="separate"/>
      </w:r>
      <w:r w:rsidRPr="00BD10C7">
        <w:rPr>
          <w:rFonts w:ascii="Arial" w:hAnsi="Arial" w:cs="Arial"/>
          <w:bCs/>
          <w:iCs/>
          <w:noProof/>
          <w:color w:val="000000"/>
          <w:sz w:val="20"/>
          <w:szCs w:val="20"/>
          <w:lang w:val="en-US"/>
        </w:rPr>
        <w:t>[61]</w:t>
      </w:r>
      <w:r>
        <w:rPr>
          <w:rFonts w:ascii="Arial" w:hAnsi="Arial" w:cs="Arial"/>
          <w:bCs/>
          <w:iCs/>
          <w:color w:val="000000"/>
          <w:sz w:val="20"/>
          <w:szCs w:val="20"/>
          <w:lang w:val="en-US"/>
        </w:rPr>
        <w:fldChar w:fldCharType="end"/>
      </w:r>
      <w:r>
        <w:rPr>
          <w:rFonts w:ascii="Arial" w:hAnsi="Arial" w:cs="Arial"/>
          <w:bCs/>
          <w:i/>
          <w:iCs/>
          <w:color w:val="000000"/>
          <w:sz w:val="20"/>
          <w:szCs w:val="20"/>
          <w:lang w:val="en-US"/>
        </w:rPr>
        <w:t xml:space="preserve"> </w:t>
      </w:r>
      <w:r w:rsidRPr="000F2656">
        <w:rPr>
          <w:rFonts w:ascii="Arial" w:hAnsi="Arial" w:cs="Arial"/>
          <w:bCs/>
          <w:color w:val="000000"/>
          <w:sz w:val="20"/>
          <w:szCs w:val="20"/>
          <w:lang w:val="en-US"/>
        </w:rPr>
        <w:t xml:space="preserve">of normal tissue and collecting duct carcinoma </w:t>
      </w:r>
      <w:r w:rsidRPr="0008542F">
        <w:rPr>
          <w:rFonts w:ascii="Arial" w:hAnsi="Arial" w:cs="Arial"/>
          <w:bCs/>
          <w:color w:val="000000"/>
          <w:sz w:val="20"/>
          <w:szCs w:val="20"/>
          <w:lang w:val="en-US"/>
        </w:rPr>
        <w:t xml:space="preserve">(CDC) samples </w:t>
      </w:r>
      <w:r>
        <w:rPr>
          <w:rFonts w:ascii="Arial" w:hAnsi="Arial" w:cs="Arial"/>
          <w:bCs/>
          <w:color w:val="000000"/>
          <w:sz w:val="20"/>
          <w:szCs w:val="20"/>
          <w:lang w:val="en-US"/>
        </w:rPr>
        <w:t xml:space="preserve">showing the read counts of </w:t>
      </w:r>
      <w:r w:rsidRPr="0008542F">
        <w:rPr>
          <w:rFonts w:ascii="Arial" w:hAnsi="Arial" w:cs="Arial"/>
          <w:bCs/>
          <w:i/>
          <w:iCs/>
          <w:color w:val="000000"/>
          <w:sz w:val="20"/>
          <w:szCs w:val="20"/>
          <w:lang w:val="en-US"/>
        </w:rPr>
        <w:t>RANBP3L</w:t>
      </w:r>
      <w:r>
        <w:rPr>
          <w:rFonts w:ascii="Arial" w:hAnsi="Arial" w:cs="Arial"/>
          <w:bCs/>
          <w:i/>
          <w:iCs/>
          <w:color w:val="000000"/>
          <w:sz w:val="20"/>
          <w:szCs w:val="20"/>
          <w:lang w:val="en-US"/>
        </w:rPr>
        <w:t xml:space="preserve">. </w:t>
      </w:r>
    </w:p>
    <w:p w:rsidR="00085CA1" w:rsidRDefault="00085CA1">
      <w:bookmarkStart w:id="0" w:name="_GoBack"/>
      <w:bookmarkEnd w:id="0"/>
    </w:p>
    <w:sectPr w:rsidR="00085CA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F9F"/>
    <w:rsid w:val="00035F9F"/>
    <w:rsid w:val="00085C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13E90-F274-4339-8C5C-DFE66180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35F9F"/>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basedOn w:val="Absatz-Standardschriftart"/>
    <w:uiPriority w:val="20"/>
    <w:qFormat/>
    <w:rsid w:val="00035F9F"/>
    <w:rPr>
      <w:i/>
      <w:iCs/>
    </w:rPr>
  </w:style>
  <w:style w:type="paragraph" w:styleId="StandardWeb">
    <w:name w:val="Normal (Web)"/>
    <w:basedOn w:val="Standard"/>
    <w:uiPriority w:val="99"/>
    <w:unhideWhenUsed/>
    <w:rsid w:val="00035F9F"/>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1943</Words>
  <Characters>12243</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Universitätsklinikum Halle (Saale)</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Chernyakov, Dmitry</dc:creator>
  <cp:keywords/>
  <dc:description/>
  <cp:lastModifiedBy>Chernyakov, Dmitry</cp:lastModifiedBy>
  <cp:revision>1</cp:revision>
  <dcterms:created xsi:type="dcterms:W3CDTF">2021-01-25T08:41:00Z</dcterms:created>
  <dcterms:modified xsi:type="dcterms:W3CDTF">2021-01-25T08:42:00Z</dcterms:modified>
</cp:coreProperties>
</file>