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5EAEA" w14:textId="07E27B68" w:rsidR="006D6885" w:rsidRPr="00BC5C62" w:rsidRDefault="002F6660" w:rsidP="006D6885">
      <w:pPr>
        <w:wordWrap/>
        <w:spacing w:after="0" w:line="480" w:lineRule="auto"/>
        <w:rPr>
          <w:rFonts w:ascii="Times New Roman" w:hAnsi="Times New Roman"/>
          <w:b/>
          <w:color w:val="000000" w:themeColor="text1"/>
          <w:sz w:val="36"/>
        </w:rPr>
      </w:pPr>
      <w:bookmarkStart w:id="0" w:name="_Hlk77321868"/>
      <w:r w:rsidRPr="00BC5C62">
        <w:rPr>
          <w:rFonts w:ascii="Times New Roman" w:hAnsi="Times New Roman"/>
          <w:b/>
          <w:color w:val="000000" w:themeColor="text1"/>
          <w:sz w:val="36"/>
        </w:rPr>
        <w:t>Additional file 1</w:t>
      </w:r>
      <w:bookmarkStart w:id="1" w:name="_GoBack"/>
      <w:bookmarkEnd w:id="1"/>
    </w:p>
    <w:bookmarkEnd w:id="0"/>
    <w:p w14:paraId="46BA6284" w14:textId="34B14ECC" w:rsidR="006D6885" w:rsidRDefault="002F6660" w:rsidP="006D6885">
      <w:pPr>
        <w:wordWrap/>
        <w:spacing w:after="0" w:line="480" w:lineRule="auto"/>
        <w:rPr>
          <w:rFonts w:ascii="Times New Roman" w:hAnsi="Times New Roman"/>
          <w:b/>
          <w:sz w:val="22"/>
        </w:rPr>
      </w:pPr>
      <w:r w:rsidRPr="002F6660">
        <w:rPr>
          <w:rFonts w:ascii="Times New Roman" w:hAnsi="Times New Roman"/>
          <w:b/>
          <w:sz w:val="22"/>
        </w:rPr>
        <w:t xml:space="preserve">FAM167A is a key molecule to induce BCR-ABL-independent TKI resistance </w:t>
      </w:r>
      <w:r w:rsidR="005108DA">
        <w:rPr>
          <w:rFonts w:ascii="Times New Roman" w:hAnsi="Times New Roman" w:hint="eastAsia"/>
          <w:b/>
          <w:sz w:val="22"/>
        </w:rPr>
        <w:t xml:space="preserve">in </w:t>
      </w:r>
      <w:r w:rsidR="005108DA">
        <w:rPr>
          <w:rFonts w:ascii="Times New Roman" w:hAnsi="Times New Roman"/>
          <w:b/>
          <w:sz w:val="22"/>
        </w:rPr>
        <w:t xml:space="preserve">CML </w:t>
      </w:r>
      <w:r w:rsidRPr="002F6660">
        <w:rPr>
          <w:rFonts w:ascii="Times New Roman" w:hAnsi="Times New Roman"/>
          <w:b/>
          <w:sz w:val="22"/>
        </w:rPr>
        <w:t>via noncanonical NF-</w:t>
      </w:r>
      <w:r>
        <w:rPr>
          <w:rFonts w:ascii="Times New Roman" w:hAnsi="Times New Roman"/>
          <w:b/>
          <w:sz w:val="22"/>
        </w:rPr>
        <w:sym w:font="Symbol" w:char="F06B"/>
      </w:r>
      <w:r w:rsidRPr="002F6660">
        <w:rPr>
          <w:rFonts w:ascii="Times New Roman" w:hAnsi="Times New Roman"/>
          <w:b/>
          <w:sz w:val="22"/>
        </w:rPr>
        <w:t>B signaling activation</w:t>
      </w:r>
    </w:p>
    <w:p w14:paraId="45C42C41" w14:textId="77777777" w:rsidR="002F6660" w:rsidRDefault="002F6660" w:rsidP="006D6885">
      <w:pPr>
        <w:wordWrap/>
        <w:spacing w:after="0" w:line="480" w:lineRule="auto"/>
        <w:rPr>
          <w:rFonts w:ascii="Times New Roman" w:hAnsi="Times New Roman"/>
          <w:sz w:val="22"/>
        </w:rPr>
      </w:pPr>
    </w:p>
    <w:p w14:paraId="6C650DF3" w14:textId="4C572885" w:rsidR="006D6885" w:rsidRPr="00BB2AC0" w:rsidRDefault="006D6885" w:rsidP="006D6885">
      <w:pPr>
        <w:wordWrap/>
        <w:spacing w:after="0" w:line="480" w:lineRule="auto"/>
        <w:rPr>
          <w:rFonts w:ascii="Times New Roman" w:hAnsi="Times New Roman"/>
          <w:sz w:val="22"/>
        </w:rPr>
      </w:pPr>
      <w:r w:rsidRPr="00BB2AC0">
        <w:rPr>
          <w:rFonts w:ascii="Times New Roman" w:hAnsi="Times New Roman"/>
          <w:sz w:val="22"/>
        </w:rPr>
        <w:t>Taewoo Yang</w:t>
      </w:r>
      <w:r w:rsidRPr="00BB2AC0">
        <w:rPr>
          <w:rFonts w:ascii="Times New Roman" w:hAnsi="Times New Roman"/>
          <w:sz w:val="22"/>
          <w:vertAlign w:val="superscript"/>
        </w:rPr>
        <w:t>1,2</w:t>
      </w:r>
      <w:r w:rsidRPr="00BB2AC0">
        <w:rPr>
          <w:rFonts w:ascii="Times New Roman" w:hAnsi="Times New Roman"/>
          <w:sz w:val="22"/>
        </w:rPr>
        <w:t>, Kyu-Young Sim</w:t>
      </w:r>
      <w:r w:rsidRPr="00BB2AC0">
        <w:rPr>
          <w:rFonts w:ascii="Times New Roman" w:hAnsi="Times New Roman"/>
          <w:sz w:val="22"/>
          <w:vertAlign w:val="superscript"/>
        </w:rPr>
        <w:t>1,2</w:t>
      </w:r>
      <w:r w:rsidRPr="00BB2AC0">
        <w:rPr>
          <w:rFonts w:ascii="Times New Roman" w:hAnsi="Times New Roman"/>
          <w:sz w:val="22"/>
        </w:rPr>
        <w:t>, Gwang-Hoon Ko</w:t>
      </w:r>
      <w:r w:rsidRPr="00BB2AC0">
        <w:rPr>
          <w:rFonts w:ascii="Times New Roman" w:hAnsi="Times New Roman"/>
          <w:sz w:val="22"/>
          <w:vertAlign w:val="superscript"/>
        </w:rPr>
        <w:t>1,2</w:t>
      </w:r>
      <w:r w:rsidRPr="00BB2AC0">
        <w:rPr>
          <w:rFonts w:ascii="Times New Roman" w:hAnsi="Times New Roman"/>
          <w:sz w:val="22"/>
        </w:rPr>
        <w:t>, Jae-Sook Ahn</w:t>
      </w:r>
      <w:r w:rsidRPr="00BB2AC0">
        <w:rPr>
          <w:rFonts w:ascii="Times New Roman" w:hAnsi="Times New Roman"/>
          <w:sz w:val="22"/>
          <w:vertAlign w:val="superscript"/>
        </w:rPr>
        <w:t>3</w:t>
      </w:r>
      <w:r w:rsidRPr="00BB2AC0">
        <w:rPr>
          <w:rFonts w:ascii="Times New Roman" w:hAnsi="Times New Roman"/>
          <w:sz w:val="22"/>
        </w:rPr>
        <w:t>, Hyeoung-Joon Kim</w:t>
      </w:r>
      <w:r w:rsidRPr="00BB2AC0">
        <w:rPr>
          <w:rFonts w:ascii="Times New Roman" w:hAnsi="Times New Roman"/>
          <w:sz w:val="22"/>
          <w:vertAlign w:val="superscript"/>
        </w:rPr>
        <w:t>3</w:t>
      </w:r>
      <w:r w:rsidRPr="00BB2AC0">
        <w:rPr>
          <w:rFonts w:ascii="Times New Roman" w:hAnsi="Times New Roman"/>
          <w:sz w:val="22"/>
        </w:rPr>
        <w:t>, and Sung-Gyoo Park</w:t>
      </w:r>
      <w:r w:rsidRPr="00BB2AC0">
        <w:rPr>
          <w:rFonts w:ascii="Times New Roman" w:hAnsi="Times New Roman"/>
          <w:sz w:val="22"/>
          <w:vertAlign w:val="superscript"/>
        </w:rPr>
        <w:t>1</w:t>
      </w:r>
    </w:p>
    <w:p w14:paraId="7BD50E32" w14:textId="77777777" w:rsidR="006D6885" w:rsidRPr="00BB2AC0" w:rsidRDefault="006D6885" w:rsidP="006D6885">
      <w:pPr>
        <w:wordWrap/>
        <w:spacing w:after="0" w:line="480" w:lineRule="auto"/>
        <w:rPr>
          <w:rFonts w:ascii="Times New Roman" w:hAnsi="Times New Roman"/>
          <w:sz w:val="22"/>
        </w:rPr>
      </w:pPr>
    </w:p>
    <w:p w14:paraId="378E9C29" w14:textId="77777777" w:rsidR="006D6885" w:rsidRPr="00BB2AC0" w:rsidRDefault="006D6885" w:rsidP="006D6885">
      <w:pPr>
        <w:wordWrap/>
        <w:spacing w:after="0" w:line="480" w:lineRule="auto"/>
        <w:rPr>
          <w:rFonts w:ascii="Times New Roman" w:hAnsi="Times New Roman"/>
          <w:sz w:val="22"/>
        </w:rPr>
      </w:pPr>
      <w:r w:rsidRPr="00BB2AC0">
        <w:rPr>
          <w:rFonts w:ascii="Times New Roman" w:hAnsi="Times New Roman"/>
          <w:sz w:val="22"/>
          <w:vertAlign w:val="superscript"/>
        </w:rPr>
        <w:t>1</w:t>
      </w:r>
      <w:r w:rsidRPr="00BB2AC0">
        <w:rPr>
          <w:rFonts w:ascii="Times New Roman" w:hAnsi="Times New Roman"/>
          <w:sz w:val="22"/>
        </w:rPr>
        <w:t>Institute of Pharmaceutical Sciences, College of Pharmacy, Seoul National University, Seoul 08826, Republic of Korea</w:t>
      </w:r>
    </w:p>
    <w:p w14:paraId="75099E71" w14:textId="77777777" w:rsidR="006D6885" w:rsidRPr="00BB2AC0" w:rsidRDefault="006D6885" w:rsidP="006D6885">
      <w:pPr>
        <w:wordWrap/>
        <w:spacing w:after="0" w:line="480" w:lineRule="auto"/>
        <w:jc w:val="left"/>
        <w:rPr>
          <w:rFonts w:ascii="Times New Roman" w:hAnsi="Times New Roman"/>
          <w:sz w:val="22"/>
        </w:rPr>
      </w:pPr>
      <w:r w:rsidRPr="00BB2AC0">
        <w:rPr>
          <w:rFonts w:ascii="Times New Roman" w:hAnsi="Times New Roman"/>
          <w:sz w:val="22"/>
          <w:vertAlign w:val="superscript"/>
        </w:rPr>
        <w:t>2</w:t>
      </w:r>
      <w:r w:rsidRPr="00BB2AC0">
        <w:rPr>
          <w:rFonts w:ascii="Times New Roman" w:hAnsi="Times New Roman"/>
          <w:sz w:val="22"/>
        </w:rPr>
        <w:t>School of Life Sciences, Gwangju Institute of Science and Technology, Gwangju 61005, Republic of Korea</w:t>
      </w:r>
    </w:p>
    <w:p w14:paraId="0D10552E" w14:textId="77777777" w:rsidR="006D6885" w:rsidRPr="00BB2AC0" w:rsidRDefault="006D6885" w:rsidP="006D6885">
      <w:pPr>
        <w:wordWrap/>
        <w:spacing w:after="0" w:line="480" w:lineRule="auto"/>
        <w:rPr>
          <w:rFonts w:ascii="Times New Roman" w:hAnsi="Times New Roman"/>
          <w:sz w:val="22"/>
        </w:rPr>
      </w:pPr>
      <w:r w:rsidRPr="00BB2AC0">
        <w:rPr>
          <w:rFonts w:ascii="Times New Roman" w:hAnsi="Times New Roman"/>
          <w:sz w:val="22"/>
          <w:vertAlign w:val="superscript"/>
        </w:rPr>
        <w:t>3</w:t>
      </w:r>
      <w:r w:rsidRPr="00BB2AC0">
        <w:rPr>
          <w:rFonts w:ascii="Times New Roman" w:hAnsi="Times New Roman"/>
          <w:sz w:val="22"/>
        </w:rPr>
        <w:t>Department of Hematology-Oncology, Chonnam National University Hwasun Hospital, Hwasun 58128, Republic of Korea</w:t>
      </w:r>
    </w:p>
    <w:p w14:paraId="02724D52" w14:textId="1F9DFCAA" w:rsidR="007415E3" w:rsidRPr="0003230B" w:rsidRDefault="007415E3" w:rsidP="007415E3">
      <w:pPr>
        <w:wordWrap/>
        <w:spacing w:after="0" w:line="480" w:lineRule="auto"/>
        <w:rPr>
          <w:rFonts w:ascii="Times New Roman" w:hAnsi="Times New Roman"/>
          <w:color w:val="000000"/>
          <w:kern w:val="0"/>
          <w:sz w:val="22"/>
        </w:rPr>
      </w:pPr>
      <w:r w:rsidRPr="0006236D">
        <w:rPr>
          <w:rFonts w:ascii="Times New Roman" w:hAnsi="Times New Roman"/>
          <w:color w:val="000000"/>
          <w:kern w:val="0"/>
          <w:sz w:val="22"/>
          <w:vertAlign w:val="superscript"/>
        </w:rPr>
        <w:t>*</w:t>
      </w:r>
      <w:r w:rsidRPr="00BB2AC0">
        <w:rPr>
          <w:rFonts w:ascii="Times New Roman" w:hAnsi="Times New Roman"/>
          <w:color w:val="000000"/>
          <w:kern w:val="0"/>
          <w:sz w:val="22"/>
        </w:rPr>
        <w:t xml:space="preserve">Correspondence and requests for materials should be addressed to </w:t>
      </w:r>
      <w:r w:rsidRPr="00BB2AC0">
        <w:rPr>
          <w:rFonts w:ascii="Times New Roman" w:hAnsi="Times New Roman"/>
          <w:sz w:val="22"/>
        </w:rPr>
        <w:t xml:space="preserve">S.G.P. </w:t>
      </w:r>
      <w:r w:rsidRPr="00BB2AC0">
        <w:rPr>
          <w:rFonts w:ascii="Times New Roman" w:hAnsi="Times New Roman"/>
          <w:color w:val="000000"/>
          <w:kern w:val="0"/>
          <w:sz w:val="22"/>
        </w:rPr>
        <w:t xml:space="preserve">(email: </w:t>
      </w:r>
      <w:r w:rsidRPr="00BC5C62">
        <w:rPr>
          <w:rFonts w:ascii="Times New Roman" w:hAnsi="Times New Roman" w:hint="eastAsia"/>
          <w:kern w:val="0"/>
          <w:sz w:val="22"/>
        </w:rPr>
        <w:t>r</w:t>
      </w:r>
      <w:r w:rsidRPr="00BC5C62">
        <w:rPr>
          <w:rFonts w:ascii="Times New Roman" w:hAnsi="Times New Roman"/>
          <w:kern w:val="0"/>
          <w:sz w:val="22"/>
        </w:rPr>
        <w:t>iceo2@snu.ac.kr</w:t>
      </w:r>
      <w:r w:rsidRPr="00BB2AC0">
        <w:rPr>
          <w:rFonts w:ascii="Times New Roman" w:hAnsi="Times New Roman"/>
          <w:color w:val="000000"/>
          <w:kern w:val="0"/>
          <w:sz w:val="22"/>
        </w:rPr>
        <w:t>)</w:t>
      </w:r>
    </w:p>
    <w:p w14:paraId="2B5589B7" w14:textId="760CE447" w:rsidR="00B83F5E" w:rsidRDefault="006D6885" w:rsidP="007415E3">
      <w:pPr>
        <w:wordWrap/>
        <w:spacing w:after="0" w:line="480" w:lineRule="auto"/>
      </w:pPr>
      <w:r w:rsidRPr="00BB2AC0">
        <w:rPr>
          <w:rFonts w:ascii="Times New Roman" w:hAnsi="Times New Roman"/>
          <w:sz w:val="22"/>
        </w:rPr>
        <w:br/>
      </w:r>
      <w:r w:rsidR="00B83F5E">
        <w:br w:type="page"/>
      </w:r>
      <w:bookmarkStart w:id="2" w:name="Figures"/>
      <w:bookmarkStart w:id="3" w:name="Tables"/>
      <w:bookmarkStart w:id="4" w:name="MaterialsMethods"/>
      <w:bookmarkEnd w:id="2"/>
      <w:bookmarkEnd w:id="3"/>
      <w:bookmarkEnd w:id="4"/>
      <w:r w:rsidR="00B83F5E" w:rsidRPr="0094773D">
        <w:rPr>
          <w:noProof/>
        </w:rPr>
        <w:lastRenderedPageBreak/>
        <w:drawing>
          <wp:inline distT="0" distB="0" distL="0" distR="0" wp14:anchorId="54EC1CB1" wp14:editId="675C56E9">
            <wp:extent cx="5417926" cy="3162300"/>
            <wp:effectExtent l="0" t="0" r="0" b="0"/>
            <wp:docPr id="1" name="그림 1" descr="E:\CML\CML paper\Cell death and differentiation\Supplementary 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ML\CML paper\Cell death and differentiation\Supplementary Figure 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491" cy="3166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0FD50" w14:textId="5323DFF4" w:rsidR="00B83F5E" w:rsidRPr="00BC5C62" w:rsidRDefault="00B83F5E" w:rsidP="00B83F5E">
      <w:pPr>
        <w:adjustRightInd w:val="0"/>
        <w:spacing w:after="0" w:line="480" w:lineRule="auto"/>
        <w:rPr>
          <w:rFonts w:ascii="Times New Roman" w:hAnsi="Times New Roman"/>
          <w:b/>
          <w:color w:val="000000" w:themeColor="text1"/>
          <w:sz w:val="22"/>
        </w:rPr>
      </w:pPr>
      <w:r w:rsidRPr="00BC5C62">
        <w:rPr>
          <w:rFonts w:ascii="Times New Roman" w:hAnsi="Times New Roman"/>
          <w:b/>
          <w:color w:val="000000" w:themeColor="text1"/>
          <w:sz w:val="22"/>
        </w:rPr>
        <w:t>Fig. S1 K562R cells are resistant to TKIs, while K562S cells are not.</w:t>
      </w:r>
    </w:p>
    <w:p w14:paraId="545292A5" w14:textId="08CB98A0" w:rsidR="00B83F5E" w:rsidRPr="00B83F5E" w:rsidRDefault="00B83F5E" w:rsidP="00B83F5E">
      <w:pPr>
        <w:adjustRightInd w:val="0"/>
        <w:spacing w:after="0" w:line="48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A</w:t>
      </w:r>
      <w:r w:rsidRPr="00B83F5E">
        <w:rPr>
          <w:rFonts w:ascii="Times New Roman" w:hAnsi="Times New Roman"/>
          <w:sz w:val="22"/>
        </w:rPr>
        <w:t xml:space="preserve">, </w:t>
      </w:r>
      <w:r>
        <w:rPr>
          <w:rFonts w:ascii="Times New Roman" w:hAnsi="Times New Roman"/>
          <w:b/>
          <w:sz w:val="22"/>
        </w:rPr>
        <w:t>B</w:t>
      </w:r>
      <w:r w:rsidRPr="00B83F5E">
        <w:rPr>
          <w:rFonts w:ascii="Times New Roman" w:hAnsi="Times New Roman"/>
          <w:sz w:val="22"/>
        </w:rPr>
        <w:t xml:space="preserve"> Viability </w:t>
      </w:r>
      <w:r w:rsidRPr="00B83F5E">
        <w:rPr>
          <w:rFonts w:ascii="Times New Roman" w:hAnsi="Times New Roman"/>
          <w:color w:val="000000"/>
          <w:sz w:val="22"/>
        </w:rPr>
        <w:t>analysis</w:t>
      </w:r>
      <w:r w:rsidRPr="00B83F5E">
        <w:rPr>
          <w:rFonts w:ascii="Times New Roman" w:hAnsi="Times New Roman"/>
          <w:color w:val="FF0000"/>
          <w:sz w:val="22"/>
        </w:rPr>
        <w:t xml:space="preserve"> </w:t>
      </w:r>
      <w:r w:rsidRPr="00B83F5E">
        <w:rPr>
          <w:rFonts w:ascii="Times New Roman" w:hAnsi="Times New Roman"/>
          <w:sz w:val="22"/>
        </w:rPr>
        <w:t xml:space="preserve">of K562S and K562R cells after treatment with the </w:t>
      </w:r>
      <w:r w:rsidRPr="00B83F5E">
        <w:rPr>
          <w:rFonts w:ascii="Times New Roman" w:hAnsi="Times New Roman"/>
          <w:color w:val="000000"/>
          <w:sz w:val="22"/>
        </w:rPr>
        <w:t>indicated concentrations of</w:t>
      </w:r>
      <w:r w:rsidRPr="00B83F5E">
        <w:rPr>
          <w:rFonts w:ascii="Times New Roman" w:hAnsi="Times New Roman"/>
          <w:color w:val="FF0000"/>
          <w:sz w:val="22"/>
        </w:rPr>
        <w:t xml:space="preserve"> </w:t>
      </w:r>
      <w:r w:rsidRPr="00B83F5E">
        <w:rPr>
          <w:rFonts w:ascii="Times New Roman" w:hAnsi="Times New Roman"/>
          <w:sz w:val="22"/>
        </w:rPr>
        <w:t>imatinib (</w:t>
      </w:r>
      <w:r>
        <w:rPr>
          <w:rFonts w:ascii="Times New Roman" w:hAnsi="Times New Roman"/>
          <w:b/>
          <w:sz w:val="22"/>
        </w:rPr>
        <w:t>A</w:t>
      </w:r>
      <w:r w:rsidRPr="00B83F5E">
        <w:rPr>
          <w:rFonts w:ascii="Times New Roman" w:hAnsi="Times New Roman"/>
          <w:sz w:val="22"/>
        </w:rPr>
        <w:t>) or nilotinib (</w:t>
      </w:r>
      <w:r>
        <w:rPr>
          <w:rFonts w:ascii="Times New Roman" w:hAnsi="Times New Roman"/>
          <w:b/>
          <w:sz w:val="22"/>
        </w:rPr>
        <w:t>B</w:t>
      </w:r>
      <w:r w:rsidRPr="00B83F5E">
        <w:rPr>
          <w:rFonts w:ascii="Times New Roman" w:hAnsi="Times New Roman"/>
          <w:sz w:val="22"/>
        </w:rPr>
        <w:t xml:space="preserve">) for 3 days. </w:t>
      </w:r>
      <w:r>
        <w:rPr>
          <w:rFonts w:ascii="Times New Roman" w:hAnsi="Times New Roman"/>
          <w:b/>
          <w:sz w:val="22"/>
        </w:rPr>
        <w:t>C</w:t>
      </w:r>
      <w:r w:rsidRPr="00B83F5E">
        <w:rPr>
          <w:rFonts w:ascii="Times New Roman" w:hAnsi="Times New Roman"/>
          <w:sz w:val="22"/>
        </w:rPr>
        <w:t xml:space="preserve">, </w:t>
      </w:r>
      <w:r>
        <w:rPr>
          <w:rFonts w:ascii="Times New Roman" w:hAnsi="Times New Roman"/>
          <w:b/>
          <w:sz w:val="22"/>
        </w:rPr>
        <w:t>D</w:t>
      </w:r>
      <w:r w:rsidRPr="00B83F5E">
        <w:rPr>
          <w:rFonts w:ascii="Times New Roman" w:hAnsi="Times New Roman"/>
          <w:sz w:val="22"/>
        </w:rPr>
        <w:t xml:space="preserve"> Flow cytometry of Annexin V-stained cells to evaluate apoptosis in K562S and K562R cells after treatment with the </w:t>
      </w:r>
      <w:r w:rsidRPr="00B83F5E">
        <w:rPr>
          <w:rFonts w:ascii="Times New Roman" w:hAnsi="Times New Roman"/>
          <w:color w:val="000000"/>
          <w:sz w:val="22"/>
        </w:rPr>
        <w:t xml:space="preserve">indicated concentrations of </w:t>
      </w:r>
      <w:r w:rsidRPr="00B83F5E">
        <w:rPr>
          <w:rFonts w:ascii="Times New Roman" w:hAnsi="Times New Roman"/>
          <w:sz w:val="22"/>
        </w:rPr>
        <w:t>imatinib (</w:t>
      </w:r>
      <w:r>
        <w:rPr>
          <w:rFonts w:ascii="Times New Roman" w:hAnsi="Times New Roman"/>
          <w:b/>
          <w:sz w:val="22"/>
        </w:rPr>
        <w:t>C</w:t>
      </w:r>
      <w:r w:rsidRPr="00B83F5E">
        <w:rPr>
          <w:rFonts w:ascii="Times New Roman" w:hAnsi="Times New Roman"/>
          <w:sz w:val="22"/>
        </w:rPr>
        <w:t>) or nilotinib (</w:t>
      </w:r>
      <w:r>
        <w:rPr>
          <w:rFonts w:ascii="Times New Roman" w:hAnsi="Times New Roman"/>
          <w:b/>
          <w:sz w:val="22"/>
        </w:rPr>
        <w:t>D</w:t>
      </w:r>
      <w:r w:rsidRPr="00B83F5E">
        <w:rPr>
          <w:rFonts w:ascii="Times New Roman" w:hAnsi="Times New Roman"/>
          <w:sz w:val="22"/>
        </w:rPr>
        <w:t>) for 3 days. Data are representative of three (</w:t>
      </w:r>
      <w:r>
        <w:rPr>
          <w:rFonts w:ascii="Times New Roman" w:hAnsi="Times New Roman"/>
          <w:b/>
          <w:sz w:val="22"/>
        </w:rPr>
        <w:t>A</w:t>
      </w:r>
      <w:r w:rsidRPr="00B83F5E">
        <w:rPr>
          <w:rFonts w:ascii="Times New Roman" w:hAnsi="Times New Roman"/>
          <w:sz w:val="22"/>
        </w:rPr>
        <w:sym w:font="Symbol" w:char="F02D"/>
      </w:r>
      <w:r>
        <w:rPr>
          <w:rFonts w:ascii="Times New Roman" w:hAnsi="Times New Roman"/>
          <w:b/>
          <w:sz w:val="22"/>
        </w:rPr>
        <w:t>D</w:t>
      </w:r>
      <w:r w:rsidRPr="00B83F5E">
        <w:rPr>
          <w:rFonts w:ascii="Times New Roman" w:hAnsi="Times New Roman"/>
          <w:sz w:val="22"/>
        </w:rPr>
        <w:t>) independent experiments (error bars, s.d. of triplicate (</w:t>
      </w:r>
      <w:r>
        <w:rPr>
          <w:rFonts w:ascii="Times New Roman" w:hAnsi="Times New Roman"/>
          <w:b/>
          <w:sz w:val="22"/>
        </w:rPr>
        <w:t>A</w:t>
      </w:r>
      <w:r w:rsidRPr="00B83F5E">
        <w:rPr>
          <w:rFonts w:ascii="Times New Roman" w:hAnsi="Times New Roman"/>
          <w:sz w:val="22"/>
        </w:rPr>
        <w:t xml:space="preserve">, </w:t>
      </w:r>
      <w:r>
        <w:rPr>
          <w:rFonts w:ascii="Times New Roman" w:hAnsi="Times New Roman"/>
          <w:b/>
          <w:sz w:val="22"/>
        </w:rPr>
        <w:t>B</w:t>
      </w:r>
      <w:r w:rsidRPr="00B83F5E">
        <w:rPr>
          <w:rFonts w:ascii="Times New Roman" w:hAnsi="Times New Roman"/>
          <w:sz w:val="22"/>
        </w:rPr>
        <w:t xml:space="preserve">) samples). Unpaired two-tailed </w:t>
      </w:r>
      <w:r w:rsidRPr="00B83F5E">
        <w:rPr>
          <w:rFonts w:ascii="Times New Roman" w:hAnsi="Times New Roman"/>
          <w:i/>
          <w:sz w:val="22"/>
        </w:rPr>
        <w:t>t</w:t>
      </w:r>
      <w:r w:rsidRPr="00B83F5E">
        <w:rPr>
          <w:rFonts w:ascii="Times New Roman" w:hAnsi="Times New Roman"/>
          <w:sz w:val="22"/>
        </w:rPr>
        <w:t>-test; ***</w:t>
      </w:r>
      <w:r w:rsidRPr="00B83F5E">
        <w:rPr>
          <w:rFonts w:ascii="Times New Roman" w:hAnsi="Times New Roman"/>
          <w:i/>
          <w:sz w:val="22"/>
        </w:rPr>
        <w:t>P</w:t>
      </w:r>
      <w:r w:rsidRPr="00B83F5E">
        <w:rPr>
          <w:rFonts w:ascii="Times New Roman" w:hAnsi="Times New Roman"/>
          <w:sz w:val="22"/>
        </w:rPr>
        <w:t>&lt;0.001. K562S, TKI-sensitive K562 cell line; K562R, BCR-ABL kinase domain mutation-free TKI-resistant K562 cell line.</w:t>
      </w:r>
    </w:p>
    <w:p w14:paraId="7ED0A0B3" w14:textId="77777777" w:rsidR="00B83F5E" w:rsidRDefault="00B83F5E" w:rsidP="00B83F5E">
      <w:pPr>
        <w:adjustRightInd w:val="0"/>
        <w:spacing w:line="480" w:lineRule="auto"/>
        <w:rPr>
          <w:b/>
          <w:color w:val="C00000"/>
          <w:sz w:val="22"/>
        </w:rPr>
      </w:pPr>
      <w:r>
        <w:rPr>
          <w:b/>
          <w:color w:val="C00000"/>
          <w:sz w:val="22"/>
        </w:rPr>
        <w:br w:type="page"/>
      </w:r>
    </w:p>
    <w:p w14:paraId="24B1EE49" w14:textId="77777777" w:rsidR="00B83F5E" w:rsidRDefault="00B83F5E" w:rsidP="00B83F5E">
      <w:pPr>
        <w:adjustRightInd w:val="0"/>
        <w:spacing w:line="480" w:lineRule="auto"/>
        <w:jc w:val="center"/>
        <w:rPr>
          <w:b/>
          <w:color w:val="C00000"/>
          <w:sz w:val="22"/>
        </w:rPr>
      </w:pPr>
      <w:r w:rsidRPr="0094773D">
        <w:rPr>
          <w:b/>
          <w:noProof/>
          <w:color w:val="C00000"/>
          <w:sz w:val="22"/>
        </w:rPr>
        <w:lastRenderedPageBreak/>
        <w:drawing>
          <wp:inline distT="0" distB="0" distL="0" distR="0" wp14:anchorId="35F29895" wp14:editId="0DEFE8CB">
            <wp:extent cx="5245419" cy="5899150"/>
            <wp:effectExtent l="0" t="0" r="0" b="6350"/>
            <wp:docPr id="12" name="그림 12" descr="E:\CML\CML paper\Cell death and differentiation\Supplementary Figur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CML\CML paper\Cell death and differentiation\Supplementary Figure 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83" cy="590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F38B7" w14:textId="5DC081BF" w:rsidR="00B83F5E" w:rsidRPr="00BC5C62" w:rsidRDefault="00B83F5E" w:rsidP="00B83F5E">
      <w:pPr>
        <w:adjustRightInd w:val="0"/>
        <w:spacing w:after="0" w:line="480" w:lineRule="auto"/>
        <w:rPr>
          <w:rFonts w:ascii="Times New Roman" w:hAnsi="Times New Roman"/>
          <w:b/>
          <w:color w:val="000000" w:themeColor="text1"/>
          <w:sz w:val="22"/>
        </w:rPr>
      </w:pPr>
      <w:r w:rsidRPr="00BC5C62">
        <w:rPr>
          <w:rFonts w:ascii="Times New Roman" w:hAnsi="Times New Roman"/>
          <w:b/>
          <w:color w:val="000000" w:themeColor="text1"/>
          <w:sz w:val="22"/>
        </w:rPr>
        <w:t>Fig. S2 K562R cells exhibit BCR-ABL-independent resistance to TKIs.</w:t>
      </w:r>
    </w:p>
    <w:p w14:paraId="37FFA849" w14:textId="131348C0" w:rsidR="00B83F5E" w:rsidRPr="00B83F5E" w:rsidRDefault="00B83F5E" w:rsidP="00B83F5E">
      <w:pPr>
        <w:adjustRightInd w:val="0"/>
        <w:spacing w:after="0" w:line="48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A</w:t>
      </w:r>
      <w:r w:rsidRPr="00B83F5E">
        <w:rPr>
          <w:rFonts w:ascii="Times New Roman" w:hAnsi="Times New Roman"/>
          <w:sz w:val="22"/>
        </w:rPr>
        <w:t xml:space="preserve"> Scheme of the sequenced region with reported mutation sites for BCR-ABL-dependent resistance. </w:t>
      </w:r>
      <w:r>
        <w:rPr>
          <w:rFonts w:ascii="Times New Roman" w:hAnsi="Times New Roman"/>
          <w:b/>
          <w:sz w:val="22"/>
        </w:rPr>
        <w:t>B</w:t>
      </w:r>
      <w:r w:rsidRPr="00B83F5E">
        <w:rPr>
          <w:rFonts w:ascii="Times New Roman" w:hAnsi="Times New Roman"/>
          <w:sz w:val="22"/>
        </w:rPr>
        <w:t xml:space="preserve"> Sequenced region alignment results for K562S and K562R cells. </w:t>
      </w:r>
      <w:r>
        <w:rPr>
          <w:rFonts w:ascii="Times New Roman" w:hAnsi="Times New Roman"/>
          <w:b/>
          <w:sz w:val="22"/>
        </w:rPr>
        <w:t>C</w:t>
      </w:r>
      <w:r w:rsidRPr="00B83F5E">
        <w:rPr>
          <w:rFonts w:ascii="Times New Roman" w:hAnsi="Times New Roman"/>
          <w:sz w:val="22"/>
        </w:rPr>
        <w:t xml:space="preserve"> Chromatograms of the reported mutation sites for BCR-ABL-dependent resistance in K562S and K562R cells.</w:t>
      </w:r>
    </w:p>
    <w:p w14:paraId="65E7D042" w14:textId="77777777" w:rsidR="00B83F5E" w:rsidRPr="00BB2AC0" w:rsidRDefault="00B83F5E" w:rsidP="00B83F5E">
      <w:pPr>
        <w:adjustRightInd w:val="0"/>
        <w:spacing w:line="480" w:lineRule="auto"/>
        <w:rPr>
          <w:sz w:val="22"/>
        </w:rPr>
      </w:pPr>
    </w:p>
    <w:p w14:paraId="092D68B8" w14:textId="77777777" w:rsidR="00B83F5E" w:rsidRDefault="00B83F5E" w:rsidP="00B83F5E">
      <w:pPr>
        <w:adjustRightInd w:val="0"/>
        <w:spacing w:line="480" w:lineRule="auto"/>
        <w:jc w:val="center"/>
        <w:rPr>
          <w:b/>
          <w:color w:val="C00000"/>
          <w:sz w:val="22"/>
        </w:rPr>
      </w:pPr>
      <w:r>
        <w:rPr>
          <w:b/>
          <w:color w:val="C00000"/>
          <w:sz w:val="22"/>
        </w:rPr>
        <w:br w:type="page"/>
      </w:r>
      <w:r w:rsidRPr="0094773D">
        <w:rPr>
          <w:b/>
          <w:noProof/>
          <w:color w:val="C00000"/>
          <w:sz w:val="22"/>
        </w:rPr>
        <w:lastRenderedPageBreak/>
        <w:drawing>
          <wp:inline distT="0" distB="0" distL="0" distR="0" wp14:anchorId="0A95980C" wp14:editId="2DF81D70">
            <wp:extent cx="2774950" cy="5511129"/>
            <wp:effectExtent l="0" t="0" r="6350" b="0"/>
            <wp:docPr id="13" name="그림 13" descr="E:\CML\CML paper\Cell death and differentiation\Supplementary Figure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CML\CML paper\Cell death and differentiation\Supplementary Figure 3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399" cy="553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70E2C" w14:textId="3AC44BF4" w:rsidR="00B83F5E" w:rsidRPr="00BC5C62" w:rsidRDefault="00B83F5E" w:rsidP="00B83F5E">
      <w:pPr>
        <w:adjustRightInd w:val="0"/>
        <w:spacing w:after="0" w:line="480" w:lineRule="auto"/>
        <w:rPr>
          <w:rFonts w:ascii="Times New Roman" w:hAnsi="Times New Roman"/>
          <w:b/>
          <w:color w:val="000000" w:themeColor="text1"/>
          <w:sz w:val="22"/>
        </w:rPr>
      </w:pPr>
      <w:r w:rsidRPr="00BC5C62">
        <w:rPr>
          <w:rFonts w:ascii="Times New Roman" w:hAnsi="Times New Roman"/>
          <w:b/>
          <w:color w:val="000000" w:themeColor="text1"/>
          <w:sz w:val="22"/>
        </w:rPr>
        <w:t>Fig. S3 AP-1 and NF-</w:t>
      </w:r>
      <w:r w:rsidRPr="00BC5C62">
        <w:rPr>
          <w:rFonts w:ascii="Times New Roman" w:hAnsi="Times New Roman"/>
          <w:b/>
          <w:color w:val="000000" w:themeColor="text1"/>
          <w:sz w:val="22"/>
        </w:rPr>
        <w:sym w:font="Symbol" w:char="F06B"/>
      </w:r>
      <w:r w:rsidRPr="00BC5C62">
        <w:rPr>
          <w:rFonts w:ascii="Times New Roman" w:hAnsi="Times New Roman"/>
          <w:b/>
          <w:color w:val="000000" w:themeColor="text1"/>
          <w:sz w:val="22"/>
        </w:rPr>
        <w:t>B are highly involved in the regulation of differentially expressed genes compared to random genes.</w:t>
      </w:r>
    </w:p>
    <w:p w14:paraId="458771B8" w14:textId="321ED43E" w:rsidR="00B83F5E" w:rsidRPr="00B83F5E" w:rsidRDefault="00B83F5E" w:rsidP="00B83F5E">
      <w:pPr>
        <w:adjustRightInd w:val="0"/>
        <w:spacing w:after="0" w:line="48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A</w:t>
      </w:r>
      <w:r w:rsidRPr="00B83F5E">
        <w:rPr>
          <w:rFonts w:ascii="Times New Roman" w:hAnsi="Times New Roman"/>
          <w:sz w:val="22"/>
        </w:rPr>
        <w:t xml:space="preserve">, </w:t>
      </w:r>
      <w:r>
        <w:rPr>
          <w:rFonts w:ascii="Times New Roman" w:hAnsi="Times New Roman"/>
          <w:b/>
          <w:sz w:val="22"/>
        </w:rPr>
        <w:t>B</w:t>
      </w:r>
      <w:r w:rsidRPr="00B83F5E">
        <w:rPr>
          <w:rFonts w:ascii="Times New Roman" w:hAnsi="Times New Roman"/>
          <w:sz w:val="22"/>
        </w:rPr>
        <w:t xml:space="preserve"> </w:t>
      </w:r>
      <w:r w:rsidR="00DD111F" w:rsidRPr="009166A0">
        <w:rPr>
          <w:rFonts w:ascii="Times New Roman" w:hAnsi="Times New Roman"/>
          <w:sz w:val="22"/>
        </w:rPr>
        <w:t xml:space="preserve">Proportions of genes targeted by indicated transcription factors among genes differentially </w:t>
      </w:r>
      <w:r w:rsidR="00DD111F" w:rsidRPr="009166A0">
        <w:rPr>
          <w:rFonts w:ascii="Times New Roman" w:hAnsi="Times New Roman"/>
          <w:color w:val="000000"/>
          <w:sz w:val="22"/>
        </w:rPr>
        <w:t xml:space="preserve">expressed between K562S and K562R </w:t>
      </w:r>
      <w:r w:rsidRPr="00B83F5E">
        <w:rPr>
          <w:rFonts w:ascii="Times New Roman" w:hAnsi="Times New Roman"/>
          <w:color w:val="000000"/>
          <w:sz w:val="22"/>
        </w:rPr>
        <w:t>(</w:t>
      </w:r>
      <w:r>
        <w:rPr>
          <w:rFonts w:ascii="Times New Roman" w:hAnsi="Times New Roman"/>
          <w:b/>
          <w:color w:val="000000"/>
          <w:sz w:val="22"/>
        </w:rPr>
        <w:t>A</w:t>
      </w:r>
      <w:r w:rsidRPr="00B83F5E">
        <w:rPr>
          <w:rFonts w:ascii="Times New Roman" w:hAnsi="Times New Roman"/>
          <w:color w:val="000000"/>
          <w:sz w:val="22"/>
        </w:rPr>
        <w:t xml:space="preserve">) </w:t>
      </w:r>
      <w:r w:rsidR="00DD111F" w:rsidRPr="009166A0">
        <w:rPr>
          <w:rFonts w:ascii="Times New Roman" w:hAnsi="Times New Roman"/>
          <w:sz w:val="22"/>
        </w:rPr>
        <w:t xml:space="preserve">and proportions of genes targeted by indicated transcription factors among </w:t>
      </w:r>
      <w:r w:rsidR="00DD111F" w:rsidRPr="009166A0">
        <w:rPr>
          <w:rFonts w:ascii="Times New Roman" w:hAnsi="Times New Roman"/>
          <w:color w:val="000000"/>
          <w:sz w:val="22"/>
        </w:rPr>
        <w:t xml:space="preserve">500 randomly selected </w:t>
      </w:r>
      <w:r w:rsidR="00DD111F" w:rsidRPr="009166A0">
        <w:rPr>
          <w:rFonts w:ascii="Times New Roman" w:hAnsi="Times New Roman"/>
          <w:sz w:val="22"/>
        </w:rPr>
        <w:t>genes</w:t>
      </w:r>
      <w:r w:rsidR="00DD111F" w:rsidRPr="00B83F5E">
        <w:rPr>
          <w:rFonts w:ascii="Times New Roman" w:hAnsi="Times New Roman"/>
          <w:sz w:val="22"/>
        </w:rPr>
        <w:t xml:space="preserve"> </w:t>
      </w:r>
      <w:r w:rsidRPr="00B83F5E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b/>
          <w:sz w:val="22"/>
        </w:rPr>
        <w:t>B</w:t>
      </w:r>
      <w:r w:rsidRPr="00B83F5E">
        <w:rPr>
          <w:rFonts w:ascii="Times New Roman" w:hAnsi="Times New Roman"/>
          <w:sz w:val="22"/>
        </w:rPr>
        <w:t>).</w:t>
      </w:r>
    </w:p>
    <w:p w14:paraId="78228179" w14:textId="5B9DEEAF" w:rsidR="00961B8B" w:rsidRDefault="00961B8B">
      <w:pPr>
        <w:widowControl/>
        <w:wordWrap/>
        <w:autoSpaceDE/>
        <w:autoSpaceDN/>
        <w:spacing w:after="160" w:line="259" w:lineRule="auto"/>
        <w:rPr>
          <w:sz w:val="22"/>
        </w:rPr>
      </w:pPr>
      <w:r>
        <w:rPr>
          <w:sz w:val="22"/>
        </w:rPr>
        <w:br w:type="page"/>
      </w:r>
    </w:p>
    <w:p w14:paraId="4470E97B" w14:textId="77777777" w:rsidR="00DE5E62" w:rsidRDefault="00DE5E62" w:rsidP="00DE5E62">
      <w:pPr>
        <w:adjustRightInd w:val="0"/>
        <w:spacing w:after="0" w:line="480" w:lineRule="auto"/>
        <w:jc w:val="center"/>
        <w:rPr>
          <w:rFonts w:ascii="Times New Roman" w:hAnsi="Times New Roman"/>
          <w:b/>
          <w:color w:val="000000" w:themeColor="text1"/>
          <w:sz w:val="22"/>
        </w:rPr>
      </w:pPr>
      <w:r w:rsidRPr="004A6C6E">
        <w:rPr>
          <w:rFonts w:ascii="Times New Roman" w:hAnsi="Times New Roman"/>
          <w:b/>
          <w:noProof/>
          <w:color w:val="000000" w:themeColor="text1"/>
          <w:sz w:val="22"/>
        </w:rPr>
        <w:lastRenderedPageBreak/>
        <w:drawing>
          <wp:inline distT="0" distB="0" distL="0" distR="0" wp14:anchorId="07774E11" wp14:editId="06FAA371">
            <wp:extent cx="3448050" cy="2635250"/>
            <wp:effectExtent l="0" t="0" r="0" b="0"/>
            <wp:docPr id="3" name="그림 3" descr="E:\CML\CML paper\Journal of experimental &amp; clinical cancer research\Figure S4_Revised_2022020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ML\CML paper\Journal of experimental &amp; clinical cancer research\Figure S4_Revised_20220206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9E342" w14:textId="77777777" w:rsidR="00DE5E62" w:rsidRPr="00006269" w:rsidRDefault="00DE5E62" w:rsidP="00DE5E62">
      <w:pPr>
        <w:adjustRightInd w:val="0"/>
        <w:spacing w:after="0" w:line="480" w:lineRule="auto"/>
        <w:rPr>
          <w:rFonts w:ascii="Times New Roman" w:hAnsi="Times New Roman"/>
          <w:b/>
          <w:color w:val="0000FF"/>
          <w:sz w:val="22"/>
        </w:rPr>
      </w:pPr>
      <w:r w:rsidRPr="00006269">
        <w:rPr>
          <w:rFonts w:ascii="Times New Roman" w:hAnsi="Times New Roman"/>
          <w:b/>
          <w:color w:val="0000FF"/>
          <w:sz w:val="22"/>
        </w:rPr>
        <w:t xml:space="preserve">Fig. S4 </w:t>
      </w:r>
      <w:r>
        <w:rPr>
          <w:rFonts w:ascii="Times New Roman" w:hAnsi="Times New Roman"/>
          <w:b/>
          <w:color w:val="0000FF"/>
          <w:sz w:val="22"/>
        </w:rPr>
        <w:t>FAM167A increases resistance to imatinib</w:t>
      </w:r>
      <w:r w:rsidRPr="00006269">
        <w:rPr>
          <w:rFonts w:ascii="Times New Roman" w:hAnsi="Times New Roman"/>
          <w:b/>
          <w:color w:val="0000FF"/>
          <w:sz w:val="22"/>
        </w:rPr>
        <w:t>.</w:t>
      </w:r>
    </w:p>
    <w:p w14:paraId="08503113" w14:textId="77777777" w:rsidR="00DE5E62" w:rsidRPr="00006269" w:rsidRDefault="00DE5E62" w:rsidP="00DE5E62">
      <w:pPr>
        <w:wordWrap/>
        <w:adjustRightInd w:val="0"/>
        <w:spacing w:after="0" w:line="480" w:lineRule="auto"/>
        <w:rPr>
          <w:rFonts w:ascii="Times New Roman" w:hAnsi="Times New Roman"/>
          <w:color w:val="0000FF"/>
          <w:sz w:val="22"/>
        </w:rPr>
      </w:pPr>
      <w:r>
        <w:rPr>
          <w:rFonts w:ascii="Times New Roman" w:hAnsi="Times New Roman"/>
          <w:color w:val="0000FF"/>
          <w:sz w:val="22"/>
        </w:rPr>
        <w:t>Viability of K562S</w:t>
      </w:r>
      <w:r w:rsidRPr="00130BDD">
        <w:rPr>
          <w:rFonts w:ascii="Times New Roman" w:hAnsi="Times New Roman"/>
          <w:color w:val="0000FF"/>
          <w:sz w:val="22"/>
        </w:rPr>
        <w:t xml:space="preserve"> cells transfected with </w:t>
      </w:r>
      <w:r>
        <w:rPr>
          <w:rFonts w:ascii="Times New Roman" w:hAnsi="Times New Roman"/>
          <w:color w:val="0000FF"/>
          <w:sz w:val="22"/>
        </w:rPr>
        <w:t>the</w:t>
      </w:r>
      <w:r w:rsidRPr="00130BDD">
        <w:rPr>
          <w:rFonts w:ascii="Times New Roman" w:hAnsi="Times New Roman"/>
          <w:color w:val="0000FF"/>
          <w:sz w:val="22"/>
        </w:rPr>
        <w:t xml:space="preserve"> plasmid encoding </w:t>
      </w:r>
      <w:r>
        <w:rPr>
          <w:rFonts w:ascii="Times New Roman" w:hAnsi="Times New Roman"/>
          <w:color w:val="0000FF"/>
          <w:sz w:val="22"/>
        </w:rPr>
        <w:t>the indicated gene</w:t>
      </w:r>
      <w:r w:rsidRPr="00130BDD">
        <w:rPr>
          <w:rFonts w:ascii="Times New Roman" w:hAnsi="Times New Roman"/>
          <w:color w:val="0000FF"/>
          <w:sz w:val="22"/>
        </w:rPr>
        <w:t xml:space="preserve"> after treatment w</w:t>
      </w:r>
      <w:r>
        <w:rPr>
          <w:rFonts w:ascii="Times New Roman" w:hAnsi="Times New Roman"/>
          <w:color w:val="0000FF"/>
          <w:sz w:val="22"/>
        </w:rPr>
        <w:t>ith or without imatinib (IMA, 1 µM) for 2</w:t>
      </w:r>
      <w:r w:rsidRPr="00130BDD">
        <w:rPr>
          <w:rFonts w:ascii="Times New Roman" w:hAnsi="Times New Roman"/>
          <w:color w:val="0000FF"/>
          <w:sz w:val="22"/>
        </w:rPr>
        <w:t xml:space="preserve"> days.</w:t>
      </w:r>
      <w:r w:rsidRPr="00BB2AC0">
        <w:rPr>
          <w:rFonts w:ascii="Times New Roman" w:hAnsi="Times New Roman"/>
          <w:sz w:val="22"/>
        </w:rPr>
        <w:t xml:space="preserve"> </w:t>
      </w:r>
      <w:r w:rsidRPr="00006269">
        <w:rPr>
          <w:rFonts w:ascii="Times New Roman" w:hAnsi="Times New Roman"/>
          <w:color w:val="0000FF"/>
          <w:sz w:val="22"/>
        </w:rPr>
        <w:t xml:space="preserve">Data are representative of </w:t>
      </w:r>
      <w:r>
        <w:rPr>
          <w:rFonts w:ascii="Times New Roman" w:hAnsi="Times New Roman"/>
          <w:color w:val="0000FF"/>
          <w:sz w:val="22"/>
        </w:rPr>
        <w:t xml:space="preserve">two independent experiments </w:t>
      </w:r>
      <w:r w:rsidRPr="00130BDD">
        <w:rPr>
          <w:rFonts w:ascii="Times New Roman" w:hAnsi="Times New Roman"/>
          <w:color w:val="0000FF"/>
          <w:sz w:val="22"/>
        </w:rPr>
        <w:t xml:space="preserve">(error bars, s.d. of </w:t>
      </w:r>
      <w:r>
        <w:rPr>
          <w:rFonts w:ascii="Times New Roman" w:hAnsi="Times New Roman" w:hint="eastAsia"/>
          <w:color w:val="0000FF"/>
          <w:sz w:val="22"/>
        </w:rPr>
        <w:t>triplicate</w:t>
      </w:r>
      <w:r>
        <w:rPr>
          <w:rFonts w:ascii="Times New Roman" w:hAnsi="Times New Roman"/>
          <w:color w:val="0000FF"/>
          <w:sz w:val="22"/>
        </w:rPr>
        <w:t xml:space="preserve"> </w:t>
      </w:r>
      <w:r w:rsidRPr="00130BDD">
        <w:rPr>
          <w:rFonts w:ascii="Times New Roman" w:hAnsi="Times New Roman"/>
          <w:color w:val="0000FF"/>
          <w:sz w:val="22"/>
        </w:rPr>
        <w:t xml:space="preserve">samples). Unpaired two-tailed </w:t>
      </w:r>
      <w:r w:rsidRPr="00130BDD">
        <w:rPr>
          <w:rFonts w:ascii="Times New Roman" w:hAnsi="Times New Roman"/>
          <w:i/>
          <w:color w:val="0000FF"/>
          <w:sz w:val="22"/>
        </w:rPr>
        <w:t>t</w:t>
      </w:r>
      <w:r>
        <w:rPr>
          <w:rFonts w:ascii="Times New Roman" w:hAnsi="Times New Roman"/>
          <w:color w:val="0000FF"/>
          <w:sz w:val="22"/>
        </w:rPr>
        <w:t>-test;</w:t>
      </w:r>
      <w:r w:rsidRPr="00130BDD">
        <w:rPr>
          <w:rFonts w:ascii="Times New Roman" w:hAnsi="Times New Roman"/>
          <w:color w:val="0000FF"/>
          <w:sz w:val="22"/>
        </w:rPr>
        <w:t xml:space="preserve"> *</w:t>
      </w:r>
      <w:r>
        <w:rPr>
          <w:rFonts w:ascii="Times New Roman" w:hAnsi="Times New Roman"/>
          <w:color w:val="0000FF"/>
          <w:sz w:val="22"/>
        </w:rPr>
        <w:t>*</w:t>
      </w:r>
      <w:r w:rsidRPr="00130BDD">
        <w:rPr>
          <w:rFonts w:ascii="Times New Roman" w:hAnsi="Times New Roman"/>
          <w:color w:val="0000FF"/>
          <w:sz w:val="22"/>
        </w:rPr>
        <w:t>*</w:t>
      </w:r>
      <w:r w:rsidRPr="00130BDD">
        <w:rPr>
          <w:rFonts w:ascii="Times New Roman" w:hAnsi="Times New Roman"/>
          <w:i/>
          <w:color w:val="0000FF"/>
          <w:sz w:val="22"/>
        </w:rPr>
        <w:t>P</w:t>
      </w:r>
      <w:r>
        <w:rPr>
          <w:rFonts w:ascii="Times New Roman" w:hAnsi="Times New Roman"/>
          <w:color w:val="0000FF"/>
          <w:sz w:val="22"/>
        </w:rPr>
        <w:t>&lt;0.001</w:t>
      </w:r>
      <w:r w:rsidRPr="00130BDD">
        <w:rPr>
          <w:rFonts w:ascii="Times New Roman" w:hAnsi="Times New Roman"/>
          <w:color w:val="0000FF"/>
          <w:sz w:val="22"/>
        </w:rPr>
        <w:t>.</w:t>
      </w:r>
    </w:p>
    <w:p w14:paraId="74AAB19A" w14:textId="34A2E8BC" w:rsidR="00D92F24" w:rsidRPr="00006269" w:rsidRDefault="00D92F24" w:rsidP="00D92F24">
      <w:pPr>
        <w:adjustRightInd w:val="0"/>
        <w:spacing w:after="0" w:line="480" w:lineRule="auto"/>
        <w:rPr>
          <w:rFonts w:ascii="Times New Roman" w:hAnsi="Times New Roman"/>
          <w:color w:val="0000FF"/>
          <w:sz w:val="22"/>
        </w:rPr>
      </w:pPr>
    </w:p>
    <w:p w14:paraId="54DA9F5E" w14:textId="77777777" w:rsidR="00B83F5E" w:rsidRPr="00D92F24" w:rsidRDefault="00B83F5E" w:rsidP="00B83F5E">
      <w:pPr>
        <w:adjustRightInd w:val="0"/>
        <w:spacing w:line="480" w:lineRule="auto"/>
        <w:rPr>
          <w:sz w:val="22"/>
        </w:rPr>
      </w:pPr>
    </w:p>
    <w:p w14:paraId="742DA8D8" w14:textId="5DADAC05" w:rsidR="00B83F5E" w:rsidRDefault="00B83F5E" w:rsidP="00FE26DC">
      <w:pPr>
        <w:adjustRightInd w:val="0"/>
        <w:spacing w:line="480" w:lineRule="auto"/>
        <w:jc w:val="center"/>
        <w:rPr>
          <w:b/>
          <w:color w:val="C00000"/>
          <w:sz w:val="22"/>
        </w:rPr>
      </w:pPr>
      <w:r>
        <w:rPr>
          <w:b/>
          <w:color w:val="C00000"/>
          <w:sz w:val="22"/>
        </w:rPr>
        <w:br w:type="page"/>
      </w:r>
      <w:r w:rsidRPr="0094773D">
        <w:rPr>
          <w:b/>
          <w:noProof/>
          <w:color w:val="C00000"/>
          <w:sz w:val="22"/>
        </w:rPr>
        <w:lastRenderedPageBreak/>
        <w:drawing>
          <wp:inline distT="0" distB="0" distL="0" distR="0" wp14:anchorId="402530D6" wp14:editId="6DCF506A">
            <wp:extent cx="3740150" cy="1758950"/>
            <wp:effectExtent l="0" t="0" r="0" b="0"/>
            <wp:docPr id="14" name="그림 14" descr="E:\CML\CML paper\Cell death and differentiation\Supplementary Figure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CML\CML paper\Cell death and differentiation\Supplementary Figure 4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361BB" w14:textId="38D64267" w:rsidR="00B83F5E" w:rsidRPr="00BC5C62" w:rsidRDefault="005B52B9" w:rsidP="00B83F5E">
      <w:pPr>
        <w:adjustRightInd w:val="0"/>
        <w:spacing w:after="0" w:line="480" w:lineRule="auto"/>
        <w:rPr>
          <w:rFonts w:ascii="Times New Roman" w:hAnsi="Times New Roman"/>
          <w:b/>
          <w:color w:val="000000" w:themeColor="text1"/>
          <w:sz w:val="22"/>
        </w:rPr>
      </w:pPr>
      <w:r>
        <w:rPr>
          <w:rFonts w:ascii="Times New Roman" w:hAnsi="Times New Roman"/>
          <w:b/>
          <w:color w:val="000000" w:themeColor="text1"/>
          <w:sz w:val="22"/>
        </w:rPr>
        <w:t>Fig. S5</w:t>
      </w:r>
      <w:r w:rsidR="00B83F5E" w:rsidRPr="00BC5C62">
        <w:rPr>
          <w:rFonts w:ascii="Times New Roman" w:hAnsi="Times New Roman"/>
          <w:b/>
          <w:color w:val="000000" w:themeColor="text1"/>
          <w:sz w:val="22"/>
        </w:rPr>
        <w:t xml:space="preserve"> FAM167A is a secreted protein.</w:t>
      </w:r>
    </w:p>
    <w:p w14:paraId="7AB8EEC3" w14:textId="743CF1E8" w:rsidR="00B83F5E" w:rsidRPr="00BB2AC0" w:rsidRDefault="00B83F5E" w:rsidP="00B83F5E">
      <w:pPr>
        <w:adjustRightInd w:val="0"/>
        <w:spacing w:after="0" w:line="480" w:lineRule="auto"/>
        <w:rPr>
          <w:sz w:val="22"/>
        </w:rPr>
      </w:pPr>
      <w:r>
        <w:rPr>
          <w:rFonts w:ascii="Times New Roman" w:hAnsi="Times New Roman"/>
          <w:b/>
          <w:sz w:val="22"/>
        </w:rPr>
        <w:t>A</w:t>
      </w:r>
      <w:r w:rsidRPr="00B83F5E">
        <w:rPr>
          <w:rFonts w:ascii="Times New Roman" w:hAnsi="Times New Roman"/>
          <w:sz w:val="22"/>
        </w:rPr>
        <w:t xml:space="preserve"> </w:t>
      </w:r>
      <w:r w:rsidRPr="00B83F5E">
        <w:rPr>
          <w:rFonts w:ascii="Times New Roman" w:hAnsi="Times New Roman"/>
          <w:i/>
          <w:sz w:val="22"/>
        </w:rPr>
        <w:t>In silico</w:t>
      </w:r>
      <w:r w:rsidRPr="00B83F5E">
        <w:rPr>
          <w:rFonts w:ascii="Times New Roman" w:hAnsi="Times New Roman"/>
          <w:sz w:val="22"/>
        </w:rPr>
        <w:t xml:space="preserve"> prediction of human, mouse, rat, and zebrafish FAM167A and HA-tagged human FAM167A secretion by the SecretomeP tool (http://www.cbs.dtu.dk/services/SecretomeP/). Proteins with an NN score above 0.5 are predicted to be secreted. </w:t>
      </w:r>
      <w:r>
        <w:rPr>
          <w:rFonts w:ascii="Times New Roman" w:hAnsi="Times New Roman"/>
          <w:b/>
          <w:sz w:val="22"/>
        </w:rPr>
        <w:t>B</w:t>
      </w:r>
      <w:r w:rsidRPr="00B83F5E">
        <w:rPr>
          <w:rFonts w:ascii="Times New Roman" w:hAnsi="Times New Roman"/>
          <w:sz w:val="22"/>
        </w:rPr>
        <w:t xml:space="preserve"> </w:t>
      </w:r>
      <w:r w:rsidRPr="00B83F5E">
        <w:rPr>
          <w:rFonts w:ascii="Times New Roman" w:hAnsi="Times New Roman"/>
          <w:color w:val="000000"/>
          <w:sz w:val="22"/>
        </w:rPr>
        <w:t>Immunoblot analysis of FAM167A</w:t>
      </w:r>
      <w:r w:rsidRPr="00B83F5E">
        <w:rPr>
          <w:rFonts w:ascii="Times New Roman" w:hAnsi="Times New Roman"/>
          <w:color w:val="FF0000"/>
          <w:sz w:val="22"/>
        </w:rPr>
        <w:t xml:space="preserve"> </w:t>
      </w:r>
      <w:r w:rsidRPr="00B83F5E">
        <w:rPr>
          <w:rFonts w:ascii="Times New Roman" w:hAnsi="Times New Roman"/>
          <w:sz w:val="22"/>
        </w:rPr>
        <w:t>in cell lysates and culture supernatants of K562R cells. Medium was us</w:t>
      </w:r>
      <w:r w:rsidR="00FE20DE">
        <w:rPr>
          <w:rFonts w:ascii="Times New Roman" w:hAnsi="Times New Roman"/>
          <w:sz w:val="22"/>
        </w:rPr>
        <w:t>ed as a control supernatant. S</w:t>
      </w:r>
      <w:r w:rsidRPr="00B83F5E">
        <w:rPr>
          <w:rFonts w:ascii="Times New Roman" w:hAnsi="Times New Roman"/>
          <w:sz w:val="22"/>
        </w:rPr>
        <w:t>upernatant pr</w:t>
      </w:r>
      <w:r w:rsidR="00FE20DE">
        <w:rPr>
          <w:rFonts w:ascii="Times New Roman" w:hAnsi="Times New Roman"/>
          <w:sz w:val="22"/>
        </w:rPr>
        <w:t>oteins were concentrated by</w:t>
      </w:r>
      <w:r w:rsidRPr="00B83F5E">
        <w:rPr>
          <w:rFonts w:ascii="Times New Roman" w:hAnsi="Times New Roman"/>
          <w:sz w:val="22"/>
        </w:rPr>
        <w:t xml:space="preserve"> acetone precipitation. </w:t>
      </w:r>
      <w:r w:rsidR="006E0933" w:rsidRPr="009166A0">
        <w:rPr>
          <w:rFonts w:ascii="Times New Roman" w:hAnsi="Times New Roman"/>
          <w:sz w:val="22"/>
        </w:rPr>
        <w:t>The cytoplasmic protein, Erbin, was also analyzed as a control, to confirm that culture supernatants were free from cytosolic protein</w:t>
      </w:r>
      <w:r w:rsidRPr="00B83F5E">
        <w:rPr>
          <w:rFonts w:ascii="Times New Roman" w:hAnsi="Times New Roman"/>
          <w:sz w:val="22"/>
        </w:rPr>
        <w:t>. Data are representative of three (</w:t>
      </w:r>
      <w:r>
        <w:rPr>
          <w:rFonts w:ascii="Times New Roman" w:hAnsi="Times New Roman"/>
          <w:b/>
          <w:sz w:val="22"/>
        </w:rPr>
        <w:t>B</w:t>
      </w:r>
      <w:r w:rsidRPr="00B83F5E">
        <w:rPr>
          <w:rFonts w:ascii="Times New Roman" w:hAnsi="Times New Roman"/>
          <w:sz w:val="22"/>
        </w:rPr>
        <w:t>) independent experiments.</w:t>
      </w:r>
    </w:p>
    <w:p w14:paraId="23ACB902" w14:textId="77777777" w:rsidR="00B83F5E" w:rsidRPr="00BB2AC0" w:rsidRDefault="00B83F5E" w:rsidP="00B83F5E">
      <w:pPr>
        <w:adjustRightInd w:val="0"/>
        <w:spacing w:line="480" w:lineRule="auto"/>
        <w:rPr>
          <w:sz w:val="22"/>
        </w:rPr>
      </w:pPr>
    </w:p>
    <w:p w14:paraId="34425978" w14:textId="77777777" w:rsidR="00B83F5E" w:rsidRDefault="00B83F5E" w:rsidP="00B83F5E">
      <w:pPr>
        <w:adjustRightInd w:val="0"/>
        <w:spacing w:line="480" w:lineRule="auto"/>
        <w:rPr>
          <w:b/>
          <w:color w:val="C00000"/>
          <w:sz w:val="22"/>
        </w:rPr>
      </w:pPr>
      <w:r>
        <w:rPr>
          <w:b/>
          <w:color w:val="C00000"/>
          <w:sz w:val="22"/>
        </w:rPr>
        <w:br w:type="page"/>
      </w:r>
    </w:p>
    <w:p w14:paraId="7203E9C8" w14:textId="77777777" w:rsidR="00B83F5E" w:rsidRDefault="00B83F5E" w:rsidP="00B83F5E">
      <w:pPr>
        <w:adjustRightInd w:val="0"/>
        <w:spacing w:line="480" w:lineRule="auto"/>
        <w:jc w:val="center"/>
        <w:rPr>
          <w:b/>
          <w:color w:val="C00000"/>
          <w:sz w:val="22"/>
        </w:rPr>
      </w:pPr>
      <w:r w:rsidRPr="0094773D">
        <w:rPr>
          <w:b/>
          <w:noProof/>
          <w:color w:val="C00000"/>
          <w:sz w:val="22"/>
        </w:rPr>
        <w:lastRenderedPageBreak/>
        <w:drawing>
          <wp:inline distT="0" distB="0" distL="0" distR="0" wp14:anchorId="454CE812" wp14:editId="326FD43B">
            <wp:extent cx="1892300" cy="3022600"/>
            <wp:effectExtent l="0" t="0" r="0" b="6350"/>
            <wp:docPr id="15" name="그림 15" descr="E:\CML\CML paper\Cell death and differentiation\Supplementary Figure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CML\CML paper\Cell death and differentiation\Supplementary Figure 5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C87D5" w14:textId="22096F4E" w:rsidR="00B83F5E" w:rsidRPr="00BC5C62" w:rsidRDefault="005B52B9" w:rsidP="00B83F5E">
      <w:pPr>
        <w:adjustRightInd w:val="0"/>
        <w:spacing w:after="0" w:line="480" w:lineRule="auto"/>
        <w:rPr>
          <w:rFonts w:ascii="Times New Roman" w:hAnsi="Times New Roman"/>
          <w:b/>
          <w:color w:val="000000" w:themeColor="text1"/>
          <w:sz w:val="22"/>
        </w:rPr>
      </w:pPr>
      <w:r>
        <w:rPr>
          <w:rFonts w:ascii="Times New Roman" w:hAnsi="Times New Roman"/>
          <w:b/>
          <w:color w:val="000000" w:themeColor="text1"/>
          <w:sz w:val="22"/>
        </w:rPr>
        <w:t>Fig. S6</w:t>
      </w:r>
      <w:r w:rsidR="00B83F5E" w:rsidRPr="00BC5C62">
        <w:rPr>
          <w:rFonts w:ascii="Times New Roman" w:hAnsi="Times New Roman"/>
          <w:b/>
          <w:color w:val="000000" w:themeColor="text1"/>
          <w:sz w:val="22"/>
        </w:rPr>
        <w:t xml:space="preserve"> The noncanonical NF-</w:t>
      </w:r>
      <w:r w:rsidR="00B83F5E" w:rsidRPr="00BC5C62">
        <w:rPr>
          <w:rFonts w:ascii="Times New Roman" w:hAnsi="Times New Roman"/>
          <w:b/>
          <w:color w:val="000000" w:themeColor="text1"/>
          <w:sz w:val="22"/>
        </w:rPr>
        <w:sym w:font="Symbol" w:char="F06B"/>
      </w:r>
      <w:r w:rsidR="00B83F5E" w:rsidRPr="00BC5C62">
        <w:rPr>
          <w:rFonts w:ascii="Times New Roman" w:hAnsi="Times New Roman"/>
          <w:b/>
          <w:color w:val="000000" w:themeColor="text1"/>
          <w:sz w:val="22"/>
        </w:rPr>
        <w:t>B pathway is activated in K562R cells.</w:t>
      </w:r>
    </w:p>
    <w:p w14:paraId="1663B8B1" w14:textId="590ABB87" w:rsidR="00B83F5E" w:rsidRPr="00B83F5E" w:rsidRDefault="00B83F5E" w:rsidP="00B83F5E">
      <w:pPr>
        <w:adjustRightInd w:val="0"/>
        <w:spacing w:after="0" w:line="480" w:lineRule="auto"/>
        <w:rPr>
          <w:rFonts w:ascii="Times New Roman" w:hAnsi="Times New Roman"/>
          <w:sz w:val="22"/>
        </w:rPr>
      </w:pPr>
      <w:r w:rsidRPr="00B83F5E">
        <w:rPr>
          <w:rFonts w:ascii="Times New Roman" w:hAnsi="Times New Roman"/>
          <w:sz w:val="22"/>
        </w:rPr>
        <w:t xml:space="preserve">Full size image of </w:t>
      </w:r>
      <w:r w:rsidRPr="00B83F5E">
        <w:rPr>
          <w:rFonts w:ascii="Times New Roman" w:hAnsi="Times New Roman"/>
          <w:b/>
          <w:sz w:val="22"/>
        </w:rPr>
        <w:t>Fig. 2</w:t>
      </w:r>
      <w:r>
        <w:rPr>
          <w:rFonts w:ascii="Times New Roman" w:hAnsi="Times New Roman"/>
          <w:b/>
          <w:sz w:val="22"/>
        </w:rPr>
        <w:t>H</w:t>
      </w:r>
      <w:r w:rsidRPr="00B83F5E">
        <w:rPr>
          <w:rFonts w:ascii="Times New Roman" w:hAnsi="Times New Roman"/>
          <w:sz w:val="22"/>
        </w:rPr>
        <w:t>. Data are representative of three independent experiments.</w:t>
      </w:r>
    </w:p>
    <w:p w14:paraId="0AB12EA1" w14:textId="77777777" w:rsidR="00B83F5E" w:rsidRPr="00BB2AC0" w:rsidRDefault="00B83F5E" w:rsidP="00B83F5E">
      <w:pPr>
        <w:adjustRightInd w:val="0"/>
        <w:spacing w:line="480" w:lineRule="auto"/>
        <w:rPr>
          <w:sz w:val="22"/>
        </w:rPr>
      </w:pPr>
    </w:p>
    <w:p w14:paraId="4A567F2D" w14:textId="77777777" w:rsidR="00B83F5E" w:rsidRDefault="00B83F5E" w:rsidP="00B83F5E">
      <w:pPr>
        <w:adjustRightInd w:val="0"/>
        <w:spacing w:line="480" w:lineRule="auto"/>
        <w:rPr>
          <w:b/>
          <w:color w:val="C00000"/>
          <w:sz w:val="22"/>
        </w:rPr>
      </w:pPr>
      <w:r>
        <w:rPr>
          <w:b/>
          <w:color w:val="C00000"/>
          <w:sz w:val="22"/>
        </w:rPr>
        <w:br w:type="page"/>
      </w:r>
    </w:p>
    <w:p w14:paraId="3E9071FA" w14:textId="4017D205" w:rsidR="00DE5E62" w:rsidRDefault="00FD5241" w:rsidP="00DE5E62">
      <w:pPr>
        <w:adjustRightInd w:val="0"/>
        <w:spacing w:line="480" w:lineRule="auto"/>
        <w:jc w:val="center"/>
        <w:rPr>
          <w:b/>
          <w:color w:val="C00000"/>
          <w:sz w:val="22"/>
        </w:rPr>
      </w:pPr>
      <w:r w:rsidRPr="00FD5241">
        <w:rPr>
          <w:b/>
          <w:noProof/>
          <w:color w:val="C00000"/>
          <w:sz w:val="22"/>
        </w:rPr>
        <w:lastRenderedPageBreak/>
        <w:drawing>
          <wp:inline distT="0" distB="0" distL="0" distR="0" wp14:anchorId="5382D7B5" wp14:editId="34FE6DEB">
            <wp:extent cx="5731510" cy="3443306"/>
            <wp:effectExtent l="0" t="0" r="2540" b="5080"/>
            <wp:docPr id="2" name="그림 2" descr="E:\CML\CML paper\Journal of experimental &amp; clinical cancer research\Figure S7_Revised_202202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ML\CML paper\Journal of experimental &amp; clinical cancer research\Figure S7_Revised_20220212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43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146F5" w14:textId="77777777" w:rsidR="00DE5E62" w:rsidRPr="00BC5C62" w:rsidRDefault="00DE5E62" w:rsidP="00DE5E62">
      <w:pPr>
        <w:adjustRightInd w:val="0"/>
        <w:spacing w:after="0" w:line="480" w:lineRule="auto"/>
        <w:rPr>
          <w:rFonts w:ascii="Times New Roman" w:hAnsi="Times New Roman"/>
          <w:b/>
          <w:color w:val="000000" w:themeColor="text1"/>
          <w:sz w:val="22"/>
        </w:rPr>
      </w:pPr>
      <w:r>
        <w:rPr>
          <w:rFonts w:ascii="Times New Roman" w:hAnsi="Times New Roman"/>
          <w:b/>
          <w:color w:val="000000" w:themeColor="text1"/>
          <w:sz w:val="22"/>
        </w:rPr>
        <w:t>Fig. S7</w:t>
      </w:r>
      <w:r w:rsidRPr="00BC5C62">
        <w:rPr>
          <w:rFonts w:ascii="Times New Roman" w:hAnsi="Times New Roman"/>
          <w:b/>
          <w:color w:val="000000" w:themeColor="text1"/>
          <w:sz w:val="22"/>
        </w:rPr>
        <w:t xml:space="preserve"> Identification of a FAM167A receptor.</w:t>
      </w:r>
    </w:p>
    <w:p w14:paraId="02BC00B8" w14:textId="77777777" w:rsidR="00DE5E62" w:rsidRDefault="00DE5E62" w:rsidP="00DE5E62">
      <w:pPr>
        <w:wordWrap/>
        <w:adjustRightInd w:val="0"/>
        <w:spacing w:after="0" w:line="480" w:lineRule="auto"/>
        <w:rPr>
          <w:rFonts w:ascii="Times New Roman" w:hAnsi="Times New Roman"/>
          <w:color w:val="0000FF"/>
          <w:sz w:val="22"/>
        </w:rPr>
      </w:pPr>
      <w:r>
        <w:rPr>
          <w:rFonts w:ascii="Times New Roman" w:hAnsi="Times New Roman"/>
          <w:b/>
          <w:sz w:val="22"/>
        </w:rPr>
        <w:t>A</w:t>
      </w:r>
      <w:r w:rsidRPr="00B83F5E">
        <w:rPr>
          <w:rFonts w:ascii="Times New Roman" w:hAnsi="Times New Roman"/>
          <w:sz w:val="22"/>
        </w:rPr>
        <w:t xml:space="preserve"> Experimental design for FAM167A receptor identification. </w:t>
      </w:r>
      <w:r w:rsidRPr="008F5DA0">
        <w:rPr>
          <w:rFonts w:ascii="Times New Roman" w:hAnsi="Times New Roman"/>
          <w:b/>
          <w:color w:val="0000FF"/>
          <w:sz w:val="22"/>
        </w:rPr>
        <w:t>B</w:t>
      </w:r>
      <w:r w:rsidRPr="008F5DA0">
        <w:rPr>
          <w:rFonts w:ascii="Times New Roman" w:hAnsi="Times New Roman"/>
          <w:color w:val="0000FF"/>
          <w:sz w:val="22"/>
        </w:rPr>
        <w:t xml:space="preserve"> Magnified images of the two distinct band regions from </w:t>
      </w:r>
      <w:r w:rsidRPr="008F5DA0">
        <w:rPr>
          <w:rFonts w:ascii="Times New Roman" w:hAnsi="Times New Roman"/>
          <w:b/>
          <w:color w:val="0000FF"/>
          <w:sz w:val="22"/>
        </w:rPr>
        <w:t>Fig. 3B</w:t>
      </w:r>
      <w:r w:rsidRPr="008F5DA0">
        <w:rPr>
          <w:rFonts w:ascii="Times New Roman" w:hAnsi="Times New Roman"/>
          <w:color w:val="0000FF"/>
          <w:sz w:val="22"/>
        </w:rPr>
        <w:t>.</w:t>
      </w:r>
      <w:r>
        <w:rPr>
          <w:rFonts w:ascii="Times New Roman" w:hAnsi="Times New Roman"/>
          <w:b/>
          <w:sz w:val="22"/>
        </w:rPr>
        <w:t xml:space="preserve"> C</w:t>
      </w:r>
      <w:r w:rsidRPr="00B83F5E">
        <w:rPr>
          <w:rFonts w:ascii="Times New Roman" w:hAnsi="Times New Roman"/>
          <w:sz w:val="22"/>
        </w:rPr>
        <w:t xml:space="preserve"> MS/MS spectra and peptide sequence of the FAM167A band from </w:t>
      </w:r>
      <w:r w:rsidRPr="00B83F5E">
        <w:rPr>
          <w:rFonts w:ascii="Times New Roman" w:hAnsi="Times New Roman"/>
          <w:b/>
          <w:sz w:val="22"/>
        </w:rPr>
        <w:t>Fig. 3</w:t>
      </w:r>
      <w:r>
        <w:rPr>
          <w:rFonts w:ascii="Times New Roman" w:hAnsi="Times New Roman"/>
          <w:b/>
          <w:sz w:val="22"/>
        </w:rPr>
        <w:t>B</w:t>
      </w:r>
      <w:r w:rsidRPr="00B83F5E">
        <w:rPr>
          <w:rFonts w:ascii="Times New Roman" w:hAnsi="Times New Roman"/>
          <w:b/>
          <w:sz w:val="22"/>
        </w:rPr>
        <w:t xml:space="preserve"> </w:t>
      </w:r>
      <w:r w:rsidRPr="00B83F5E">
        <w:rPr>
          <w:rFonts w:ascii="Times New Roman" w:hAnsi="Times New Roman"/>
          <w:sz w:val="22"/>
        </w:rPr>
        <w:t>as an assay quality control.</w:t>
      </w:r>
      <w:r>
        <w:rPr>
          <w:rFonts w:ascii="Times New Roman" w:hAnsi="Times New Roman"/>
          <w:sz w:val="22"/>
        </w:rPr>
        <w:t xml:space="preserve"> </w:t>
      </w:r>
      <w:r w:rsidRPr="00E84230">
        <w:rPr>
          <w:rFonts w:ascii="Times New Roman" w:hAnsi="Times New Roman"/>
          <w:b/>
          <w:color w:val="0000FF"/>
          <w:sz w:val="22"/>
        </w:rPr>
        <w:t>D</w:t>
      </w:r>
      <w:r w:rsidRPr="00E84230">
        <w:rPr>
          <w:rFonts w:ascii="Times New Roman" w:hAnsi="Times New Roman"/>
          <w:color w:val="0000FF"/>
          <w:sz w:val="22"/>
        </w:rPr>
        <w:t xml:space="preserve"> Immunofluorescence microscopy analysis of DSG1</w:t>
      </w:r>
      <w:r>
        <w:rPr>
          <w:rFonts w:ascii="Times New Roman" w:hAnsi="Times New Roman"/>
          <w:color w:val="0000FF"/>
          <w:sz w:val="22"/>
        </w:rPr>
        <w:t xml:space="preserve"> and FAM167A</w:t>
      </w:r>
      <w:r w:rsidRPr="00E84230">
        <w:rPr>
          <w:rFonts w:ascii="Times New Roman" w:hAnsi="Times New Roman"/>
          <w:color w:val="0000FF"/>
          <w:sz w:val="22"/>
        </w:rPr>
        <w:t xml:space="preserve"> in </w:t>
      </w:r>
      <w:r>
        <w:rPr>
          <w:rFonts w:ascii="Times New Roman" w:hAnsi="Times New Roman"/>
          <w:color w:val="0000FF"/>
          <w:sz w:val="22"/>
        </w:rPr>
        <w:t>K562R cell</w:t>
      </w:r>
      <w:r w:rsidRPr="00E84230">
        <w:rPr>
          <w:rFonts w:ascii="Times New Roman" w:hAnsi="Times New Roman"/>
          <w:color w:val="0000FF"/>
          <w:sz w:val="22"/>
        </w:rPr>
        <w:t>. Nuclei were visualized using Hoechst 33342. Scale bars, 10 µm.</w:t>
      </w:r>
      <w:r>
        <w:rPr>
          <w:rFonts w:ascii="Times New Roman" w:hAnsi="Times New Roman"/>
          <w:color w:val="0000FF"/>
          <w:sz w:val="22"/>
        </w:rPr>
        <w:t xml:space="preserve"> </w:t>
      </w:r>
      <w:r w:rsidRPr="001E084D">
        <w:rPr>
          <w:rFonts w:ascii="Times New Roman" w:hAnsi="Times New Roman"/>
          <w:b/>
          <w:color w:val="0000FF"/>
          <w:sz w:val="22"/>
        </w:rPr>
        <w:t>E</w:t>
      </w:r>
      <w:r>
        <w:rPr>
          <w:rFonts w:ascii="Times New Roman" w:hAnsi="Times New Roman"/>
          <w:color w:val="0000FF"/>
          <w:sz w:val="22"/>
        </w:rPr>
        <w:t xml:space="preserve"> </w:t>
      </w:r>
      <w:r w:rsidRPr="00402DE4">
        <w:rPr>
          <w:rFonts w:ascii="Times New Roman" w:hAnsi="Times New Roman"/>
          <w:color w:val="0000FF"/>
          <w:sz w:val="22"/>
        </w:rPr>
        <w:t>NF-</w:t>
      </w:r>
      <w:r w:rsidRPr="00402DE4">
        <w:rPr>
          <w:rFonts w:ascii="Times New Roman" w:hAnsi="Times New Roman"/>
          <w:color w:val="0000FF"/>
          <w:sz w:val="22"/>
        </w:rPr>
        <w:sym w:font="Symbol" w:char="F06B"/>
      </w:r>
      <w:r w:rsidRPr="00402DE4">
        <w:rPr>
          <w:rFonts w:ascii="Times New Roman" w:hAnsi="Times New Roman"/>
          <w:color w:val="0000FF"/>
          <w:sz w:val="22"/>
        </w:rPr>
        <w:t xml:space="preserve">B luciferase reporter activity in K562S cells 24 h after transfection of the plasmid encoding FAM167A and treatment with indicated concentrations of anti-FAM167A neutralizing antibody. Data are representative of </w:t>
      </w:r>
      <w:r>
        <w:rPr>
          <w:rFonts w:ascii="Times New Roman" w:hAnsi="Times New Roman"/>
          <w:color w:val="0000FF"/>
          <w:sz w:val="22"/>
        </w:rPr>
        <w:t>two</w:t>
      </w:r>
      <w:r w:rsidRPr="00402DE4">
        <w:rPr>
          <w:rFonts w:ascii="Times New Roman" w:hAnsi="Times New Roman"/>
          <w:color w:val="0000FF"/>
          <w:sz w:val="22"/>
        </w:rPr>
        <w:t xml:space="preserve"> (</w:t>
      </w:r>
      <w:r>
        <w:rPr>
          <w:rFonts w:ascii="Times New Roman" w:hAnsi="Times New Roman"/>
          <w:b/>
          <w:color w:val="0000FF"/>
          <w:sz w:val="22"/>
        </w:rPr>
        <w:t>D</w:t>
      </w:r>
      <w:r w:rsidRPr="00402DE4">
        <w:rPr>
          <w:rFonts w:ascii="Times New Roman" w:hAnsi="Times New Roman"/>
          <w:color w:val="0000FF"/>
          <w:sz w:val="22"/>
        </w:rPr>
        <w:t xml:space="preserve">, </w:t>
      </w:r>
      <w:r w:rsidRPr="00402DE4">
        <w:rPr>
          <w:rFonts w:ascii="Times New Roman" w:hAnsi="Times New Roman"/>
          <w:b/>
          <w:color w:val="0000FF"/>
          <w:sz w:val="22"/>
        </w:rPr>
        <w:t>E</w:t>
      </w:r>
      <w:r w:rsidRPr="00402DE4">
        <w:rPr>
          <w:rFonts w:ascii="Times New Roman" w:hAnsi="Times New Roman"/>
          <w:color w:val="0000FF"/>
          <w:sz w:val="22"/>
        </w:rPr>
        <w:t>) independent experiments (error bars, s.d. of triplicate (</w:t>
      </w:r>
      <w:r w:rsidRPr="00402DE4">
        <w:rPr>
          <w:rFonts w:ascii="Times New Roman" w:hAnsi="Times New Roman"/>
          <w:b/>
          <w:color w:val="0000FF"/>
          <w:sz w:val="22"/>
        </w:rPr>
        <w:t>E</w:t>
      </w:r>
      <w:r w:rsidRPr="00402DE4">
        <w:rPr>
          <w:rFonts w:ascii="Times New Roman" w:hAnsi="Times New Roman"/>
          <w:color w:val="0000FF"/>
          <w:sz w:val="22"/>
        </w:rPr>
        <w:t xml:space="preserve">) samples). Unpaired two-tailed </w:t>
      </w:r>
      <w:r w:rsidRPr="00402DE4">
        <w:rPr>
          <w:rFonts w:ascii="Times New Roman" w:hAnsi="Times New Roman"/>
          <w:i/>
          <w:color w:val="0000FF"/>
          <w:sz w:val="22"/>
        </w:rPr>
        <w:t>t</w:t>
      </w:r>
      <w:r w:rsidRPr="00402DE4">
        <w:rPr>
          <w:rFonts w:ascii="Times New Roman" w:hAnsi="Times New Roman"/>
          <w:color w:val="0000FF"/>
          <w:sz w:val="22"/>
        </w:rPr>
        <w:t>-test; *</w:t>
      </w:r>
      <w:r w:rsidRPr="00402DE4">
        <w:rPr>
          <w:rFonts w:ascii="Times New Roman" w:hAnsi="Times New Roman"/>
          <w:i/>
          <w:color w:val="0000FF"/>
          <w:sz w:val="22"/>
        </w:rPr>
        <w:t>P</w:t>
      </w:r>
      <w:r>
        <w:rPr>
          <w:rFonts w:ascii="Times New Roman" w:hAnsi="Times New Roman"/>
          <w:color w:val="0000FF"/>
          <w:sz w:val="22"/>
        </w:rPr>
        <w:t>&lt;0.05</w:t>
      </w:r>
      <w:r w:rsidRPr="00402DE4">
        <w:rPr>
          <w:rFonts w:ascii="Times New Roman" w:hAnsi="Times New Roman"/>
          <w:color w:val="0000FF"/>
          <w:sz w:val="22"/>
        </w:rPr>
        <w:t>.</w:t>
      </w:r>
    </w:p>
    <w:p w14:paraId="4A670D16" w14:textId="7248F3D6" w:rsidR="00B83F5E" w:rsidRPr="00BB2AC0" w:rsidRDefault="00B83F5E" w:rsidP="00B83F5E">
      <w:pPr>
        <w:adjustRightInd w:val="0"/>
        <w:spacing w:line="480" w:lineRule="auto"/>
        <w:rPr>
          <w:sz w:val="22"/>
        </w:rPr>
      </w:pPr>
    </w:p>
    <w:p w14:paraId="6E6DDA09" w14:textId="77777777" w:rsidR="00B83F5E" w:rsidRDefault="00B83F5E" w:rsidP="00B83F5E">
      <w:pPr>
        <w:adjustRightInd w:val="0"/>
        <w:spacing w:line="480" w:lineRule="auto"/>
        <w:rPr>
          <w:b/>
          <w:color w:val="C00000"/>
          <w:sz w:val="22"/>
        </w:rPr>
      </w:pPr>
      <w:r>
        <w:rPr>
          <w:b/>
          <w:color w:val="C00000"/>
          <w:sz w:val="22"/>
        </w:rPr>
        <w:br w:type="page"/>
      </w:r>
    </w:p>
    <w:p w14:paraId="07526B55" w14:textId="77777777" w:rsidR="00B83F5E" w:rsidRDefault="00B83F5E" w:rsidP="00B83F5E">
      <w:pPr>
        <w:adjustRightInd w:val="0"/>
        <w:spacing w:line="480" w:lineRule="auto"/>
        <w:jc w:val="center"/>
        <w:rPr>
          <w:b/>
          <w:color w:val="C00000"/>
          <w:sz w:val="22"/>
        </w:rPr>
      </w:pPr>
      <w:r w:rsidRPr="0094773D">
        <w:rPr>
          <w:b/>
          <w:noProof/>
          <w:color w:val="C00000"/>
          <w:sz w:val="22"/>
        </w:rPr>
        <w:lastRenderedPageBreak/>
        <w:drawing>
          <wp:inline distT="0" distB="0" distL="0" distR="0" wp14:anchorId="41A28917" wp14:editId="13720A4E">
            <wp:extent cx="4762500" cy="1758950"/>
            <wp:effectExtent l="0" t="0" r="0" b="0"/>
            <wp:docPr id="17" name="그림 17" descr="E:\CML\CML paper\Cell death and differentiation\Supplementary Figure 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CML\CML paper\Cell death and differentiation\Supplementary Figure 7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C4A42" w14:textId="4C47C55B" w:rsidR="00B83F5E" w:rsidRPr="00BC5C62" w:rsidRDefault="00B83F5E" w:rsidP="00B83F5E">
      <w:pPr>
        <w:adjustRightInd w:val="0"/>
        <w:spacing w:after="0" w:line="480" w:lineRule="auto"/>
        <w:rPr>
          <w:rFonts w:ascii="Times New Roman" w:hAnsi="Times New Roman"/>
          <w:b/>
          <w:color w:val="000000" w:themeColor="text1"/>
          <w:sz w:val="22"/>
        </w:rPr>
      </w:pPr>
      <w:r w:rsidRPr="00BC5C62">
        <w:rPr>
          <w:rFonts w:ascii="Times New Roman" w:hAnsi="Times New Roman"/>
          <w:b/>
          <w:color w:val="000000" w:themeColor="text1"/>
          <w:sz w:val="22"/>
        </w:rPr>
        <w:t>Fig. S</w:t>
      </w:r>
      <w:r w:rsidR="005B52B9">
        <w:rPr>
          <w:rFonts w:ascii="Times New Roman" w:hAnsi="Times New Roman"/>
          <w:b/>
          <w:color w:val="000000" w:themeColor="text1"/>
          <w:sz w:val="22"/>
        </w:rPr>
        <w:t>8</w:t>
      </w:r>
      <w:r w:rsidRPr="00BC5C62">
        <w:rPr>
          <w:rFonts w:ascii="Times New Roman" w:hAnsi="Times New Roman"/>
          <w:b/>
          <w:color w:val="000000" w:themeColor="text1"/>
          <w:sz w:val="22"/>
        </w:rPr>
        <w:t xml:space="preserve"> FAM167A regulates the noncanonical NF-</w:t>
      </w:r>
      <w:r w:rsidRPr="00BC5C62">
        <w:rPr>
          <w:rFonts w:ascii="Times New Roman" w:hAnsi="Times New Roman"/>
          <w:b/>
          <w:color w:val="000000" w:themeColor="text1"/>
          <w:sz w:val="22"/>
        </w:rPr>
        <w:sym w:font="Symbol" w:char="F06B"/>
      </w:r>
      <w:r w:rsidRPr="00BC5C62">
        <w:rPr>
          <w:rFonts w:ascii="Times New Roman" w:hAnsi="Times New Roman"/>
          <w:b/>
          <w:color w:val="000000" w:themeColor="text1"/>
          <w:sz w:val="22"/>
        </w:rPr>
        <w:t>B pathway through DSG1.</w:t>
      </w:r>
    </w:p>
    <w:p w14:paraId="26E9B087" w14:textId="3E326680" w:rsidR="00B83F5E" w:rsidRPr="00B83F5E" w:rsidRDefault="00B83F5E" w:rsidP="00B83F5E">
      <w:pPr>
        <w:adjustRightInd w:val="0"/>
        <w:spacing w:after="0" w:line="48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A</w:t>
      </w:r>
      <w:r w:rsidRPr="00B83F5E">
        <w:rPr>
          <w:rFonts w:ascii="Times New Roman" w:hAnsi="Times New Roman"/>
          <w:sz w:val="22"/>
        </w:rPr>
        <w:t xml:space="preserve"> Surface DSG1 </w:t>
      </w:r>
      <w:r w:rsidRPr="00B83F5E">
        <w:rPr>
          <w:rFonts w:ascii="Times New Roman" w:hAnsi="Times New Roman"/>
          <w:color w:val="000000"/>
          <w:sz w:val="22"/>
        </w:rPr>
        <w:t>staining</w:t>
      </w:r>
      <w:r w:rsidRPr="00B83F5E">
        <w:rPr>
          <w:rFonts w:ascii="Times New Roman" w:hAnsi="Times New Roman"/>
          <w:sz w:val="22"/>
        </w:rPr>
        <w:t xml:space="preserve"> of K562R cells after DSG1 knockdown</w:t>
      </w:r>
      <w:r w:rsidRPr="00B83F5E">
        <w:rPr>
          <w:rFonts w:ascii="Times New Roman" w:hAnsi="Times New Roman"/>
          <w:color w:val="000000"/>
          <w:sz w:val="22"/>
        </w:rPr>
        <w:t xml:space="preserve"> using recombinant lentiviruses encoding two different DSG1-specific shRNAs with an anti-DSG1 antibody</w:t>
      </w:r>
      <w:r w:rsidRPr="00B83F5E">
        <w:rPr>
          <w:rFonts w:ascii="Times New Roman" w:hAnsi="Times New Roman"/>
          <w:sz w:val="22"/>
        </w:rPr>
        <w:t xml:space="preserve">. </w:t>
      </w:r>
      <w:r>
        <w:rPr>
          <w:rFonts w:ascii="Times New Roman" w:hAnsi="Times New Roman"/>
          <w:b/>
          <w:sz w:val="22"/>
        </w:rPr>
        <w:t>B</w:t>
      </w:r>
      <w:r w:rsidRPr="00B83F5E">
        <w:rPr>
          <w:rFonts w:ascii="Times New Roman" w:hAnsi="Times New Roman"/>
          <w:sz w:val="22"/>
        </w:rPr>
        <w:t xml:space="preserve"> </w:t>
      </w:r>
      <w:r w:rsidRPr="00B83F5E">
        <w:rPr>
          <w:rFonts w:ascii="Times New Roman" w:hAnsi="Times New Roman"/>
          <w:color w:val="000000"/>
          <w:sz w:val="22"/>
        </w:rPr>
        <w:t xml:space="preserve">qRT-PCR analysis of </w:t>
      </w:r>
      <w:r w:rsidRPr="00B83F5E">
        <w:rPr>
          <w:rFonts w:ascii="Times New Roman" w:hAnsi="Times New Roman"/>
          <w:sz w:val="22"/>
        </w:rPr>
        <w:t xml:space="preserve">Erbin mRNA in K562S, K562R, and K562R cells treated with 1 µM imatinib for 24 h. </w:t>
      </w:r>
      <w:r>
        <w:rPr>
          <w:rFonts w:ascii="Times New Roman" w:hAnsi="Times New Roman"/>
          <w:b/>
          <w:sz w:val="22"/>
        </w:rPr>
        <w:t>C</w:t>
      </w:r>
      <w:r w:rsidRPr="00B83F5E">
        <w:rPr>
          <w:rFonts w:ascii="Times New Roman" w:hAnsi="Times New Roman"/>
          <w:sz w:val="22"/>
        </w:rPr>
        <w:t xml:space="preserve"> </w:t>
      </w:r>
      <w:r w:rsidRPr="00B83F5E">
        <w:rPr>
          <w:rFonts w:ascii="Times New Roman" w:hAnsi="Times New Roman"/>
          <w:color w:val="000000"/>
          <w:sz w:val="22"/>
        </w:rPr>
        <w:t xml:space="preserve">Immunoblot analysis for Erbin </w:t>
      </w:r>
      <w:r w:rsidRPr="00B83F5E">
        <w:rPr>
          <w:rFonts w:ascii="Times New Roman" w:hAnsi="Times New Roman"/>
          <w:sz w:val="22"/>
        </w:rPr>
        <w:t>in K562S and K562R cells. Data are representative of three (</w:t>
      </w:r>
      <w:r w:rsidR="00D614AB">
        <w:rPr>
          <w:rFonts w:ascii="Times New Roman" w:hAnsi="Times New Roman"/>
          <w:b/>
          <w:sz w:val="22"/>
        </w:rPr>
        <w:t>A</w:t>
      </w:r>
      <w:r w:rsidRPr="00B83F5E">
        <w:rPr>
          <w:rFonts w:ascii="Times New Roman" w:hAnsi="Times New Roman"/>
          <w:sz w:val="22"/>
        </w:rPr>
        <w:sym w:font="Symbol" w:char="F02D"/>
      </w:r>
      <w:r w:rsidR="00D614AB">
        <w:rPr>
          <w:rFonts w:ascii="Times New Roman" w:hAnsi="Times New Roman"/>
          <w:b/>
          <w:sz w:val="22"/>
        </w:rPr>
        <w:t>C</w:t>
      </w:r>
      <w:r w:rsidRPr="00B83F5E">
        <w:rPr>
          <w:rFonts w:ascii="Times New Roman" w:hAnsi="Times New Roman"/>
          <w:sz w:val="22"/>
        </w:rPr>
        <w:t>) independent experiments (error bars, s.d. of triplicate (</w:t>
      </w:r>
      <w:r w:rsidR="00D614AB">
        <w:rPr>
          <w:rFonts w:ascii="Times New Roman" w:hAnsi="Times New Roman"/>
          <w:b/>
          <w:sz w:val="22"/>
        </w:rPr>
        <w:t>B</w:t>
      </w:r>
      <w:r w:rsidRPr="00B83F5E">
        <w:rPr>
          <w:rFonts w:ascii="Times New Roman" w:hAnsi="Times New Roman"/>
          <w:sz w:val="22"/>
        </w:rPr>
        <w:t xml:space="preserve">) samples). Unpaired two-tailed </w:t>
      </w:r>
      <w:r w:rsidRPr="00B83F5E">
        <w:rPr>
          <w:rFonts w:ascii="Times New Roman" w:hAnsi="Times New Roman"/>
          <w:i/>
          <w:sz w:val="22"/>
        </w:rPr>
        <w:t>t</w:t>
      </w:r>
      <w:r w:rsidRPr="00B83F5E">
        <w:rPr>
          <w:rFonts w:ascii="Times New Roman" w:hAnsi="Times New Roman"/>
          <w:sz w:val="22"/>
        </w:rPr>
        <w:t>-test; NS, not significant.</w:t>
      </w:r>
    </w:p>
    <w:p w14:paraId="6E25E9E8" w14:textId="77777777" w:rsidR="00B83F5E" w:rsidRPr="00BB2AC0" w:rsidRDefault="00B83F5E" w:rsidP="00B83F5E">
      <w:pPr>
        <w:adjustRightInd w:val="0"/>
        <w:spacing w:line="480" w:lineRule="auto"/>
        <w:rPr>
          <w:sz w:val="22"/>
        </w:rPr>
      </w:pPr>
    </w:p>
    <w:p w14:paraId="3F8B5255" w14:textId="77777777" w:rsidR="00B83F5E" w:rsidRDefault="00B83F5E" w:rsidP="00B83F5E">
      <w:pPr>
        <w:adjustRightInd w:val="0"/>
        <w:spacing w:line="480" w:lineRule="auto"/>
        <w:rPr>
          <w:b/>
          <w:color w:val="C00000"/>
          <w:sz w:val="22"/>
        </w:rPr>
      </w:pPr>
      <w:r>
        <w:rPr>
          <w:b/>
          <w:color w:val="C00000"/>
          <w:sz w:val="22"/>
        </w:rPr>
        <w:br w:type="page"/>
      </w:r>
    </w:p>
    <w:p w14:paraId="5EE253D4" w14:textId="77777777" w:rsidR="00B83F5E" w:rsidRDefault="00B83F5E" w:rsidP="00B83F5E">
      <w:pPr>
        <w:adjustRightInd w:val="0"/>
        <w:spacing w:line="480" w:lineRule="auto"/>
        <w:jc w:val="center"/>
        <w:rPr>
          <w:b/>
          <w:color w:val="C00000"/>
          <w:sz w:val="22"/>
        </w:rPr>
      </w:pPr>
      <w:r w:rsidRPr="0094773D">
        <w:rPr>
          <w:b/>
          <w:noProof/>
          <w:color w:val="C00000"/>
          <w:sz w:val="22"/>
        </w:rPr>
        <w:lastRenderedPageBreak/>
        <w:drawing>
          <wp:inline distT="0" distB="0" distL="0" distR="0" wp14:anchorId="190208BD" wp14:editId="7E15E930">
            <wp:extent cx="5511800" cy="2018406"/>
            <wp:effectExtent l="0" t="0" r="0" b="1270"/>
            <wp:docPr id="18" name="그림 18" descr="E:\CML\CML paper\Cell death and differentiation\Supplementary Figure 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CML\CML paper\Cell death and differentiation\Supplementary Figure 8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52" cy="202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6DAC3" w14:textId="40F50037" w:rsidR="00B83F5E" w:rsidRPr="00BC5C62" w:rsidRDefault="00B83F5E" w:rsidP="00D614AB">
      <w:pPr>
        <w:adjustRightInd w:val="0"/>
        <w:spacing w:after="0" w:line="480" w:lineRule="auto"/>
        <w:rPr>
          <w:rFonts w:ascii="Times New Roman" w:hAnsi="Times New Roman"/>
          <w:b/>
          <w:color w:val="000000" w:themeColor="text1"/>
          <w:sz w:val="22"/>
        </w:rPr>
      </w:pPr>
      <w:r w:rsidRPr="00BC5C62">
        <w:rPr>
          <w:rFonts w:ascii="Times New Roman" w:hAnsi="Times New Roman"/>
          <w:b/>
          <w:color w:val="000000" w:themeColor="text1"/>
          <w:sz w:val="22"/>
        </w:rPr>
        <w:t xml:space="preserve">Fig. </w:t>
      </w:r>
      <w:r w:rsidR="00D614AB" w:rsidRPr="00BC5C62">
        <w:rPr>
          <w:rFonts w:ascii="Times New Roman" w:hAnsi="Times New Roman"/>
          <w:b/>
          <w:color w:val="000000" w:themeColor="text1"/>
          <w:sz w:val="22"/>
        </w:rPr>
        <w:t>S</w:t>
      </w:r>
      <w:r w:rsidR="005B52B9">
        <w:rPr>
          <w:rFonts w:ascii="Times New Roman" w:hAnsi="Times New Roman"/>
          <w:b/>
          <w:color w:val="000000" w:themeColor="text1"/>
          <w:sz w:val="22"/>
        </w:rPr>
        <w:t>9</w:t>
      </w:r>
      <w:r w:rsidRPr="00BC5C62">
        <w:rPr>
          <w:rFonts w:ascii="Times New Roman" w:hAnsi="Times New Roman"/>
          <w:b/>
          <w:color w:val="000000" w:themeColor="text1"/>
          <w:sz w:val="22"/>
        </w:rPr>
        <w:t xml:space="preserve"> The candidate ubiquitin ligase components TRAF3, CHIP, and c-cbl do not bind to DSG1.</w:t>
      </w:r>
    </w:p>
    <w:p w14:paraId="20F33027" w14:textId="357FD4E5" w:rsidR="00B83F5E" w:rsidRPr="00D614AB" w:rsidRDefault="00D614AB" w:rsidP="00D614AB">
      <w:pPr>
        <w:adjustRightInd w:val="0"/>
        <w:spacing w:after="0" w:line="48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A</w:t>
      </w:r>
      <w:r w:rsidR="00B83F5E" w:rsidRPr="00D614AB">
        <w:rPr>
          <w:rFonts w:ascii="Times New Roman" w:hAnsi="Times New Roman"/>
          <w:sz w:val="22"/>
        </w:rPr>
        <w:t xml:space="preserve"> Coimmunoprecipitation analysis of DSG1, Erbin, NIK, TRAF3, CHIP, and c-cbl in K562S and K562R cells. </w:t>
      </w:r>
      <w:r>
        <w:rPr>
          <w:rFonts w:ascii="Times New Roman" w:hAnsi="Times New Roman"/>
          <w:b/>
          <w:sz w:val="22"/>
        </w:rPr>
        <w:t>B</w:t>
      </w:r>
      <w:r w:rsidR="00B83F5E" w:rsidRPr="00D614AB">
        <w:rPr>
          <w:rFonts w:ascii="Times New Roman" w:hAnsi="Times New Roman"/>
          <w:sz w:val="22"/>
        </w:rPr>
        <w:t xml:space="preserve"> </w:t>
      </w:r>
      <w:r w:rsidR="00B83F5E" w:rsidRPr="00D614AB">
        <w:rPr>
          <w:rFonts w:ascii="Times New Roman" w:hAnsi="Times New Roman"/>
          <w:color w:val="000000"/>
          <w:sz w:val="22"/>
        </w:rPr>
        <w:t xml:space="preserve">Coimmunoprecipitation analysis </w:t>
      </w:r>
      <w:r w:rsidR="00B83F5E" w:rsidRPr="00D614AB">
        <w:rPr>
          <w:rFonts w:ascii="Times New Roman" w:hAnsi="Times New Roman"/>
          <w:sz w:val="22"/>
        </w:rPr>
        <w:t xml:space="preserve">of DSG1, NIK, and TRAF3 in K562S cells using anti-DSG1 and anti-TRAF3 antibodies. </w:t>
      </w:r>
      <w:r>
        <w:rPr>
          <w:rFonts w:ascii="Times New Roman" w:hAnsi="Times New Roman"/>
          <w:b/>
          <w:sz w:val="22"/>
        </w:rPr>
        <w:t>C</w:t>
      </w:r>
      <w:r w:rsidR="00B83F5E" w:rsidRPr="00D614AB">
        <w:rPr>
          <w:rFonts w:ascii="Times New Roman" w:hAnsi="Times New Roman"/>
          <w:sz w:val="22"/>
        </w:rPr>
        <w:t xml:space="preserve"> </w:t>
      </w:r>
      <w:r w:rsidR="00B83F5E" w:rsidRPr="00D614AB">
        <w:rPr>
          <w:rFonts w:ascii="Times New Roman" w:hAnsi="Times New Roman"/>
          <w:color w:val="000000"/>
          <w:sz w:val="22"/>
        </w:rPr>
        <w:t xml:space="preserve">Coimmunoprecipitation analysis </w:t>
      </w:r>
      <w:r w:rsidR="00B83F5E" w:rsidRPr="00D614AB">
        <w:rPr>
          <w:rFonts w:ascii="Times New Roman" w:hAnsi="Times New Roman"/>
          <w:sz w:val="22"/>
        </w:rPr>
        <w:t xml:space="preserve">of DSG1, NIK, and CHIP in K562S cells using anti-DSG1 and anti-CHIP antibodies. </w:t>
      </w:r>
      <w:r>
        <w:rPr>
          <w:rFonts w:ascii="Times New Roman" w:hAnsi="Times New Roman"/>
          <w:b/>
          <w:sz w:val="22"/>
        </w:rPr>
        <w:t>D</w:t>
      </w:r>
      <w:r w:rsidR="00B83F5E" w:rsidRPr="00D614AB">
        <w:rPr>
          <w:rFonts w:ascii="Times New Roman" w:hAnsi="Times New Roman"/>
          <w:sz w:val="22"/>
        </w:rPr>
        <w:t xml:space="preserve"> </w:t>
      </w:r>
      <w:r w:rsidR="00B83F5E" w:rsidRPr="00D614AB">
        <w:rPr>
          <w:rFonts w:ascii="Times New Roman" w:hAnsi="Times New Roman"/>
          <w:color w:val="000000"/>
          <w:sz w:val="22"/>
        </w:rPr>
        <w:t xml:space="preserve">Coimmunoprecipitation analysis </w:t>
      </w:r>
      <w:r w:rsidR="00B83F5E" w:rsidRPr="00D614AB">
        <w:rPr>
          <w:rFonts w:ascii="Times New Roman" w:hAnsi="Times New Roman"/>
          <w:sz w:val="22"/>
        </w:rPr>
        <w:t>of DSG1, NIK, and c-cbl in K562S cells using anti-DSG1 and anti-c-cbl antibodies. GAPDH was used as an internal standard (</w:t>
      </w:r>
      <w:r>
        <w:rPr>
          <w:rFonts w:ascii="Times New Roman" w:hAnsi="Times New Roman"/>
          <w:b/>
          <w:sz w:val="22"/>
        </w:rPr>
        <w:t>A</w:t>
      </w:r>
      <w:r w:rsidR="00B83F5E" w:rsidRPr="00D614AB">
        <w:rPr>
          <w:rFonts w:ascii="Times New Roman" w:hAnsi="Times New Roman"/>
          <w:sz w:val="22"/>
        </w:rPr>
        <w:t>). Data are representative of three (</w:t>
      </w:r>
      <w:r>
        <w:rPr>
          <w:rFonts w:ascii="Times New Roman" w:hAnsi="Times New Roman"/>
          <w:b/>
          <w:sz w:val="22"/>
        </w:rPr>
        <w:t>A</w:t>
      </w:r>
      <w:r w:rsidR="00B83F5E" w:rsidRPr="00D614AB">
        <w:rPr>
          <w:rFonts w:ascii="Times New Roman" w:hAnsi="Times New Roman"/>
          <w:sz w:val="22"/>
        </w:rPr>
        <w:sym w:font="Symbol" w:char="F02D"/>
      </w:r>
      <w:r>
        <w:rPr>
          <w:rFonts w:ascii="Times New Roman" w:hAnsi="Times New Roman"/>
          <w:b/>
          <w:sz w:val="22"/>
        </w:rPr>
        <w:t>D</w:t>
      </w:r>
      <w:r w:rsidR="00B83F5E" w:rsidRPr="00D614AB">
        <w:rPr>
          <w:rFonts w:ascii="Times New Roman" w:hAnsi="Times New Roman"/>
          <w:sz w:val="22"/>
        </w:rPr>
        <w:t>) independent experiments.</w:t>
      </w:r>
    </w:p>
    <w:p w14:paraId="2C8AFC52" w14:textId="77777777" w:rsidR="00B83F5E" w:rsidRPr="00BB2AC0" w:rsidRDefault="00B83F5E" w:rsidP="00B83F5E">
      <w:pPr>
        <w:adjustRightInd w:val="0"/>
        <w:spacing w:line="480" w:lineRule="auto"/>
        <w:rPr>
          <w:sz w:val="22"/>
        </w:rPr>
      </w:pPr>
    </w:p>
    <w:p w14:paraId="6AFE9972" w14:textId="77777777" w:rsidR="00B83F5E" w:rsidRDefault="00B83F5E" w:rsidP="00B83F5E">
      <w:pPr>
        <w:adjustRightInd w:val="0"/>
        <w:spacing w:line="480" w:lineRule="auto"/>
        <w:rPr>
          <w:b/>
          <w:color w:val="C00000"/>
          <w:sz w:val="22"/>
        </w:rPr>
      </w:pPr>
      <w:r>
        <w:rPr>
          <w:b/>
          <w:color w:val="C00000"/>
          <w:sz w:val="22"/>
        </w:rPr>
        <w:br w:type="page"/>
      </w:r>
    </w:p>
    <w:p w14:paraId="4451AB71" w14:textId="77777777" w:rsidR="00B83F5E" w:rsidRDefault="00B83F5E" w:rsidP="00B83F5E">
      <w:pPr>
        <w:adjustRightInd w:val="0"/>
        <w:spacing w:line="480" w:lineRule="auto"/>
        <w:jc w:val="center"/>
        <w:rPr>
          <w:b/>
          <w:color w:val="C00000"/>
          <w:sz w:val="22"/>
        </w:rPr>
      </w:pPr>
      <w:r w:rsidRPr="0094773D">
        <w:rPr>
          <w:b/>
          <w:noProof/>
          <w:color w:val="C00000"/>
          <w:sz w:val="22"/>
        </w:rPr>
        <w:lastRenderedPageBreak/>
        <w:drawing>
          <wp:inline distT="0" distB="0" distL="0" distR="0" wp14:anchorId="299FCEED" wp14:editId="12B1B607">
            <wp:extent cx="4354868" cy="5842000"/>
            <wp:effectExtent l="0" t="0" r="7620" b="6350"/>
            <wp:docPr id="19" name="그림 19" descr="E:\CML\CML paper\Cell death and differentiation\Supplementary Figure 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CML\CML paper\Cell death and differentiation\Supplementary Figure 9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711" cy="586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ADFCD" w14:textId="169080ED" w:rsidR="00B83F5E" w:rsidRPr="00BC5C62" w:rsidRDefault="00B83F5E" w:rsidP="00D614AB">
      <w:pPr>
        <w:adjustRightInd w:val="0"/>
        <w:spacing w:after="0" w:line="480" w:lineRule="auto"/>
        <w:rPr>
          <w:rFonts w:ascii="Times New Roman" w:hAnsi="Times New Roman"/>
          <w:b/>
          <w:color w:val="000000" w:themeColor="text1"/>
          <w:sz w:val="22"/>
        </w:rPr>
      </w:pPr>
      <w:r w:rsidRPr="00BC5C62">
        <w:rPr>
          <w:rFonts w:ascii="Times New Roman" w:hAnsi="Times New Roman"/>
          <w:b/>
          <w:color w:val="000000" w:themeColor="text1"/>
          <w:sz w:val="22"/>
        </w:rPr>
        <w:t xml:space="preserve">Fig. </w:t>
      </w:r>
      <w:r w:rsidR="00D614AB" w:rsidRPr="006218BF">
        <w:rPr>
          <w:rFonts w:ascii="Times New Roman" w:hAnsi="Times New Roman"/>
          <w:b/>
          <w:color w:val="000000" w:themeColor="text1"/>
          <w:sz w:val="22"/>
        </w:rPr>
        <w:t>S</w:t>
      </w:r>
      <w:r w:rsidR="005B52B9" w:rsidRPr="006218BF">
        <w:rPr>
          <w:rFonts w:ascii="Times New Roman" w:hAnsi="Times New Roman"/>
          <w:b/>
          <w:color w:val="000000" w:themeColor="text1"/>
          <w:sz w:val="22"/>
        </w:rPr>
        <w:t>10</w:t>
      </w:r>
      <w:r w:rsidRPr="006218BF">
        <w:rPr>
          <w:rFonts w:ascii="Times New Roman" w:hAnsi="Times New Roman"/>
          <w:b/>
          <w:color w:val="000000" w:themeColor="text1"/>
          <w:sz w:val="22"/>
        </w:rPr>
        <w:t xml:space="preserve"> </w:t>
      </w:r>
      <w:r w:rsidR="006218BF" w:rsidRPr="006218BF">
        <w:rPr>
          <w:rFonts w:ascii="Times New Roman" w:hAnsi="Times New Roman"/>
          <w:b/>
          <w:color w:val="000000"/>
          <w:sz w:val="22"/>
        </w:rPr>
        <w:t>FAM167A levels are elevated in KCL22R cells with BCR-ABL-independent TKI resistance.</w:t>
      </w:r>
    </w:p>
    <w:p w14:paraId="63D87577" w14:textId="70B958EE" w:rsidR="00B83F5E" w:rsidRDefault="00D614AB" w:rsidP="00D614AB">
      <w:pPr>
        <w:adjustRightInd w:val="0"/>
        <w:spacing w:after="0" w:line="480" w:lineRule="auto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A</w:t>
      </w:r>
      <w:r w:rsidR="00B83F5E" w:rsidRPr="00D614AB">
        <w:rPr>
          <w:rFonts w:ascii="Times New Roman" w:hAnsi="Times New Roman"/>
          <w:sz w:val="22"/>
        </w:rPr>
        <w:t xml:space="preserve"> Scheme of the sequenced region with reported mutation sites for BCR-ABL-dependent resistance. </w:t>
      </w:r>
      <w:r>
        <w:rPr>
          <w:rFonts w:ascii="Times New Roman" w:hAnsi="Times New Roman"/>
          <w:b/>
          <w:sz w:val="22"/>
        </w:rPr>
        <w:t>B</w:t>
      </w:r>
      <w:r w:rsidR="00B83F5E" w:rsidRPr="00D614AB">
        <w:rPr>
          <w:rFonts w:ascii="Times New Roman" w:hAnsi="Times New Roman"/>
          <w:sz w:val="22"/>
        </w:rPr>
        <w:t xml:space="preserve"> Sequenced region alignment results for KCL22S and KCL22R cells. </w:t>
      </w:r>
      <w:r>
        <w:rPr>
          <w:rFonts w:ascii="Times New Roman" w:hAnsi="Times New Roman"/>
          <w:b/>
          <w:sz w:val="22"/>
        </w:rPr>
        <w:t>C</w:t>
      </w:r>
      <w:r w:rsidR="00B83F5E" w:rsidRPr="00D614AB">
        <w:rPr>
          <w:rFonts w:ascii="Times New Roman" w:hAnsi="Times New Roman"/>
          <w:sz w:val="22"/>
        </w:rPr>
        <w:t xml:space="preserve"> Chromatograms of the reported mutation sites for BCR-ABL-dependent resistance in KCL22S and KCL22R cells. </w:t>
      </w:r>
      <w:r>
        <w:rPr>
          <w:rFonts w:ascii="Times New Roman" w:hAnsi="Times New Roman"/>
          <w:b/>
          <w:sz w:val="22"/>
        </w:rPr>
        <w:t>D</w:t>
      </w:r>
      <w:r w:rsidR="00B83F5E" w:rsidRPr="00D614AB">
        <w:rPr>
          <w:rFonts w:ascii="Times New Roman" w:hAnsi="Times New Roman"/>
          <w:sz w:val="22"/>
        </w:rPr>
        <w:t xml:space="preserve"> </w:t>
      </w:r>
      <w:r w:rsidR="00B83F5E" w:rsidRPr="00D614AB">
        <w:rPr>
          <w:rFonts w:ascii="Times New Roman" w:hAnsi="Times New Roman"/>
          <w:color w:val="000000"/>
          <w:sz w:val="22"/>
        </w:rPr>
        <w:t xml:space="preserve">qRT-PCR analysis of </w:t>
      </w:r>
      <w:r w:rsidR="00B83F5E" w:rsidRPr="00D614AB">
        <w:rPr>
          <w:rFonts w:ascii="Times New Roman" w:hAnsi="Times New Roman"/>
          <w:sz w:val="22"/>
        </w:rPr>
        <w:t>FAM167A mRNA in KCL22S, KCL22R, and KCL22R cells treated with 1 µM imatinib for 24 h. Data are representative of three (</w:t>
      </w:r>
      <w:r>
        <w:rPr>
          <w:rFonts w:ascii="Times New Roman" w:hAnsi="Times New Roman"/>
          <w:b/>
          <w:sz w:val="22"/>
        </w:rPr>
        <w:t>D</w:t>
      </w:r>
      <w:r w:rsidR="00B83F5E" w:rsidRPr="00D614AB">
        <w:rPr>
          <w:rFonts w:ascii="Times New Roman" w:hAnsi="Times New Roman"/>
          <w:sz w:val="22"/>
        </w:rPr>
        <w:t>) independent experiments (error bars, s.d. of triplicate (</w:t>
      </w:r>
      <w:r>
        <w:rPr>
          <w:rFonts w:ascii="Times New Roman" w:hAnsi="Times New Roman"/>
          <w:b/>
          <w:sz w:val="22"/>
        </w:rPr>
        <w:t>D</w:t>
      </w:r>
      <w:r w:rsidR="00B83F5E" w:rsidRPr="00D614AB">
        <w:rPr>
          <w:rFonts w:ascii="Times New Roman" w:hAnsi="Times New Roman"/>
          <w:sz w:val="22"/>
        </w:rPr>
        <w:t xml:space="preserve">) samples). Unpaired two-tailed </w:t>
      </w:r>
      <w:r w:rsidR="00B83F5E" w:rsidRPr="00D614AB">
        <w:rPr>
          <w:rFonts w:ascii="Times New Roman" w:hAnsi="Times New Roman"/>
          <w:i/>
          <w:sz w:val="22"/>
        </w:rPr>
        <w:t>t</w:t>
      </w:r>
      <w:r w:rsidR="00B83F5E" w:rsidRPr="00D614AB">
        <w:rPr>
          <w:rFonts w:ascii="Times New Roman" w:hAnsi="Times New Roman"/>
          <w:sz w:val="22"/>
        </w:rPr>
        <w:t>-test; **</w:t>
      </w:r>
      <w:r w:rsidR="00B83F5E" w:rsidRPr="00D614AB">
        <w:rPr>
          <w:rFonts w:ascii="Times New Roman" w:hAnsi="Times New Roman"/>
          <w:i/>
          <w:sz w:val="22"/>
        </w:rPr>
        <w:t>P</w:t>
      </w:r>
      <w:r w:rsidR="00B83F5E" w:rsidRPr="00D614AB">
        <w:rPr>
          <w:rFonts w:ascii="Times New Roman" w:hAnsi="Times New Roman"/>
          <w:sz w:val="22"/>
        </w:rPr>
        <w:t>&lt;0.01, ***</w:t>
      </w:r>
      <w:r w:rsidR="00B83F5E" w:rsidRPr="00D614AB">
        <w:rPr>
          <w:rFonts w:ascii="Times New Roman" w:hAnsi="Times New Roman"/>
          <w:i/>
          <w:sz w:val="22"/>
        </w:rPr>
        <w:t>P</w:t>
      </w:r>
      <w:r w:rsidR="00B83F5E" w:rsidRPr="00D614AB">
        <w:rPr>
          <w:rFonts w:ascii="Times New Roman" w:hAnsi="Times New Roman"/>
          <w:sz w:val="22"/>
        </w:rPr>
        <w:t>&lt;0.001.</w:t>
      </w:r>
    </w:p>
    <w:p w14:paraId="021F46B4" w14:textId="70CD6BA3" w:rsidR="00B83F5E" w:rsidRPr="00BC5C62" w:rsidRDefault="00B83F5E" w:rsidP="00D614AB">
      <w:pPr>
        <w:adjustRightInd w:val="0"/>
        <w:spacing w:after="0" w:line="480" w:lineRule="auto"/>
        <w:rPr>
          <w:rFonts w:ascii="Times New Roman" w:hAnsi="Times New Roman"/>
          <w:b/>
          <w:color w:val="000000" w:themeColor="text1"/>
          <w:sz w:val="22"/>
        </w:rPr>
      </w:pPr>
      <w:r w:rsidRPr="00BC5C62">
        <w:rPr>
          <w:rFonts w:ascii="Times New Roman" w:hAnsi="Times New Roman"/>
          <w:b/>
          <w:color w:val="000000" w:themeColor="text1"/>
          <w:sz w:val="22"/>
        </w:rPr>
        <w:lastRenderedPageBreak/>
        <w:t xml:space="preserve">Table </w:t>
      </w:r>
      <w:r w:rsidR="00D614AB" w:rsidRPr="00BC5C62">
        <w:rPr>
          <w:rFonts w:ascii="Times New Roman" w:hAnsi="Times New Roman"/>
          <w:b/>
          <w:color w:val="000000" w:themeColor="text1"/>
          <w:sz w:val="22"/>
        </w:rPr>
        <w:t>S</w:t>
      </w:r>
      <w:r w:rsidRPr="00BC5C62">
        <w:rPr>
          <w:rFonts w:ascii="Times New Roman" w:hAnsi="Times New Roman"/>
          <w:b/>
          <w:color w:val="000000" w:themeColor="text1"/>
          <w:sz w:val="22"/>
        </w:rPr>
        <w:t>1. CML patient characteristics for the samples used in this study.</w:t>
      </w:r>
    </w:p>
    <w:tbl>
      <w:tblPr>
        <w:tblW w:w="4924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2"/>
        <w:gridCol w:w="572"/>
        <w:gridCol w:w="530"/>
        <w:gridCol w:w="1061"/>
        <w:gridCol w:w="2288"/>
        <w:gridCol w:w="3086"/>
      </w:tblGrid>
      <w:tr w:rsidR="00B83F5E" w:rsidRPr="0047630E" w14:paraId="3EA718D1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B9CDE5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4E80D2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b/>
                <w:bCs/>
                <w:sz w:val="14"/>
                <w:szCs w:val="14"/>
              </w:rPr>
              <w:t>Patient No.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B9CDE5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54D7FF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b/>
                <w:bCs/>
                <w:sz w:val="14"/>
                <w:szCs w:val="14"/>
              </w:rPr>
              <w:t>Age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B9CDE5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933F02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b/>
                <w:bCs/>
                <w:sz w:val="14"/>
                <w:szCs w:val="14"/>
              </w:rPr>
              <w:t>Sex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B9CDE5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891F91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b/>
                <w:bCs/>
                <w:sz w:val="14"/>
                <w:szCs w:val="14"/>
              </w:rPr>
              <w:t>Dignosis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B9CDE5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30EB6A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b/>
                <w:bCs/>
                <w:sz w:val="14"/>
                <w:szCs w:val="14"/>
              </w:rPr>
              <w:t>Imatinib resistance</w:t>
            </w:r>
            <w:r w:rsidRPr="00D614AB">
              <w:rPr>
                <w:rFonts w:ascii="Times New Roman" w:hAnsi="Times New Roman"/>
                <w:b/>
                <w:bCs/>
                <w:sz w:val="14"/>
                <w:szCs w:val="14"/>
                <w:vertAlign w:val="superscript"/>
              </w:rPr>
              <w:t>1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B9CDE5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682453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b/>
                <w:bCs/>
                <w:sz w:val="14"/>
                <w:szCs w:val="14"/>
              </w:rPr>
              <w:t>BCR-ABL mutation status</w:t>
            </w:r>
            <w:r w:rsidRPr="00D614AB">
              <w:rPr>
                <w:rFonts w:ascii="Times New Roman" w:hAnsi="Times New Roman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</w:tr>
      <w:tr w:rsidR="00B83F5E" w:rsidRPr="0047630E" w14:paraId="7C1A838C" w14:textId="77777777" w:rsidTr="00807FE4">
        <w:trPr>
          <w:trHeight w:hRule="exact" w:val="236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9CDE5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B6FD3B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b/>
                <w:bCs/>
                <w:sz w:val="14"/>
                <w:szCs w:val="14"/>
              </w:rPr>
              <w:t>Imatinib responsive patients</w:t>
            </w:r>
          </w:p>
        </w:tc>
      </w:tr>
      <w:tr w:rsidR="00B83F5E" w:rsidRPr="0047630E" w14:paraId="7D788CEF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035912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20EC31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74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B5FF49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B383D5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797358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EEDA24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4A4B2B37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4C39DB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F8751A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555108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B68954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633136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07CAED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4F213B5A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0C5CC0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F30EED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346FD0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565D06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DF9F27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8D7854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2C3E3E1F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8EED2D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D1C936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C506AF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424E35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633723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EB1F62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66B3CD18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AE1E4F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7195F9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3754D4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6221E1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5E84F6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C3A614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2CA64455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ACFF0F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65B954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27BDB4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4981BF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A76BA0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7CADDA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2A754859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198439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96632C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0B7C3B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4DCB96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2C1373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970764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582889AD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06542A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7BB66C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B628CD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EC34A3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502D58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8C77D8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54DE6A1E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6368A9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56E928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DF8F5B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2F6C2F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FA38AD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0129B5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3A86B0E7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399D0F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EF3A72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4600E7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4186F0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8676FE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33CB20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511B6C12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C3D592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891C85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BC0958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634BAD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FF1052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C5E84D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2D9F66A1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40DD67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1E96A9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75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2AB417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EFBD39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DF2164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B4CD54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0DCF6E21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730F3C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C05B3A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1C8C4C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E322DA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60F642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782BE6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75A15823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9C0B35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0ADECA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B5C6B6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3922D9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9EC7A9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026A55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45966C3C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9BF21A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47A4BD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2BC914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71F567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84614F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39EFE8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0CAC4811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6C31DA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656548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76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8F6BC3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C9EF10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891871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1F8464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712DCC6E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85571D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17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0FD31C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C6A7B2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C02556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094893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D6119F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5D98ACF7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5088A0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3A30D8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14A9A4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60CA1E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DAB0EA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65DF55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1416D983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53074B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EF998E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86B66E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B5874E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B8A986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F05FF1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5CC9E57C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BA3421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12C565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CF8E82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3EDE70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8C48B0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71647B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1609BF1F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875B41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68BB63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8DA5B9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BF849C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F3351A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ED03EE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0CF4E8EA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EF5B95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3D4177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A9540C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AE287C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F80B33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76731F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089CF926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A98091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5A2688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70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291492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AB040E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6B6885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398D12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7184710F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90EE5D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B9379E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73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3B8CA9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33FFE3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9090A4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ADD294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559C47A6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0F2537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B7908B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D506AC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11D94A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6DBEF1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E70B9F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60F928A5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775873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26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2D22A7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3B4FCD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155830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88F733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244B5A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7BC94E4E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1993A8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27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E66244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F8B9C1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9EF79B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31D422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47F1EB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38CBC541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4CDF6A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28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C7C494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714C05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2240B1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BC98B3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DEF1A2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081D3976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C5B1C1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E51712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56EB41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2FED44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5229B6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BB0C90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605934B9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432198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30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109B8E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D06D7C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A91865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BDBEAF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ED2998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11198575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948852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31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E2840B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79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947A4B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C87D4F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2017CD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E201D8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3C654A6C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B21A2F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32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47484F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51DBEE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131E01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16DA37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62534B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62546EFC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4E4D7A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33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A328B1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00E041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4C0867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8F2F9B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C62B8B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4D44C1F6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C32B01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F99FD1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18FC8B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414723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F6DADE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Responsive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DB614B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-</w:t>
            </w:r>
          </w:p>
        </w:tc>
      </w:tr>
      <w:tr w:rsidR="00B83F5E" w:rsidRPr="0047630E" w14:paraId="4A3F817E" w14:textId="77777777" w:rsidTr="00807FE4">
        <w:trPr>
          <w:trHeight w:hRule="exact" w:val="236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9CDE5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1D1D75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b/>
                <w:bCs/>
                <w:sz w:val="14"/>
                <w:szCs w:val="14"/>
              </w:rPr>
              <w:t>Imatinib resistant patients lacking BCR-ABL mutation</w:t>
            </w:r>
          </w:p>
        </w:tc>
      </w:tr>
      <w:tr w:rsidR="00B83F5E" w:rsidRPr="0047630E" w14:paraId="68FABC5A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157AAE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B43F12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887367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6415BA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465940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7EDCDB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No mutation</w:t>
            </w:r>
          </w:p>
        </w:tc>
      </w:tr>
      <w:tr w:rsidR="00B83F5E" w:rsidRPr="0047630E" w14:paraId="0A810C32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618A9B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B34270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ACA051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332437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A53B6C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896C14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No mutation</w:t>
            </w:r>
          </w:p>
        </w:tc>
      </w:tr>
      <w:tr w:rsidR="00B83F5E" w:rsidRPr="0047630E" w14:paraId="1834D3D3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3BDA06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CBE3DE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95A3F4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63B729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1A71FB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378467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No mutation</w:t>
            </w:r>
          </w:p>
        </w:tc>
      </w:tr>
      <w:tr w:rsidR="00B83F5E" w:rsidRPr="0047630E" w14:paraId="7BD3ED88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DAEF1C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B7E855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77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FCDFB8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C362D7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57A675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3DBA19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No mutation</w:t>
            </w:r>
          </w:p>
        </w:tc>
      </w:tr>
      <w:tr w:rsidR="00B83F5E" w:rsidRPr="0047630E" w14:paraId="4A9A50C3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C4C710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B9894F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797EB3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A27D0B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47F8CC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C483EB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No mutation</w:t>
            </w:r>
          </w:p>
        </w:tc>
      </w:tr>
      <w:tr w:rsidR="00B83F5E" w:rsidRPr="0047630E" w14:paraId="08B77704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D192CB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9D56D8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37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BD8AAD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21ED42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3BE5C3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8E3DD8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No mutation</w:t>
            </w:r>
          </w:p>
        </w:tc>
      </w:tr>
      <w:tr w:rsidR="00B83F5E" w:rsidRPr="0047630E" w14:paraId="148545A8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15D938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DF2131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AD319C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F916E3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93E1C4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ECFCA0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No mutation</w:t>
            </w:r>
          </w:p>
        </w:tc>
      </w:tr>
      <w:tr w:rsidR="00B83F5E" w:rsidRPr="0047630E" w14:paraId="69DDCBD6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7CE07D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60F735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9C9695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EDBDF9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41C7BC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3C5E48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No mutation</w:t>
            </w:r>
          </w:p>
        </w:tc>
      </w:tr>
      <w:tr w:rsidR="00B83F5E" w:rsidRPr="0047630E" w14:paraId="08F40CF8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CE1D00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DF7272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DA54E5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9BB5DB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406DD7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66C047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No mutation</w:t>
            </w:r>
          </w:p>
        </w:tc>
      </w:tr>
      <w:tr w:rsidR="00B83F5E" w:rsidRPr="0047630E" w14:paraId="58B957B7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5A2415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CB25A4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13D8F2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1A9008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AP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B868B4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399A77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No mutation</w:t>
            </w:r>
          </w:p>
        </w:tc>
      </w:tr>
      <w:tr w:rsidR="00B83F5E" w:rsidRPr="0047630E" w14:paraId="12E41006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966F42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DB0580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12CD2D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FA0551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4ED6A4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3125F7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No mutation</w:t>
            </w:r>
          </w:p>
        </w:tc>
      </w:tr>
      <w:tr w:rsidR="00B83F5E" w:rsidRPr="0047630E" w14:paraId="0D9B29DE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24782D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C72F84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1AA850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5BED00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AP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43ED4D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9780D1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No mutation</w:t>
            </w:r>
          </w:p>
        </w:tc>
      </w:tr>
      <w:tr w:rsidR="00B83F5E" w:rsidRPr="0047630E" w14:paraId="1F8D733B" w14:textId="77777777" w:rsidTr="00807FE4">
        <w:trPr>
          <w:trHeight w:hRule="exact" w:val="236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9CDE5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4A1D5A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b/>
                <w:bCs/>
                <w:sz w:val="14"/>
                <w:szCs w:val="14"/>
              </w:rPr>
              <w:t>Imatinib resistant patients harboring BCR-ABL mutation</w:t>
            </w:r>
          </w:p>
        </w:tc>
      </w:tr>
      <w:tr w:rsidR="00B83F5E" w:rsidRPr="0047630E" w14:paraId="3642F1A4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08A6DF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9A838F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59D94E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96708F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0D090E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C54A4C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Y253H</w:t>
            </w:r>
          </w:p>
        </w:tc>
      </w:tr>
      <w:tr w:rsidR="00B83F5E" w:rsidRPr="0047630E" w14:paraId="6D9FFCA8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13CE31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7E1B4C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8E085E5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87D48A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958294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635162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G250E</w:t>
            </w:r>
          </w:p>
        </w:tc>
      </w:tr>
      <w:tr w:rsidR="00B83F5E" w:rsidRPr="0047630E" w14:paraId="12D48404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DACAA4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40C1E6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FF76EB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25F7B1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AP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402BB2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7D2F38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F359I</w:t>
            </w:r>
          </w:p>
        </w:tc>
      </w:tr>
      <w:tr w:rsidR="00B83F5E" w:rsidRPr="0047630E" w14:paraId="2462657C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DD9535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55FDC5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993FED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DA4822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BP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B2107C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D34245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T315I</w:t>
            </w:r>
          </w:p>
        </w:tc>
      </w:tr>
      <w:tr w:rsidR="00B83F5E" w:rsidRPr="0047630E" w14:paraId="36C3A8EC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DDC1E0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0783C5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FB0D5E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E0B3DD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0500DB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A29F5B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P480L</w:t>
            </w:r>
          </w:p>
        </w:tc>
      </w:tr>
      <w:tr w:rsidR="00B83F5E" w:rsidRPr="0047630E" w14:paraId="5BFB6E0C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B3437E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lastRenderedPageBreak/>
              <w:t>6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D52894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44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268CD73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99E5CD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B5D6AF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9DC858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H396R</w:t>
            </w:r>
          </w:p>
        </w:tc>
      </w:tr>
      <w:tr w:rsidR="00B83F5E" w:rsidRPr="0047630E" w14:paraId="161F5FDD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7B9B2A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A087B6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272EF1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E4C1D6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911BC0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867832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Y215F</w:t>
            </w:r>
          </w:p>
        </w:tc>
      </w:tr>
      <w:tr w:rsidR="00B83F5E" w:rsidRPr="0047630E" w14:paraId="12B8ADFD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CAD5BF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1AD821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30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864C67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D1F4ED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521BA5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9F5B89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F317L</w:t>
            </w:r>
          </w:p>
        </w:tc>
      </w:tr>
      <w:tr w:rsidR="00B83F5E" w:rsidRPr="0047630E" w14:paraId="554EBE97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1F790E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17F17D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34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3C304E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B9FCB51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C479B26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217C78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E255K</w:t>
            </w:r>
          </w:p>
        </w:tc>
      </w:tr>
      <w:tr w:rsidR="00B83F5E" w:rsidRPr="0047630E" w14:paraId="495A97D2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8F28F4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C70851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3AFAB50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54BE69E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BP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BDB0AF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D40C88D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E255K</w:t>
            </w:r>
          </w:p>
        </w:tc>
      </w:tr>
      <w:tr w:rsidR="00B83F5E" w:rsidRPr="0047630E" w14:paraId="73824241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37F41E2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40F58D7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60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BCFEC7F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F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2B0AD6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EF976D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3515DA4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T315I</w:t>
            </w:r>
          </w:p>
        </w:tc>
      </w:tr>
      <w:tr w:rsidR="00B83F5E" w:rsidRPr="0047630E" w14:paraId="2E966309" w14:textId="77777777" w:rsidTr="00807FE4">
        <w:trPr>
          <w:trHeight w:hRule="exact" w:val="236"/>
          <w:jc w:val="center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734A41B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988A09C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54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98663B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3ACB55A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CP</w:t>
            </w:r>
          </w:p>
        </w:tc>
        <w:tc>
          <w:tcPr>
            <w:tcW w:w="1287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3B63548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Resistant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026E119" w14:textId="77777777" w:rsidR="00B83F5E" w:rsidRPr="00D614AB" w:rsidRDefault="00B83F5E" w:rsidP="00807FE4">
            <w:pPr>
              <w:adjustRightInd w:val="0"/>
              <w:spacing w:line="48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614AB">
              <w:rPr>
                <w:rFonts w:ascii="Times New Roman" w:hAnsi="Times New Roman"/>
                <w:sz w:val="14"/>
                <w:szCs w:val="14"/>
              </w:rPr>
              <w:t>G250E</w:t>
            </w:r>
          </w:p>
        </w:tc>
      </w:tr>
    </w:tbl>
    <w:p w14:paraId="7AF81691" w14:textId="727178F1" w:rsidR="00440B75" w:rsidRPr="00D614AB" w:rsidRDefault="00B83F5E" w:rsidP="00D614AB">
      <w:pPr>
        <w:adjustRightInd w:val="0"/>
        <w:spacing w:line="480" w:lineRule="auto"/>
        <w:rPr>
          <w:sz w:val="22"/>
        </w:rPr>
      </w:pPr>
      <w:r w:rsidRPr="000657D1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28CE6" wp14:editId="4B744811">
                <wp:simplePos x="0" y="0"/>
                <wp:positionH relativeFrom="column">
                  <wp:posOffset>47624</wp:posOffset>
                </wp:positionH>
                <wp:positionV relativeFrom="paragraph">
                  <wp:posOffset>26035</wp:posOffset>
                </wp:positionV>
                <wp:extent cx="5667375" cy="415498"/>
                <wp:effectExtent l="0" t="0" r="0" b="0"/>
                <wp:wrapNone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7375" cy="41549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7206D8" w14:textId="77777777" w:rsidR="00B83F5E" w:rsidRPr="000657D1" w:rsidRDefault="00B83F5E" w:rsidP="00D614AB">
                            <w:pPr>
                              <w:pStyle w:val="a6"/>
                              <w:wordWrap w:val="0"/>
                              <w:spacing w:before="0" w:beforeAutospacing="0" w:after="0" w:afterAutospacing="0"/>
                              <w:rPr>
                                <w:sz w:val="32"/>
                              </w:rPr>
                            </w:pPr>
                            <w:r w:rsidRPr="000657D1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position w:val="4"/>
                                <w:sz w:val="18"/>
                                <w:szCs w:val="14"/>
                                <w:vertAlign w:val="superscript"/>
                              </w:rPr>
                              <w:t>1</w:t>
                            </w:r>
                            <w:r w:rsidRPr="000657D1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4"/>
                              </w:rPr>
                              <w:t xml:space="preserve">Imatinib resistance were classified clinically based on the European Leukemia Net guidelines. </w:t>
                            </w:r>
                            <w:r w:rsidRPr="000657D1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position w:val="4"/>
                                <w:sz w:val="18"/>
                                <w:szCs w:val="14"/>
                                <w:vertAlign w:val="superscript"/>
                              </w:rPr>
                              <w:t>2</w:t>
                            </w:r>
                            <w:r w:rsidRPr="000657D1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4"/>
                              </w:rPr>
                              <w:t>Mutational status of BCR-ABL were confirmed by sequencing analysis</w:t>
                            </w:r>
                          </w:p>
                          <w:p w14:paraId="527D488F" w14:textId="77777777" w:rsidR="00B83F5E" w:rsidRPr="000657D1" w:rsidRDefault="00B83F5E" w:rsidP="00D614AB">
                            <w:pPr>
                              <w:pStyle w:val="a6"/>
                              <w:wordWrap w:val="0"/>
                              <w:spacing w:before="0" w:beforeAutospacing="0" w:after="0" w:afterAutospacing="0"/>
                              <w:rPr>
                                <w:sz w:val="32"/>
                              </w:rPr>
                            </w:pPr>
                            <w:r w:rsidRPr="000657D1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4"/>
                              </w:rPr>
                              <w:t>CP, chronic phase; AP, accelerated phase; BP, blastic phase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D28CE6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3.75pt;margin-top:2.05pt;width:446.25pt;height:3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" filled="f" stroked="f">
                <v:textbox style="mso-fit-shape-to-text:t">
                  <w:txbxContent>
                    <w:p w14:paraId="157206D8" w14:textId="77777777" w:rsidR="00B83F5E" w:rsidRPr="000657D1" w:rsidRDefault="00B83F5E" w:rsidP="00D614AB">
                      <w:pPr>
                        <w:pStyle w:val="a6"/>
                        <w:wordWrap w:val="0"/>
                        <w:spacing w:before="0" w:beforeAutospacing="0" w:after="0" w:afterAutospacing="0"/>
                        <w:rPr>
                          <w:sz w:val="32"/>
                        </w:rPr>
                      </w:pPr>
                      <w:r w:rsidRPr="000657D1">
                        <w:rPr>
                          <w:rFonts w:ascii="Arial" w:hAnsi="Arial" w:cs="Arial"/>
                          <w:color w:val="000000" w:themeColor="text1"/>
                          <w:kern w:val="24"/>
                          <w:position w:val="4"/>
                          <w:sz w:val="18"/>
                          <w:szCs w:val="14"/>
                          <w:vertAlign w:val="superscript"/>
                        </w:rPr>
                        <w:t>1</w:t>
                      </w:r>
                      <w:r w:rsidRPr="000657D1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4"/>
                        </w:rPr>
                        <w:t xml:space="preserve">Imatinib resistance were classified clinically based on the European Leukemia Net guidelines. </w:t>
                      </w:r>
                      <w:r w:rsidRPr="000657D1">
                        <w:rPr>
                          <w:rFonts w:ascii="Arial" w:hAnsi="Arial" w:cs="Arial"/>
                          <w:color w:val="000000" w:themeColor="text1"/>
                          <w:kern w:val="24"/>
                          <w:position w:val="4"/>
                          <w:sz w:val="18"/>
                          <w:szCs w:val="14"/>
                          <w:vertAlign w:val="superscript"/>
                        </w:rPr>
                        <w:t>2</w:t>
                      </w:r>
                      <w:r w:rsidRPr="000657D1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4"/>
                        </w:rPr>
                        <w:t>Mutational status of BCR-ABL were confirmed by sequencing analysis</w:t>
                      </w:r>
                    </w:p>
                    <w:p w14:paraId="527D488F" w14:textId="77777777" w:rsidR="00B83F5E" w:rsidRPr="000657D1" w:rsidRDefault="00B83F5E" w:rsidP="00D614AB">
                      <w:pPr>
                        <w:pStyle w:val="a6"/>
                        <w:wordWrap w:val="0"/>
                        <w:spacing w:before="0" w:beforeAutospacing="0" w:after="0" w:afterAutospacing="0"/>
                        <w:rPr>
                          <w:sz w:val="32"/>
                        </w:rPr>
                      </w:pPr>
                      <w:r w:rsidRPr="000657D1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4"/>
                        </w:rPr>
                        <w:t>CP, chronic phase; AP, accelerated phase; BP, blastic phase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40B75" w:rsidRPr="00D614A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81B9C" w14:textId="77777777" w:rsidR="00305AC3" w:rsidRDefault="00305AC3" w:rsidP="006D6885">
      <w:pPr>
        <w:spacing w:after="0" w:line="240" w:lineRule="auto"/>
      </w:pPr>
      <w:r>
        <w:separator/>
      </w:r>
    </w:p>
  </w:endnote>
  <w:endnote w:type="continuationSeparator" w:id="0">
    <w:p w14:paraId="4050D44F" w14:textId="77777777" w:rsidR="00305AC3" w:rsidRDefault="00305AC3" w:rsidP="006D6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657185" w14:textId="77777777" w:rsidR="00305AC3" w:rsidRDefault="00305AC3" w:rsidP="006D6885">
      <w:pPr>
        <w:spacing w:after="0" w:line="240" w:lineRule="auto"/>
      </w:pPr>
      <w:r>
        <w:separator/>
      </w:r>
    </w:p>
  </w:footnote>
  <w:footnote w:type="continuationSeparator" w:id="0">
    <w:p w14:paraId="3B6E0BD8" w14:textId="77777777" w:rsidR="00305AC3" w:rsidRDefault="00305AC3" w:rsidP="006D68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C83"/>
    <w:rsid w:val="00006269"/>
    <w:rsid w:val="000657D1"/>
    <w:rsid w:val="000D104C"/>
    <w:rsid w:val="00130BDD"/>
    <w:rsid w:val="00132D0F"/>
    <w:rsid w:val="00176F98"/>
    <w:rsid w:val="001C53DA"/>
    <w:rsid w:val="001E084D"/>
    <w:rsid w:val="00206310"/>
    <w:rsid w:val="002551D6"/>
    <w:rsid w:val="002C5CC1"/>
    <w:rsid w:val="002F6660"/>
    <w:rsid w:val="00305AC3"/>
    <w:rsid w:val="0032049C"/>
    <w:rsid w:val="00367533"/>
    <w:rsid w:val="0039301A"/>
    <w:rsid w:val="00402DE4"/>
    <w:rsid w:val="00415C6F"/>
    <w:rsid w:val="00440B75"/>
    <w:rsid w:val="004A0685"/>
    <w:rsid w:val="004A2043"/>
    <w:rsid w:val="004A6C6E"/>
    <w:rsid w:val="005108DA"/>
    <w:rsid w:val="00560C40"/>
    <w:rsid w:val="0057658E"/>
    <w:rsid w:val="00592FD5"/>
    <w:rsid w:val="005B52B9"/>
    <w:rsid w:val="005E7290"/>
    <w:rsid w:val="006218BF"/>
    <w:rsid w:val="00661335"/>
    <w:rsid w:val="006D6885"/>
    <w:rsid w:val="006E0933"/>
    <w:rsid w:val="007415E3"/>
    <w:rsid w:val="007B0F4A"/>
    <w:rsid w:val="007C48E3"/>
    <w:rsid w:val="00803DFF"/>
    <w:rsid w:val="00863C83"/>
    <w:rsid w:val="008C5D0A"/>
    <w:rsid w:val="008F0369"/>
    <w:rsid w:val="008F5DA0"/>
    <w:rsid w:val="00961B8B"/>
    <w:rsid w:val="009826A6"/>
    <w:rsid w:val="009938DC"/>
    <w:rsid w:val="00AD0EAA"/>
    <w:rsid w:val="00AE3390"/>
    <w:rsid w:val="00B83F5E"/>
    <w:rsid w:val="00BC5C62"/>
    <w:rsid w:val="00BF5037"/>
    <w:rsid w:val="00C11E01"/>
    <w:rsid w:val="00C129F0"/>
    <w:rsid w:val="00CB531C"/>
    <w:rsid w:val="00D13126"/>
    <w:rsid w:val="00D606C0"/>
    <w:rsid w:val="00D614AB"/>
    <w:rsid w:val="00D92F24"/>
    <w:rsid w:val="00DB2964"/>
    <w:rsid w:val="00DD111F"/>
    <w:rsid w:val="00DE5E62"/>
    <w:rsid w:val="00E567FC"/>
    <w:rsid w:val="00E84230"/>
    <w:rsid w:val="00F073A1"/>
    <w:rsid w:val="00F27232"/>
    <w:rsid w:val="00FD5241"/>
    <w:rsid w:val="00FE20DE"/>
    <w:rsid w:val="00FE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B92BD9"/>
  <w15:chartTrackingRefBased/>
  <w15:docId w15:val="{21A90DD0-0366-4BC5-8562-6C15B217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885"/>
    <w:pPr>
      <w:widowControl w:val="0"/>
      <w:wordWrap w:val="0"/>
      <w:autoSpaceDE w:val="0"/>
      <w:autoSpaceDN w:val="0"/>
      <w:spacing w:after="200" w:line="276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6885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</w:rPr>
  </w:style>
  <w:style w:type="character" w:customStyle="1" w:styleId="Char">
    <w:name w:val="머리글 Char"/>
    <w:basedOn w:val="a0"/>
    <w:link w:val="a3"/>
    <w:uiPriority w:val="99"/>
    <w:rsid w:val="006D6885"/>
  </w:style>
  <w:style w:type="paragraph" w:styleId="a4">
    <w:name w:val="footer"/>
    <w:basedOn w:val="a"/>
    <w:link w:val="Char0"/>
    <w:uiPriority w:val="99"/>
    <w:unhideWhenUsed/>
    <w:rsid w:val="006D6885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</w:rPr>
  </w:style>
  <w:style w:type="character" w:customStyle="1" w:styleId="Char0">
    <w:name w:val="바닥글 Char"/>
    <w:basedOn w:val="a0"/>
    <w:link w:val="a4"/>
    <w:uiPriority w:val="99"/>
    <w:rsid w:val="006D6885"/>
  </w:style>
  <w:style w:type="paragraph" w:styleId="a5">
    <w:name w:val="caption"/>
    <w:basedOn w:val="a"/>
    <w:next w:val="a"/>
    <w:uiPriority w:val="35"/>
    <w:unhideWhenUsed/>
    <w:qFormat/>
    <w:rsid w:val="000657D1"/>
    <w:rPr>
      <w:b/>
      <w:bCs/>
      <w:szCs w:val="20"/>
    </w:rPr>
  </w:style>
  <w:style w:type="paragraph" w:styleId="a6">
    <w:name w:val="Normal (Web)"/>
    <w:basedOn w:val="a"/>
    <w:uiPriority w:val="99"/>
    <w:semiHidden/>
    <w:unhideWhenUsed/>
    <w:rsid w:val="000657D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SMcaption">
    <w:name w:val="SM caption"/>
    <w:basedOn w:val="a"/>
    <w:qFormat/>
    <w:rsid w:val="00B83F5E"/>
    <w:pPr>
      <w:widowControl/>
      <w:wordWrap/>
      <w:autoSpaceDE/>
      <w:autoSpaceDN/>
      <w:spacing w:after="0" w:line="240" w:lineRule="auto"/>
      <w:jc w:val="left"/>
    </w:pPr>
    <w:rPr>
      <w:rFonts w:ascii="Times New Roman" w:eastAsiaTheme="minorEastAsia" w:hAnsi="Times New Roman"/>
      <w:kern w:val="0"/>
      <w:sz w:val="24"/>
      <w:szCs w:val="20"/>
      <w:lang w:eastAsia="en-US"/>
    </w:rPr>
  </w:style>
  <w:style w:type="character" w:styleId="a7">
    <w:name w:val="Hyperlink"/>
    <w:unhideWhenUsed/>
    <w:rsid w:val="007415E3"/>
    <w:rPr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57658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57658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1147</Words>
  <Characters>6539</Characters>
  <Application>Microsoft Office Word</Application>
  <DocSecurity>0</DocSecurity>
  <Lines>54</Lines>
  <Paragraphs>15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박성규</dc:creator>
  <cp:keywords/>
  <dc:description/>
  <cp:lastModifiedBy>Taewoo Yang</cp:lastModifiedBy>
  <cp:revision>9</cp:revision>
  <dcterms:created xsi:type="dcterms:W3CDTF">2022-02-12T06:06:00Z</dcterms:created>
  <dcterms:modified xsi:type="dcterms:W3CDTF">2022-02-12T08:20:00Z</dcterms:modified>
</cp:coreProperties>
</file>