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EA7" w:rsidRPr="00922EA7" w:rsidRDefault="00922EA7" w:rsidP="004C0E25">
      <w:pPr>
        <w:spacing w:line="480" w:lineRule="auto"/>
        <w:jc w:val="both"/>
        <w:rPr>
          <w:rFonts w:ascii="Calibri" w:hAnsi="Calibri" w:cs="Calibri"/>
          <w:b/>
          <w:i/>
          <w:color w:val="000000" w:themeColor="text1"/>
          <w:sz w:val="22"/>
          <w:szCs w:val="22"/>
          <w:lang w:val="en-US"/>
        </w:rPr>
      </w:pPr>
      <w:r w:rsidRPr="00922EA7">
        <w:rPr>
          <w:rFonts w:ascii="Calibri" w:hAnsi="Calibri" w:cs="Calibri"/>
          <w:b/>
          <w:i/>
          <w:color w:val="000000" w:themeColor="text1"/>
          <w:sz w:val="22"/>
          <w:szCs w:val="22"/>
          <w:lang w:val="en-US"/>
        </w:rPr>
        <w:t>Additional materials and methods</w:t>
      </w:r>
    </w:p>
    <w:p w:rsidR="004C0E25" w:rsidRPr="00F3689D" w:rsidRDefault="004C0E25" w:rsidP="004C0E25">
      <w:pPr>
        <w:spacing w:line="480" w:lineRule="auto"/>
        <w:jc w:val="both"/>
        <w:rPr>
          <w:rFonts w:ascii="Calibri" w:hAnsi="Calibri" w:cs="Calibri"/>
          <w:i/>
          <w:color w:val="000000" w:themeColor="text1"/>
          <w:sz w:val="22"/>
          <w:szCs w:val="22"/>
          <w:lang w:val="en-US"/>
        </w:rPr>
      </w:pPr>
      <w:r w:rsidRPr="00F3689D">
        <w:rPr>
          <w:rFonts w:ascii="Calibri" w:hAnsi="Calibri" w:cs="Calibri"/>
          <w:i/>
          <w:color w:val="000000" w:themeColor="text1"/>
          <w:sz w:val="22"/>
          <w:szCs w:val="22"/>
          <w:lang w:val="en-US"/>
        </w:rPr>
        <w:t>Analysis of bacterial DNA in rat liver tissues</w:t>
      </w:r>
    </w:p>
    <w:p w:rsidR="004C0E25" w:rsidRDefault="004C0E25" w:rsidP="004C0E25">
      <w:pPr>
        <w:autoSpaceDE w:val="0"/>
        <w:autoSpaceDN w:val="0"/>
        <w:adjustRightInd w:val="0"/>
        <w:spacing w:line="480" w:lineRule="auto"/>
        <w:jc w:val="both"/>
        <w:rPr>
          <w:rFonts w:ascii="Calibri" w:hAnsi="Calibri" w:cs="Calibri"/>
          <w:sz w:val="22"/>
          <w:szCs w:val="22"/>
          <w:lang w:val="en-US"/>
        </w:rPr>
      </w:pPr>
      <w:r>
        <w:rPr>
          <w:rFonts w:ascii="Calibri" w:hAnsi="Calibri" w:cs="Calibri"/>
          <w:sz w:val="22"/>
          <w:szCs w:val="22"/>
          <w:lang w:val="en-US"/>
        </w:rPr>
        <w:t xml:space="preserve">Total DNA was isolated from 50 mg of rat liver tissues. After homogenization in 100 </w:t>
      </w:r>
      <w:r w:rsidRPr="00EB4D14">
        <w:rPr>
          <w:rFonts w:ascii="Symbol" w:hAnsi="Symbol" w:cs="Calibri"/>
          <w:sz w:val="22"/>
          <w:szCs w:val="22"/>
          <w:lang w:val="en-US"/>
        </w:rPr>
        <w:t></w:t>
      </w:r>
      <w:r>
        <w:rPr>
          <w:rFonts w:ascii="Calibri" w:hAnsi="Calibri" w:cs="Calibri"/>
          <w:sz w:val="22"/>
          <w:szCs w:val="22"/>
          <w:lang w:val="en-US"/>
        </w:rPr>
        <w:t>L 10mM Tris-1 mM EDTA, pH 8.0 (TE) buffer DNA was purified using the Maxwell RSC DNA extraction kit (#AS1620, Promega</w:t>
      </w:r>
      <w:r>
        <w:rPr>
          <w:rFonts w:ascii="Calibri" w:eastAsia="Times New Roman" w:hAnsi="Calibri" w:cs="Calibri"/>
          <w:color w:val="000000" w:themeColor="text1"/>
          <w:sz w:val="22"/>
          <w:szCs w:val="22"/>
          <w:lang w:val="en-US"/>
        </w:rPr>
        <w:t xml:space="preserve">, </w:t>
      </w:r>
      <w:r w:rsidRPr="00574076">
        <w:rPr>
          <w:rFonts w:ascii="Calibri" w:eastAsia="Times New Roman" w:hAnsi="Calibri" w:cs="Calibri"/>
          <w:color w:val="000000" w:themeColor="text1"/>
          <w:sz w:val="22"/>
          <w:szCs w:val="22"/>
          <w:lang w:val="en-US"/>
        </w:rPr>
        <w:t>Madison, WI, USA)</w:t>
      </w:r>
      <w:r>
        <w:rPr>
          <w:rFonts w:ascii="Calibri" w:hAnsi="Calibri" w:cs="Calibri"/>
          <w:sz w:val="22"/>
          <w:szCs w:val="22"/>
          <w:lang w:val="en-US"/>
        </w:rPr>
        <w:t xml:space="preserve"> with the Promega Maxwell RSC Instrument. DNA concentrations were quantified with a Nanodrop instrument and 100 ng of total DNA were used for quantitative real-time PCR (qRT-PCR). Bacterial 16S rDNA was amplified as described before </w:t>
      </w:r>
      <w:r>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{"citationItems":[{"id":"ITEM-1","itemData":{"DOI":"10.1099/00221287-148-1-257","ISSN":"1350-0872","PMID":"11782518","abstract":"The design and evaluation of a set of universal primers and probe for the amplification of 16S rDNA from the Domain Bacteria to estimate total bacterial load by real-time PCR is reported. Broad specificity of the universal detection system was confirmed by testing DNA isolated from 34 bacterial species encompassing most of the groups of bacteria outlined in Bergey's Manual of Determinative Bacteriology. However, the nature of the chromosomal DNA used as a standard was critical. A DNA standard representing those bacteria most likely to predominate in a given habitat was important for a more accurate determination of total bacterial load due to variations in 16S rDNA copy number and the effect of generation time of the bacteria on this number, since rapid growth could result in multiple replication forks and hence, in effect, more than one copy of portions of the chromosome. The validity of applying these caveats to estimating bacterial load was confirmed by enumerating the number of bacteria in an artificial sample mixed in vitro and in clinical carious dentine samples. Taking these parameters into account, the number of anaerobic bacteria estimated by the universal probe and primers set in carious dentine was 40-fold greater than the total bacterial load detected by culture methods, demonstrating the utility of real-time PCR in the analysis of this environment.","author":[{"dropping-particle":"","family":"Nadkarni","given":"Mangala A.","non-dropping-particle":"","parse-names":false,"suffix":""},{"dropping-particle":"","family":"Martin","given":"F. Elizabeth","non-dropping-particle":"","parse-names":false,"suffix":""},{"dropping-particle":"","family":"Jacques","given":"Nicholas A.","non-dropping-particle":"","parse-names":false,"suffix":""},{"dropping-particle":"","family":"Hunter","given":"Neil","non-dropping-particle":"","parse-names":false,"suffix":""}],"container-title":"Microbiology (Reading, England)","id":"ITEM-1","issue":"Pt 1","issued":{"date-parts":[["2002"]]},"page":"257-266","publisher":"Microbiology (Reading)","title":"Determination of bacterial load by real-time PCR using a broad-range (universal) probe and primers set","type":"article-journal","volume":"148"},"uris":["http://www.mendeley.com/documents/?uuid=f464659c-b9ee-39bb-9a12-a2c7c697171a"]}],"mendeley":{"formattedCitation":"(1)","plainTextFormattedCitation":"(1)","previouslyFormattedCitation":"(Nadkarni et al. 2002)"},"properties":{"noteIndex":0},"schema":"https://github.com/citation-style-language/schema/raw/master/csl-citation.json"}</w:instrText>
      </w:r>
      <w:r>
        <w:rPr>
          <w:rFonts w:ascii="Calibri" w:hAnsi="Calibri" w:cs="Calibri"/>
          <w:sz w:val="22"/>
          <w:szCs w:val="22"/>
          <w:lang w:val="en-US"/>
        </w:rPr>
        <w:fldChar w:fldCharType="separate"/>
      </w:r>
      <w:r w:rsidR="00922EA7" w:rsidRPr="00922EA7">
        <w:rPr>
          <w:rFonts w:ascii="Calibri" w:hAnsi="Calibri" w:cs="Calibri"/>
          <w:noProof/>
          <w:sz w:val="22"/>
          <w:szCs w:val="22"/>
          <w:lang w:val="en-US"/>
        </w:rPr>
        <w:t>(1)</w:t>
      </w:r>
      <w:r>
        <w:rPr>
          <w:rFonts w:ascii="Calibri" w:hAnsi="Calibri" w:cs="Calibri"/>
          <w:sz w:val="22"/>
          <w:szCs w:val="22"/>
          <w:lang w:val="en-US"/>
        </w:rPr>
        <w:fldChar w:fldCharType="end"/>
      </w:r>
      <w:r>
        <w:rPr>
          <w:rFonts w:ascii="Calibri" w:hAnsi="Calibri" w:cs="Calibri"/>
          <w:sz w:val="22"/>
          <w:szCs w:val="22"/>
          <w:lang w:val="en-US"/>
        </w:rPr>
        <w:t xml:space="preserve"> and data were normalized by qRT-PCR analysis of rat 18S rDNA contents. </w:t>
      </w:r>
    </w:p>
    <w:p w:rsidR="004C0E25" w:rsidRPr="00095C5B" w:rsidRDefault="004C0E25" w:rsidP="004C0E25">
      <w:pPr>
        <w:autoSpaceDE w:val="0"/>
        <w:autoSpaceDN w:val="0"/>
        <w:adjustRightInd w:val="0"/>
        <w:spacing w:line="480" w:lineRule="auto"/>
        <w:jc w:val="both"/>
        <w:rPr>
          <w:rFonts w:ascii="Calibri" w:hAnsi="Calibri" w:cs="Calibri"/>
          <w:sz w:val="22"/>
          <w:szCs w:val="22"/>
          <w:lang w:val="en-US"/>
        </w:rPr>
      </w:pPr>
      <w:r w:rsidRPr="00AE49CE">
        <w:rPr>
          <w:rFonts w:ascii="Calibri" w:hAnsi="Calibri" w:cs="Calibri"/>
          <w:i/>
          <w:sz w:val="22"/>
          <w:szCs w:val="22"/>
          <w:lang w:val="en-US"/>
        </w:rPr>
        <w:t>Serum biochemistry and bile acids (BA) determinations</w:t>
      </w:r>
    </w:p>
    <w:p w:rsidR="004C0E25" w:rsidRDefault="004C0E25" w:rsidP="004C0E25">
      <w:pPr>
        <w:autoSpaceDE w:val="0"/>
        <w:autoSpaceDN w:val="0"/>
        <w:adjustRightInd w:val="0"/>
        <w:spacing w:line="480" w:lineRule="auto"/>
        <w:jc w:val="both"/>
        <w:rPr>
          <w:rFonts w:ascii="Calibri" w:hAnsi="Calibri" w:cs="Calibri"/>
          <w:sz w:val="22"/>
          <w:szCs w:val="22"/>
          <w:lang w:val="en-US"/>
        </w:rPr>
      </w:pPr>
      <w:r w:rsidRPr="00AE49CE">
        <w:rPr>
          <w:rFonts w:ascii="Calibri" w:hAnsi="Calibri" w:cs="Calibri"/>
          <w:sz w:val="22"/>
          <w:szCs w:val="22"/>
          <w:lang w:val="en-US"/>
        </w:rPr>
        <w:t xml:space="preserve">Serum levels of alanine aminotransferase (ALT), aspartate aminotransferase (AST), alkaline phosphatase (ALP), bilirubin and BA were measured as previously reported </w:t>
      </w:r>
      <w:r w:rsidRPr="00AE49CE">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{"citationItems":[{"id":"ITEM-1","itemData":{"DOI":"10.1136/gutjnl-2016-312975","ISSN":"0017-5749","PMID":"28119353","abstract":"OBJECTIVE Fibroblast growth factor 15/19 (FGF15/19), an enterokine that regulates synthesis of hepatic bile acids (BA), has been proposed to influence fat metabolism. Without FGF15/19, mouse liver regeneration after partial hepatectomy (PH) is severely impaired. We studied the role of FGF15/19 in response to a high fat diet (HFD) and its regulation by saturated fatty acids. We developed a fusion molecule encompassing FGF19 and apolipoprotein A-I, termed Fibapo, and evaluated its pharmacological properties in fatty liver regeneration. DESIGN Fgf15(-/-) mice were fed a HFD. Liver fat and the expression of fat metabolism and endoplasmic reticulum (ER) stress-related genes were measured. Influence of palmitic acid (PA) on FGF15/19 expression was determined in mice and in human liver cell lines. In vivo half-life and biological activity of Fibapo and FGF19 were compared. Hepatoprotective and proregenerative activities of Fibapo were evaluated in obese db/db mice undergoing PH. RESULTS Hepatosteatosis and ER stress were exacerbated in HFD-fed Fgf15(-/-) mice. Hepatic expression of Pparγ2 was elevated in Fgf15(-/-) mice, being reversed by FGF19 treatment. PA induced FGF15/19 expression in mouse ileum and human liver cells, and FGF19 protected from PA-mediated ER stress and cytotoxicity. Fibapo reduced liver BA and lipid accumulation, inhibited ER stress and showed enhanced half-life. Fibapo provided increased db/db mice survival and improved regeneration upon PH. CONCLUSIONS FGF15/19 is essential for hepatic metabolic adaptation to dietary fat being a physiological regulator of Pparγ2 expression. Perioperative administration of Fibapo improves fatty liver regeneration.","author":[{"dropping-particle":"","family":"Alvarez-Sola","given":"Gloria","non-dropping-particle":"","parse-names":false,"suffix":""},{"dropping-particle":"","family":"Uriarte","given":"Iker","non-dropping-particle":"","parse-names":false,"suffix":""},{"dropping-particle":"","family":"Latasa","given":"M Ujue","non-dropping-particle":"","parse-names":false,"suffix":""},{"dropping-particle":"","family":"Fernandez-Barrena","given":"Maite G","non-dropping-particle":"","parse-names":false,"suffix":""},{"dropping-particle":"","family":"Urtasun","given":"Raquel","non-dropping-particle":"","parse-names":false,"suffix":""},{"dropping-particle":"","family":"Elizalde","given":"Maria","non-dropping-particle":"","parse-names":false,"suffix":""},{"dropping-particle":"","family":"Barcena-Varela","given":"Marina","non-dropping-particle":"","parse-names":false,"suffix":""},{"dropping-particle":"","family":"Jiménez","given":"Maddalen","non-dropping-particle":"","parse-names":false,"suffix":""},{"dropping-particle":"","family":"Chang","given":"Haisul C","non-dropping-particle":"","parse-names":false,"suffix":""},{"dropping-particle":"","family":"Barbero","given":"Roberto","non-dropping-particle":"","parse-names":false,"suffix":""},{"dropping-particle":"","family":"Catalán","given":"Victoria","non-dropping-particle":"","parse-names":false,"suffix":""},{"dropping-particle":"","family":"Rodríguez","given":"Amaia","non-dropping-particle":"","parse-names":false,"suffix":""},{"dropping-particle":"","family":"Frühbeck","given":"Gema","non-dropping-particle":"","parse-names":false,"suffix":""},{"dropping-particle":"","family":"Gallego-Escuredo","given":"José M","non-dropping-particle":"","parse-names":false,"suffix":""},{"dropping-particle":"","family":"Gavaldà-Navarro","given":"Aleix","non-dropping-particle":"","parse-names":false,"suffix":""},{"dropping-particle":"","family":"Villarroya","given":"Francesc","non-dropping-particle":"","parse-names":false,"suffix":""},{"dropping-particle":"","family":"Rodriguez-Ortigosa","given":"Carlos M","non-dropping-particle":"","parse-names":false,"suffix":""},{"dropping-particle":"","family":"Corrales","given":"Fernando J","non-dropping-particle":"","parse-names":false,"suffix":""},{"dropping-particle":"","family":"Prieto","given":"Jesus","non-dropping-particle":"","parse-names":false,"suffix":""},{"dropping-particle":"","family":"Berraondo","given":"Pedro","non-dropping-particle":"","parse-names":false,"suffix":""},{"dropping-particle":"","family":"Berasain","given":"Carmen","non-dropping-particle":"","parse-names":false,"suffix":""},{"dropping-particle":"","family":"Avila","given":"Matias A","non-dropping-particle":"","parse-names":false,"suffix":""}],"container-title":"Gut","id":"ITEM-1","issue":"10","issued":{"date-parts":[["2017"]]},"page":"1818-1828","title":"Fibroblast growth factor 15/19 (FGF15/19) protects from diet-induced hepatic steatosis: development of an FGF19-based chimeric molecule to promote fatty liver regeneration","type":"article-journal","volume":"66"},"uris":["http://www.mendeley.com/documents/?uuid=1ec4d4ef-fba2-4b17-a324-3858938ddc1c","http://www.mendeley.com/documents/?uuid=6899fa1a-30f4-4746-950f-b52b72f274c0"]}],"mendeley":{"formattedCitation":"(2)","plainTextFormattedCitation":"(2)","previouslyFormattedCitation":"(Alvarez-Sola et al. 2017)"},"properties":{"noteIndex":0},"schema":"https://github.com/citation-style-language/schema/raw/master/csl-citation.json"}</w:instrText>
      </w:r>
      <w:r w:rsidRPr="00AE49CE">
        <w:rPr>
          <w:rFonts w:ascii="Calibri" w:hAnsi="Calibri" w:cs="Calibri"/>
          <w:sz w:val="22"/>
          <w:szCs w:val="22"/>
          <w:lang w:val="en-US"/>
        </w:rPr>
        <w:fldChar w:fldCharType="separate"/>
      </w:r>
      <w:r w:rsidR="00922EA7" w:rsidRPr="00922EA7">
        <w:rPr>
          <w:rFonts w:ascii="Calibri" w:hAnsi="Calibri" w:cs="Calibri"/>
          <w:noProof/>
          <w:sz w:val="22"/>
          <w:szCs w:val="22"/>
          <w:lang w:val="en-US"/>
        </w:rPr>
        <w:t>(2)</w:t>
      </w:r>
      <w:r w:rsidRPr="00AE49CE">
        <w:rPr>
          <w:rFonts w:ascii="Calibri" w:hAnsi="Calibri" w:cs="Calibri"/>
          <w:sz w:val="22"/>
          <w:szCs w:val="22"/>
          <w:lang w:val="en-US"/>
        </w:rPr>
        <w:fldChar w:fldCharType="end"/>
      </w:r>
      <w:r w:rsidRPr="00AE49CE">
        <w:rPr>
          <w:rFonts w:ascii="Calibri" w:hAnsi="Calibri" w:cs="Calibri"/>
          <w:sz w:val="22"/>
          <w:szCs w:val="22"/>
          <w:lang w:val="en-US"/>
        </w:rPr>
        <w:t>.</w:t>
      </w:r>
    </w:p>
    <w:p w:rsidR="00975A16" w:rsidRDefault="00975A16" w:rsidP="00975A16">
      <w:pPr>
        <w:spacing w:line="480" w:lineRule="auto"/>
        <w:jc w:val="both"/>
        <w:rPr>
          <w:rFonts w:ascii="Calibri" w:hAnsi="Calibri" w:cs="Calibri"/>
          <w:i/>
          <w:iCs/>
          <w:sz w:val="22"/>
          <w:szCs w:val="22"/>
          <w:lang w:val="en-US"/>
        </w:rPr>
      </w:pPr>
      <w:r w:rsidRPr="002F598D">
        <w:rPr>
          <w:rFonts w:ascii="Calibri" w:hAnsi="Calibri" w:cs="Calibri"/>
          <w:i/>
          <w:iCs/>
          <w:sz w:val="22"/>
          <w:szCs w:val="22"/>
          <w:lang w:val="en-US"/>
        </w:rPr>
        <w:t>Bile metabolites analys</w:t>
      </w:r>
      <w:r>
        <w:rPr>
          <w:rFonts w:ascii="Calibri" w:hAnsi="Calibri" w:cs="Calibri"/>
          <w:i/>
          <w:iCs/>
          <w:sz w:val="22"/>
          <w:szCs w:val="22"/>
          <w:lang w:val="en-US"/>
        </w:rPr>
        <w:t>i</w:t>
      </w:r>
      <w:r w:rsidRPr="002F598D">
        <w:rPr>
          <w:rFonts w:ascii="Calibri" w:hAnsi="Calibri" w:cs="Calibri"/>
          <w:i/>
          <w:iCs/>
          <w:sz w:val="22"/>
          <w:szCs w:val="22"/>
          <w:lang w:val="en-US"/>
        </w:rPr>
        <w:t>s</w:t>
      </w:r>
    </w:p>
    <w:p w:rsidR="00975A16" w:rsidRPr="003F07CA" w:rsidRDefault="00975A16" w:rsidP="00975A16">
      <w:pPr>
        <w:spacing w:line="480" w:lineRule="auto"/>
        <w:jc w:val="both"/>
        <w:rPr>
          <w:rFonts w:ascii="Calibri" w:hAnsi="Calibri" w:cs="Calibri"/>
          <w:sz w:val="22"/>
          <w:szCs w:val="22"/>
          <w:lang w:val="en-US"/>
        </w:rPr>
      </w:pPr>
      <w:r>
        <w:rPr>
          <w:rFonts w:ascii="Calibri" w:hAnsi="Calibri" w:cs="Calibri"/>
          <w:sz w:val="22"/>
          <w:szCs w:val="22"/>
          <w:lang w:val="en-US"/>
        </w:rPr>
        <w:t>Fifty</w:t>
      </w:r>
      <w:r w:rsidRPr="003F07CA">
        <w:rPr>
          <w:rFonts w:ascii="Calibri" w:hAnsi="Calibri" w:cs="Calibri"/>
          <w:sz w:val="22"/>
          <w:szCs w:val="22"/>
          <w:lang w:val="en-US"/>
        </w:rPr>
        <w:t xml:space="preserve"> </w:t>
      </w:r>
      <w:r w:rsidRPr="003F07CA">
        <w:rPr>
          <w:rFonts w:ascii="Symbol" w:hAnsi="Symbol" w:cs="Calibri"/>
          <w:sz w:val="22"/>
          <w:szCs w:val="22"/>
          <w:lang w:val="en-US"/>
        </w:rPr>
        <w:t></w:t>
      </w:r>
      <w:r w:rsidRPr="003F07CA">
        <w:rPr>
          <w:rFonts w:ascii="Calibri" w:hAnsi="Calibri" w:cs="Calibri"/>
          <w:sz w:val="22"/>
          <w:szCs w:val="22"/>
          <w:lang w:val="en-US"/>
        </w:rPr>
        <w:t>l of bile w</w:t>
      </w:r>
      <w:r>
        <w:rPr>
          <w:rFonts w:ascii="Calibri" w:hAnsi="Calibri" w:cs="Calibri"/>
          <w:sz w:val="22"/>
          <w:szCs w:val="22"/>
          <w:lang w:val="en-US"/>
        </w:rPr>
        <w:t>as</w:t>
      </w:r>
      <w:r w:rsidRPr="003F07CA">
        <w:rPr>
          <w:rFonts w:ascii="Calibri" w:hAnsi="Calibri" w:cs="Calibri"/>
          <w:sz w:val="22"/>
          <w:szCs w:val="22"/>
          <w:lang w:val="en-US"/>
        </w:rPr>
        <w:t xml:space="preserve"> mixed with 150 </w:t>
      </w:r>
      <w:r w:rsidRPr="003F07CA">
        <w:rPr>
          <w:rFonts w:ascii="Symbol" w:hAnsi="Symbol" w:cs="Calibri"/>
          <w:sz w:val="22"/>
          <w:szCs w:val="22"/>
          <w:lang w:val="en-US"/>
        </w:rPr>
        <w:t></w:t>
      </w:r>
      <w:r w:rsidRPr="003F07CA">
        <w:rPr>
          <w:rFonts w:ascii="Calibri" w:hAnsi="Calibri" w:cs="Calibri"/>
          <w:sz w:val="22"/>
          <w:szCs w:val="22"/>
          <w:lang w:val="en-US"/>
        </w:rPr>
        <w:t>l of cold acetonitrile (ACN) (-20°C), after vortexing, sample</w:t>
      </w:r>
      <w:r>
        <w:rPr>
          <w:rFonts w:ascii="Calibri" w:hAnsi="Calibri" w:cs="Calibri"/>
          <w:sz w:val="22"/>
          <w:szCs w:val="22"/>
          <w:lang w:val="en-US"/>
        </w:rPr>
        <w:t>s</w:t>
      </w:r>
      <w:r w:rsidRPr="003F07CA">
        <w:rPr>
          <w:rFonts w:ascii="Calibri" w:hAnsi="Calibri" w:cs="Calibri"/>
          <w:sz w:val="22"/>
          <w:szCs w:val="22"/>
          <w:lang w:val="en-US"/>
        </w:rPr>
        <w:t xml:space="preserve"> w</w:t>
      </w:r>
      <w:r>
        <w:rPr>
          <w:rFonts w:ascii="Calibri" w:hAnsi="Calibri" w:cs="Calibri"/>
          <w:sz w:val="22"/>
          <w:szCs w:val="22"/>
          <w:lang w:val="en-US"/>
        </w:rPr>
        <w:t>ere</w:t>
      </w:r>
      <w:r w:rsidRPr="003F07CA">
        <w:rPr>
          <w:rFonts w:ascii="Calibri" w:hAnsi="Calibri" w:cs="Calibri"/>
          <w:sz w:val="22"/>
          <w:szCs w:val="22"/>
          <w:lang w:val="en-US"/>
        </w:rPr>
        <w:t xml:space="preserve"> centrifuged </w:t>
      </w:r>
      <w:r>
        <w:rPr>
          <w:rFonts w:ascii="Calibri" w:hAnsi="Calibri" w:cs="Calibri"/>
          <w:sz w:val="22"/>
          <w:szCs w:val="22"/>
          <w:lang w:val="en-US"/>
        </w:rPr>
        <w:t>(</w:t>
      </w:r>
      <w:r w:rsidRPr="003F07CA">
        <w:rPr>
          <w:rFonts w:ascii="Calibri" w:hAnsi="Calibri" w:cs="Calibri"/>
          <w:sz w:val="22"/>
          <w:szCs w:val="22"/>
          <w:lang w:val="en-US"/>
        </w:rPr>
        <w:t>10 min at 4°C</w:t>
      </w:r>
      <w:r>
        <w:rPr>
          <w:rFonts w:ascii="Calibri" w:hAnsi="Calibri" w:cs="Calibri"/>
          <w:sz w:val="22"/>
          <w:szCs w:val="22"/>
          <w:lang w:val="en-US"/>
        </w:rPr>
        <w:t xml:space="preserve">, </w:t>
      </w:r>
      <w:r w:rsidRPr="003F07CA">
        <w:rPr>
          <w:rFonts w:ascii="Calibri" w:hAnsi="Calibri" w:cs="Calibri"/>
          <w:sz w:val="22"/>
          <w:szCs w:val="22"/>
          <w:lang w:val="en-US"/>
        </w:rPr>
        <w:t xml:space="preserve">2000 </w:t>
      </w:r>
      <w:r w:rsidRPr="003F07CA">
        <w:rPr>
          <w:rFonts w:ascii="Calibri" w:hAnsi="Calibri" w:cs="Calibri"/>
          <w:i/>
          <w:sz w:val="22"/>
          <w:szCs w:val="22"/>
          <w:lang w:val="en-US"/>
        </w:rPr>
        <w:t>xg</w:t>
      </w:r>
      <w:r>
        <w:rPr>
          <w:rFonts w:ascii="Calibri" w:hAnsi="Calibri" w:cs="Calibri"/>
          <w:sz w:val="22"/>
          <w:szCs w:val="22"/>
          <w:lang w:val="en-US"/>
        </w:rPr>
        <w:t>)</w:t>
      </w:r>
      <w:r w:rsidRPr="003F07CA">
        <w:rPr>
          <w:rFonts w:ascii="Calibri" w:hAnsi="Calibri" w:cs="Calibri"/>
          <w:sz w:val="22"/>
          <w:szCs w:val="22"/>
          <w:lang w:val="en-US"/>
        </w:rPr>
        <w:t xml:space="preserve"> and supernatant</w:t>
      </w:r>
      <w:r>
        <w:rPr>
          <w:rFonts w:ascii="Calibri" w:hAnsi="Calibri" w:cs="Calibri"/>
          <w:sz w:val="22"/>
          <w:szCs w:val="22"/>
          <w:lang w:val="en-US"/>
        </w:rPr>
        <w:t>s</w:t>
      </w:r>
      <w:r w:rsidRPr="003F07CA">
        <w:rPr>
          <w:rFonts w:ascii="Calibri" w:hAnsi="Calibri" w:cs="Calibri"/>
          <w:sz w:val="22"/>
          <w:szCs w:val="22"/>
          <w:lang w:val="en-US"/>
        </w:rPr>
        <w:t xml:space="preserve"> w</w:t>
      </w:r>
      <w:r>
        <w:rPr>
          <w:rFonts w:ascii="Calibri" w:hAnsi="Calibri" w:cs="Calibri"/>
          <w:sz w:val="22"/>
          <w:szCs w:val="22"/>
          <w:lang w:val="en-US"/>
        </w:rPr>
        <w:t>ere</w:t>
      </w:r>
      <w:r w:rsidRPr="003F07CA">
        <w:rPr>
          <w:rFonts w:ascii="Calibri" w:hAnsi="Calibri" w:cs="Calibri"/>
          <w:sz w:val="22"/>
          <w:szCs w:val="22"/>
          <w:lang w:val="en-US"/>
        </w:rPr>
        <w:t xml:space="preserve"> evaporated to dryness and reconstituted in 50 </w:t>
      </w:r>
      <w:r w:rsidRPr="003F07CA">
        <w:rPr>
          <w:rFonts w:ascii="Symbol" w:hAnsi="Symbol" w:cs="Calibri"/>
          <w:sz w:val="22"/>
          <w:szCs w:val="22"/>
          <w:lang w:val="en-US"/>
        </w:rPr>
        <w:t></w:t>
      </w:r>
      <w:r w:rsidRPr="003F07CA">
        <w:rPr>
          <w:rFonts w:ascii="Calibri" w:hAnsi="Calibri" w:cs="Calibri"/>
          <w:sz w:val="22"/>
          <w:szCs w:val="22"/>
          <w:lang w:val="en-US"/>
        </w:rPr>
        <w:t>l of 0.1 M formic acid containing 0.2 mM methionine sulfone as internal standard.</w:t>
      </w:r>
      <w:r>
        <w:rPr>
          <w:rFonts w:ascii="Calibri" w:hAnsi="Calibri" w:cs="Calibri"/>
          <w:sz w:val="22"/>
          <w:szCs w:val="22"/>
          <w:lang w:val="en-US"/>
        </w:rPr>
        <w:t xml:space="preserve"> </w:t>
      </w:r>
      <w:r w:rsidRPr="003F07CA">
        <w:rPr>
          <w:rFonts w:ascii="Calibri" w:eastAsia="Cambria" w:hAnsi="Calibri" w:cs="Calibri"/>
          <w:bCs/>
          <w:sz w:val="22"/>
          <w:szCs w:val="22"/>
          <w:lang w:val="en-US"/>
        </w:rPr>
        <w:t xml:space="preserve">Bile untargeted </w:t>
      </w:r>
      <w:r>
        <w:rPr>
          <w:rFonts w:ascii="Calibri" w:eastAsia="Cambria" w:hAnsi="Calibri" w:cs="Calibri"/>
          <w:bCs/>
          <w:sz w:val="22"/>
          <w:szCs w:val="22"/>
          <w:lang w:val="en-US"/>
        </w:rPr>
        <w:t>capillary electrophoresis-mass spectrometry (</w:t>
      </w:r>
      <w:r w:rsidRPr="003F07CA">
        <w:rPr>
          <w:rFonts w:ascii="Calibri" w:hAnsi="Calibri" w:cs="Calibri"/>
          <w:sz w:val="22"/>
          <w:szCs w:val="22"/>
          <w:lang w:val="en-US"/>
        </w:rPr>
        <w:t>CE−MS</w:t>
      </w:r>
      <w:r>
        <w:rPr>
          <w:rFonts w:ascii="Calibri" w:hAnsi="Calibri" w:cs="Calibri"/>
          <w:sz w:val="22"/>
          <w:szCs w:val="22"/>
          <w:lang w:val="en-US"/>
        </w:rPr>
        <w:t>)</w:t>
      </w:r>
      <w:r w:rsidRPr="003F07CA">
        <w:rPr>
          <w:rFonts w:ascii="Calibri" w:hAnsi="Calibri" w:cs="Calibri"/>
          <w:sz w:val="22"/>
          <w:szCs w:val="22"/>
          <w:lang w:val="en-US"/>
        </w:rPr>
        <w:t xml:space="preserve"> analyses were performed using a </w:t>
      </w:r>
      <w:r>
        <w:rPr>
          <w:rFonts w:ascii="Calibri" w:hAnsi="Calibri" w:cs="Calibri"/>
          <w:sz w:val="22"/>
          <w:szCs w:val="22"/>
          <w:lang w:val="en-US"/>
        </w:rPr>
        <w:t>CE</w:t>
      </w:r>
      <w:r w:rsidRPr="003F07CA">
        <w:rPr>
          <w:rFonts w:ascii="Calibri" w:hAnsi="Calibri" w:cs="Calibri"/>
          <w:sz w:val="22"/>
          <w:szCs w:val="22"/>
          <w:lang w:val="en-US"/>
        </w:rPr>
        <w:t xml:space="preserve"> 7100 (Agilent Technologies, Wilmington, USA) coupled to an Accurate-Mass TOF−MS system 6224 (Agilent Technologies). The coupling was equipped with an electrospray ionization source (ESI)</w:t>
      </w:r>
      <w:r>
        <w:rPr>
          <w:rFonts w:ascii="Calibri" w:hAnsi="Calibri" w:cs="Calibri"/>
          <w:sz w:val="22"/>
          <w:szCs w:val="22"/>
          <w:lang w:val="en-US"/>
        </w:rPr>
        <w:t xml:space="preserve"> </w:t>
      </w:r>
      <w:r>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{"citationItems":[{"id":"ITEM-1","itemData":{"DOI":"10.1021/ACS.JPROTEOME.1C00786","ISSN":"1535-3907","PMID":"35133846","abstract":"Despite of the scientific and human efforts to understand COVID-19, there are questions still unanswered. Variations in the metabolic reaction to SARS-CoV-2 infection could explain the striking differences in the susceptibility to infection and the risk of severe disease. Here, we used untargeted metabolomics to examine novel metabolic pathways related to SARS-CoV-2 susceptibility and COVID-19 clinical severity using capillary electrophoresis coupled to a time-of-flight mass spectrometer (CE-TOF-MS) in plasma samples. We included 27 patients with confirmed COVID-19 early after symptom onset who were prospectively followed and 29 healthcare workers heavily exposed to SARS-CoV-2 but with low susceptibility to infection (‘nonsusceptible’). We found that the metabolite profile was predictive of the study group. We identified a total of 55 metabolites as biomarkers of SARS-CoV-2 susceptibility or COVID-19 clinical severity. We report the discovery of new plasma biomarkers for COVID-19 that provide mechanistic explanations for the clinical consequences of SARS-CoV-2, including mitochondrial and liver dysfunction as a consequence of hypoxemia (citrulline, citrate, and BAIBA), energy production and amino acid catabolism (L-glycine, L-alanine, L-serine, L-proline, L-aspartic acid and L-histidine), endothelial dysfunction and thrombosis (citrulline, L-ADMA, 2-AB, and Neu5Ac), and we found interconnections between these pathways. In summary, in this first report of the metabolomic profile of individuals with severe COVID-19 and SARS-CoV-2 susceptibility by CE-MS, we define several metabolic pathways implicated in SARS-CoV-2 susceptibility and COVID-19 clinical progression that could be developed as biomarkers of COVID-19. ### Competing Interest Statement The authors have declared no competing interest.","author":[{"dropping-particle":"","family":"Albóniga","given":"Oihane E.","non-dropping-particle":"","parse-names":false,"suffix":""},{"dropping-particle":"","family":"Jiménez","given":"Daniel","non-dropping-particle":"","parse-names":false,"suffix":""},{"dropping-particle":"","family":"Sánchez-Conde","given":"Matilde","non-dropping-particle":"","parse-names":false,"suffix":""},{"dropping-particle":"","family":"Vizcarra","given":"Pilar","non-dropping-particle":"","parse-names":false,"suffix":""},{"dropping-particle":"","family":"Ron","given":"Raquel","non-dropping-particle":"","parse-names":false,"suffix":""},{"dropping-particle":"","family":"Herrera","given":"Sabina","non-dropping-particle":"","parse-names":false,"suffix":""},{"dropping-particle":"","family":"Martínez-Sanz","given":"Javier","non-dropping-particle":"","parse-names":false,"suffix":""},{"dropping-particle":"","family":"Moreno","given":"Elena","non-dropping-particle":"","parse-names":false,"suffix":""},{"dropping-particle":"","family":"Moreno","given":"Santiago","non-dropping-particle":"","parse-names":false,"suffix":""},{"dropping-particle":"","family":"Barbas","given":"Coral","non-dropping-particle":"","parse-names":false,"suffix":""},{"dropping-particle":"","family":"Serrano-Villar","given":"Sergio","non-dropping-particle":"","parse-names":false,"suffix":""}],"container-title":"Journal of proteome research","id":"ITEM-1","issued":{"date-parts":[["2022"]]},"page":"acs.jproteome.1c00786","publisher":"J Proteome Res","title":"Metabolic Snapshot of Plasma Samples Reveals New Pathways Implicated in SARS-CoV-2 Pathogenesis","type":"article-journal"},"uris":["http://www.mendeley.com/documents/?uuid=f75af057-7b5e-34dd-b6c9-da93c478a6bb"]}],"mendeley":{"formattedCitation":"(3)","plainTextFormattedCitation":"(3)","previouslyFormattedCitation":"(Albóniga et al. 2022)"},"properties":{"noteIndex":0},"schema":"https://github.com/citation-style-language/schema/raw/master/csl-citation.json"}</w:instrText>
      </w:r>
      <w:r>
        <w:rPr>
          <w:rFonts w:ascii="Calibri" w:hAnsi="Calibri" w:cs="Calibri"/>
          <w:sz w:val="22"/>
          <w:szCs w:val="22"/>
          <w:lang w:val="en-US"/>
        </w:rPr>
        <w:fldChar w:fldCharType="separate"/>
      </w:r>
      <w:r w:rsidR="00922EA7" w:rsidRPr="00922EA7">
        <w:rPr>
          <w:rFonts w:ascii="Calibri" w:hAnsi="Calibri" w:cs="Calibri"/>
          <w:noProof/>
          <w:sz w:val="22"/>
          <w:szCs w:val="22"/>
          <w:lang w:val="en-US"/>
        </w:rPr>
        <w:t>(3)</w:t>
      </w:r>
      <w:r>
        <w:rPr>
          <w:rFonts w:ascii="Calibri" w:hAnsi="Calibri" w:cs="Calibri"/>
          <w:sz w:val="22"/>
          <w:szCs w:val="22"/>
          <w:lang w:val="en-US"/>
        </w:rPr>
        <w:fldChar w:fldCharType="end"/>
      </w:r>
      <w:r w:rsidRPr="003F07CA">
        <w:rPr>
          <w:rFonts w:ascii="Calibri" w:hAnsi="Calibri" w:cs="Calibri"/>
          <w:sz w:val="22"/>
          <w:szCs w:val="22"/>
          <w:lang w:val="en-US"/>
        </w:rPr>
        <w:t>. The analysis was performed using a modified method for a global profiling of the sample</w:t>
      </w:r>
      <w:r>
        <w:rPr>
          <w:rFonts w:ascii="Calibri" w:hAnsi="Calibri" w:cs="Calibri"/>
          <w:sz w:val="22"/>
          <w:szCs w:val="22"/>
          <w:lang w:val="en-US"/>
        </w:rPr>
        <w:t xml:space="preserve"> as we recently described </w:t>
      </w:r>
      <w:r>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{"citationItems":[{"id":"ITEM-1","itemData":{"DOI":"10.1021/ACS.JPROTEOME.8B00720","ISSN":"1535-3907","PMID":"30574788","abstract":"CEU Mass Mediator (CMM, http://ceumass.eps.uspceu.es) is an online tool that has evolved from a simple interface to query different metabolomic databases (CMM 1.0) to a tool that unifies the compounds from these databases and, using an expert system with knowledge about the experimental setup and the compounds properties, filters and scores the query results (CMM 2.0). Since this last major revision, CMM has continued to grow, expanding the knowledge base of its expert system and including new services to support researchers in the metabolite annotation and identification process. The information from external databases has been refreshed, and an in-house library with oxidized lipids not present in other sources has been added. This has increased the number of experimental metabolites up 332,665 and the number of predicted metabolites to 681,198. Furthermore, new taxonomy and ontology metadata have been included. CMM has expanded its functionalities with a service for the annotation of oxidized glycerophosphocholines, a service for spectral comparison from MS 2 data, and a spectral quality-assessment service to determine the reliability of a spectrum for compound identification purposes. To facilitate the collaboration and integration of CMM with external tools and metabolomic platforms, a RESTful API has been created, and it has already been integrated into the HMDB (Human Metabolome Database). This paper will present the novel functionalities incorporated into version 3.0 of CMM.","author":[{"dropping-particle":"","family":"Gil-De-La-Fuente","given":"Alberto","non-dropping-particle":"","parse-names":false,"suffix":""},{"dropping-particle":"","family":"Godzien","given":"Joanna","non-dropping-particle":"","parse-names":false,"suffix":""},{"dropping-particle":"","family":"Saugar","given":"Sergio","non-dropping-particle":"","parse-names":false,"suffix":""},{"dropping-particle":"","family":"Garcia-Carmona","given":"Rodrigo","non-dropping-particle":"","parse-names":false,"suffix":""},{"dropping-particle":"","family":"Badran","given":"Hasan","non-dropping-particle":"","parse-names":false,"suffix":""},{"dropping-particle":"","family":"Wishart","given":"David S.","non-dropping-particle":"","parse-names":false,"suffix":""},{"dropping-particle":"","family":"Barbas","given":"Coral","non-dropping-particle":"","parse-names":false,"suffix":""},{"dropping-particle":"","family":"Otero","given":"Abraham","non-dropping-particle":"","parse-names":false,"suffix":""}],"container-title":"Journal of proteome research","id":"ITEM-1","issue":"2","issued":{"date-parts":[["2019","2","1"]]},"page":"797-802","publisher":"J Proteome Res","title":"CEU Mass Mediator 3.0: A Metabolite Annotation Tool","type":"article-journal","volume":"18"},"uris":["http://www.mendeley.com/documents/?uuid=931d6f16-947e-3da8-a596-862e7b0df894"]}],"mendeley":{"formattedCitation":"(4)","plainTextFormattedCitation":"(4)","previouslyFormattedCitation":"(Gil-De-La-Fuente et al. 2019)"},"properties":{"noteIndex":0},"schema":"https://github.com/citation-style-language/schema/raw/master/csl-citation.json"}</w:instrText>
      </w:r>
      <w:r>
        <w:rPr>
          <w:rFonts w:ascii="Calibri" w:hAnsi="Calibri" w:cs="Calibri"/>
          <w:sz w:val="22"/>
          <w:szCs w:val="22"/>
          <w:lang w:val="en-US"/>
        </w:rPr>
        <w:fldChar w:fldCharType="separate"/>
      </w:r>
      <w:r w:rsidR="00922EA7" w:rsidRPr="00922EA7">
        <w:rPr>
          <w:rFonts w:ascii="Calibri" w:hAnsi="Calibri" w:cs="Calibri"/>
          <w:noProof/>
          <w:sz w:val="22"/>
          <w:szCs w:val="22"/>
          <w:lang w:val="en-US"/>
        </w:rPr>
        <w:t>(4)</w:t>
      </w:r>
      <w:r>
        <w:rPr>
          <w:rFonts w:ascii="Calibri" w:hAnsi="Calibri" w:cs="Calibri"/>
          <w:sz w:val="22"/>
          <w:szCs w:val="22"/>
          <w:lang w:val="en-US"/>
        </w:rPr>
        <w:fldChar w:fldCharType="end"/>
      </w:r>
      <w:r w:rsidRPr="003F07CA">
        <w:rPr>
          <w:rFonts w:ascii="Calibri" w:hAnsi="Calibri" w:cs="Calibri"/>
          <w:sz w:val="22"/>
          <w:szCs w:val="22"/>
          <w:lang w:val="en-US"/>
        </w:rPr>
        <w:t>.</w:t>
      </w:r>
      <w:r>
        <w:rPr>
          <w:rFonts w:ascii="Calibri" w:hAnsi="Calibri" w:cs="Calibri"/>
          <w:sz w:val="22"/>
          <w:szCs w:val="22"/>
          <w:lang w:val="en-US"/>
        </w:rPr>
        <w:t xml:space="preserve"> </w:t>
      </w:r>
      <w:r w:rsidRPr="003F07CA">
        <w:rPr>
          <w:rFonts w:ascii="Calibri" w:hAnsi="Calibri" w:cs="Calibri"/>
          <w:sz w:val="22"/>
          <w:szCs w:val="22"/>
          <w:lang w:val="en-US"/>
        </w:rPr>
        <w:t xml:space="preserve">After the untargeted screening, glycine, </w:t>
      </w:r>
      <w:r>
        <w:rPr>
          <w:rFonts w:ascii="Calibri" w:hAnsi="Calibri" w:cs="Calibri"/>
          <w:sz w:val="22"/>
          <w:szCs w:val="22"/>
          <w:lang w:val="en-US"/>
        </w:rPr>
        <w:t>L-</w:t>
      </w:r>
      <w:r w:rsidRPr="003F07CA">
        <w:rPr>
          <w:rFonts w:ascii="Calibri" w:hAnsi="Calibri" w:cs="Calibri"/>
          <w:sz w:val="22"/>
          <w:szCs w:val="22"/>
          <w:lang w:val="en-US"/>
        </w:rPr>
        <w:t xml:space="preserve">serine, </w:t>
      </w:r>
      <w:r>
        <w:rPr>
          <w:rFonts w:ascii="Calibri" w:hAnsi="Calibri" w:cs="Calibri"/>
          <w:sz w:val="22"/>
          <w:szCs w:val="22"/>
          <w:lang w:val="en-US"/>
        </w:rPr>
        <w:t>L-</w:t>
      </w:r>
      <w:r w:rsidRPr="003F07CA">
        <w:rPr>
          <w:rFonts w:ascii="Calibri" w:hAnsi="Calibri" w:cs="Calibri"/>
          <w:sz w:val="22"/>
          <w:szCs w:val="22"/>
          <w:lang w:val="en-US"/>
        </w:rPr>
        <w:t xml:space="preserve">ornithine, </w:t>
      </w:r>
      <w:r>
        <w:rPr>
          <w:rFonts w:ascii="Calibri" w:hAnsi="Calibri" w:cs="Calibri"/>
          <w:sz w:val="22"/>
          <w:szCs w:val="22"/>
          <w:lang w:val="en-US"/>
        </w:rPr>
        <w:t>L-</w:t>
      </w:r>
      <w:r w:rsidRPr="003F07CA">
        <w:rPr>
          <w:rFonts w:ascii="Calibri" w:hAnsi="Calibri" w:cs="Calibri"/>
          <w:sz w:val="22"/>
          <w:szCs w:val="22"/>
          <w:lang w:val="en-US"/>
        </w:rPr>
        <w:t xml:space="preserve">lysine, </w:t>
      </w:r>
      <w:r>
        <w:rPr>
          <w:rFonts w:ascii="Calibri" w:hAnsi="Calibri" w:cs="Calibri"/>
          <w:sz w:val="22"/>
          <w:szCs w:val="22"/>
          <w:lang w:val="en-US"/>
        </w:rPr>
        <w:t>L-</w:t>
      </w:r>
      <w:r w:rsidRPr="003F07CA">
        <w:rPr>
          <w:rFonts w:ascii="Calibri" w:hAnsi="Calibri" w:cs="Calibri"/>
          <w:sz w:val="22"/>
          <w:szCs w:val="22"/>
          <w:lang w:val="en-US"/>
        </w:rPr>
        <w:t xml:space="preserve">arginine, </w:t>
      </w:r>
      <w:r>
        <w:rPr>
          <w:rFonts w:ascii="Calibri" w:hAnsi="Calibri" w:cs="Calibri"/>
          <w:sz w:val="22"/>
          <w:szCs w:val="22"/>
          <w:lang w:val="en-US"/>
        </w:rPr>
        <w:t>DL-</w:t>
      </w:r>
      <w:r w:rsidRPr="003F07CA">
        <w:rPr>
          <w:rFonts w:ascii="Calibri" w:hAnsi="Calibri" w:cs="Calibri"/>
          <w:sz w:val="22"/>
          <w:szCs w:val="22"/>
          <w:lang w:val="en-US"/>
        </w:rPr>
        <w:t xml:space="preserve">citrulline, </w:t>
      </w:r>
      <w:r>
        <w:rPr>
          <w:rFonts w:ascii="Calibri" w:hAnsi="Calibri" w:cs="Calibri"/>
          <w:sz w:val="22"/>
          <w:szCs w:val="22"/>
          <w:lang w:val="en-US"/>
        </w:rPr>
        <w:t>L-</w:t>
      </w:r>
      <w:r w:rsidRPr="003F07CA">
        <w:rPr>
          <w:rFonts w:ascii="Calibri" w:hAnsi="Calibri" w:cs="Calibri"/>
          <w:sz w:val="22"/>
          <w:szCs w:val="22"/>
          <w:lang w:val="en-US"/>
        </w:rPr>
        <w:t xml:space="preserve">cystine, ophthalmic acid, and glutathione disulfide </w:t>
      </w:r>
      <w:r>
        <w:rPr>
          <w:rFonts w:ascii="Calibri" w:hAnsi="Calibri" w:cs="Calibri"/>
          <w:sz w:val="22"/>
          <w:szCs w:val="22"/>
          <w:lang w:val="en-US"/>
        </w:rPr>
        <w:t xml:space="preserve">(GSSG) </w:t>
      </w:r>
      <w:r w:rsidRPr="003F07CA">
        <w:rPr>
          <w:rFonts w:ascii="Calibri" w:hAnsi="Calibri" w:cs="Calibri"/>
          <w:sz w:val="22"/>
          <w:szCs w:val="22"/>
          <w:lang w:val="en-US"/>
        </w:rPr>
        <w:t xml:space="preserve">were selected </w:t>
      </w:r>
      <w:r>
        <w:rPr>
          <w:rFonts w:ascii="Calibri" w:hAnsi="Calibri" w:cs="Calibri"/>
          <w:sz w:val="22"/>
          <w:szCs w:val="22"/>
          <w:lang w:val="en-US"/>
        </w:rPr>
        <w:t xml:space="preserve">and quantitated as described </w:t>
      </w:r>
      <w:r>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{"citationItems":[{"id":"ITEM-1","itemData":{"DOI":"10.1007/S00216-013-6882-5","ISSN":"1618-2650","PMID":"23535741","abstract":"In the search for a noninvasive and reliable rapid screening method to detect biomarkers, a metabolomics fingerprinting approach was developed and applied to rat serum samples using capillary electrophoresis coupled to an electrospray ionization-time of flight-mass spectrometer (CE- TOF-MS). An ultrafiltration method was used for sample pretreatment. To evaluate performance the method was validated with carnitine, choline, ornithine, alanine, acetylcarnitine, betaine, and citrulline, covering the entire electropherogram of pool of rat serum. The linearity for all metabolites was &gt;0.99, with good recovery and precision. Approximately 34 compounds were also confirmed in the pool of rat serum. The method was successfully applied to real serum samples from rats with ventilator-induced lung injury, an experimental rat model for acute lung injury (ALI), giving a total of 1163 molecular features. By use of univariate and multivariate statistics 18 significant compounds were found, of which five were confirmed. The involvement of arginase and nitric oxide synthase has been proved for other lung diseases, meaning the increase of asymmetric dimethyl arginine (ADMA) and ornithine and the decrease of arginine found were in accordance with published literature. Ultimately this fingerprinting approach offers the possibility of identifying biomarkers that could be regularly screened for as part of routine disease control. In this way it might be possible to prevent the development of ALI in patients in critical care units. © Springer-Verlag Berlin Heidelberg 2013.","author":[{"dropping-particle":"","family":"Naz","given":"Shama","non-dropping-particle":"","parse-names":false,"suffix":""},{"dropping-particle":"","family":"Garcia","given":"Antonia","non-dropping-particle":"","parse-names":false,"suffix":""},{"dropping-particle":"","family":"Rusak","given":"Magdalena","non-dropping-particle":"","parse-names":false,"suffix":""},{"dropping-particle":"","family":"Barbas","given":"Coral","non-dropping-particle":"","parse-names":false,"suffix":""}],"container-title":"Analytical and bioanalytical chemistry","id":"ITEM-1","issue":"14","issued":{"date-parts":[["2013","5","1"]]},"page":"4849-4858","publisher":"Anal Bioanal Chem","title":"Method development and validation for rat serum fingerprinting with CE-MS: application to ventilator-induced-lung-injury study","type":"article-journal","volume":"405"},"uris":["http://www.mendeley.com/documents/?uuid=2d5e4218-1fd8-3de9-b56a-ae1d83c018c4"]}],"mendeley":{"formattedCitation":"(5)","plainTextFormattedCitation":"(5)","previouslyFormattedCitation":"(Naz et al. 2013)"},"properties":{"noteIndex":0},"schema":"https://github.com/citation-style-language/schema/raw/master/csl-citation.json"}</w:instrText>
      </w:r>
      <w:r>
        <w:rPr>
          <w:rFonts w:ascii="Calibri" w:hAnsi="Calibri" w:cs="Calibri"/>
          <w:sz w:val="22"/>
          <w:szCs w:val="22"/>
          <w:lang w:val="en-US"/>
        </w:rPr>
        <w:fldChar w:fldCharType="separate"/>
      </w:r>
      <w:r w:rsidR="00922EA7" w:rsidRPr="00922EA7">
        <w:rPr>
          <w:rFonts w:ascii="Calibri" w:hAnsi="Calibri" w:cs="Calibri"/>
          <w:noProof/>
          <w:sz w:val="22"/>
          <w:szCs w:val="22"/>
          <w:lang w:val="en-US"/>
        </w:rPr>
        <w:t>(5)</w:t>
      </w:r>
      <w:r>
        <w:rPr>
          <w:rFonts w:ascii="Calibri" w:hAnsi="Calibri" w:cs="Calibri"/>
          <w:sz w:val="22"/>
          <w:szCs w:val="22"/>
          <w:lang w:val="en-US"/>
        </w:rPr>
        <w:fldChar w:fldCharType="end"/>
      </w:r>
      <w:r w:rsidRPr="003F07CA">
        <w:rPr>
          <w:rFonts w:ascii="Calibri" w:hAnsi="Calibri" w:cs="Calibri"/>
          <w:sz w:val="22"/>
          <w:szCs w:val="22"/>
          <w:lang w:val="en-US"/>
        </w:rPr>
        <w:t>.</w:t>
      </w:r>
    </w:p>
    <w:p w:rsidR="00975A16" w:rsidRDefault="00975A16" w:rsidP="004C0E25">
      <w:pPr>
        <w:autoSpaceDE w:val="0"/>
        <w:autoSpaceDN w:val="0"/>
        <w:adjustRightInd w:val="0"/>
        <w:spacing w:line="480" w:lineRule="auto"/>
        <w:jc w:val="both"/>
        <w:rPr>
          <w:rFonts w:ascii="Calibri" w:hAnsi="Calibri" w:cs="Calibri"/>
          <w:sz w:val="22"/>
          <w:szCs w:val="22"/>
          <w:lang w:val="en-US"/>
        </w:rPr>
      </w:pPr>
    </w:p>
    <w:p w:rsidR="001C386F" w:rsidRDefault="001C386F" w:rsidP="004C0E25">
      <w:pPr>
        <w:autoSpaceDE w:val="0"/>
        <w:autoSpaceDN w:val="0"/>
        <w:adjustRightInd w:val="0"/>
        <w:spacing w:line="480" w:lineRule="auto"/>
        <w:jc w:val="both"/>
        <w:rPr>
          <w:rFonts w:ascii="Calibri" w:hAnsi="Calibri" w:cs="Calibri"/>
          <w:sz w:val="22"/>
          <w:szCs w:val="22"/>
          <w:lang w:val="en-US"/>
        </w:rPr>
      </w:pPr>
    </w:p>
    <w:p w:rsidR="001C386F" w:rsidRDefault="001C386F" w:rsidP="004C0E25">
      <w:pPr>
        <w:autoSpaceDE w:val="0"/>
        <w:autoSpaceDN w:val="0"/>
        <w:adjustRightInd w:val="0"/>
        <w:spacing w:line="480" w:lineRule="auto"/>
        <w:jc w:val="both"/>
        <w:rPr>
          <w:rFonts w:ascii="Calibri" w:hAnsi="Calibri" w:cs="Calibri"/>
          <w:sz w:val="22"/>
          <w:szCs w:val="22"/>
          <w:lang w:val="en-US"/>
        </w:rPr>
      </w:pPr>
    </w:p>
    <w:p w:rsidR="001C386F" w:rsidRDefault="001C386F" w:rsidP="001C386F">
      <w:pPr>
        <w:spacing w:line="480" w:lineRule="auto"/>
        <w:jc w:val="both"/>
        <w:rPr>
          <w:rFonts w:ascii="Calibri" w:eastAsia="Times New Roman" w:hAnsi="Calibri" w:cs="Calibri"/>
          <w:i/>
          <w:color w:val="000000"/>
          <w:sz w:val="22"/>
          <w:szCs w:val="22"/>
          <w:lang w:val="en-US" w:eastAsia="es-ES_tradnl"/>
        </w:rPr>
      </w:pPr>
      <w:r w:rsidRPr="00574076">
        <w:rPr>
          <w:rFonts w:ascii="Calibri" w:eastAsia="Times New Roman" w:hAnsi="Calibri" w:cs="Calibri"/>
          <w:i/>
          <w:color w:val="000000"/>
          <w:sz w:val="22"/>
          <w:szCs w:val="22"/>
          <w:lang w:val="en-US" w:eastAsia="es-ES_tradnl"/>
        </w:rPr>
        <w:t>Gene expression analyses</w:t>
      </w:r>
    </w:p>
    <w:p w:rsidR="001C386F" w:rsidRPr="00704245" w:rsidRDefault="001C386F" w:rsidP="001C386F">
      <w:pPr>
        <w:spacing w:line="480" w:lineRule="auto"/>
        <w:jc w:val="both"/>
        <w:rPr>
          <w:rFonts w:ascii="Calibri" w:eastAsia="Times New Roman" w:hAnsi="Calibri" w:cs="Calibri"/>
          <w:i/>
          <w:color w:val="000000"/>
          <w:sz w:val="22"/>
          <w:szCs w:val="22"/>
          <w:lang w:val="en-US" w:eastAsia="es-ES_tradnl"/>
        </w:rPr>
      </w:pPr>
      <w:r w:rsidRPr="00574076">
        <w:rPr>
          <w:rFonts w:ascii="Calibri" w:hAnsi="Calibri" w:cs="Calibri"/>
          <w:color w:val="000000" w:themeColor="text1"/>
          <w:sz w:val="22"/>
          <w:szCs w:val="22"/>
          <w:shd w:val="clear" w:color="auto" w:fill="FFFFFF"/>
          <w:lang w:val="en-US"/>
        </w:rPr>
        <w:lastRenderedPageBreak/>
        <w:t xml:space="preserve">RNA was extracted </w:t>
      </w:r>
      <w:r>
        <w:rPr>
          <w:rFonts w:ascii="Calibri" w:hAnsi="Calibri" w:cs="Calibri"/>
          <w:color w:val="000000" w:themeColor="text1"/>
          <w:sz w:val="22"/>
          <w:szCs w:val="22"/>
          <w:shd w:val="clear" w:color="auto" w:fill="FFFFFF"/>
          <w:lang w:val="en-US"/>
        </w:rPr>
        <w:t xml:space="preserve">from cells and tissues </w:t>
      </w:r>
      <w:r w:rsidRPr="00574076">
        <w:rPr>
          <w:rFonts w:ascii="Calibri" w:hAnsi="Calibri" w:cs="Calibri"/>
          <w:color w:val="000000" w:themeColor="text1"/>
          <w:sz w:val="22"/>
          <w:szCs w:val="22"/>
          <w:shd w:val="clear" w:color="auto" w:fill="FFFFFF"/>
          <w:lang w:val="en-US"/>
        </w:rPr>
        <w:t xml:space="preserve">as described </w:t>
      </w:r>
      <w:r>
        <w:rPr>
          <w:rFonts w:ascii="Calibri" w:hAnsi="Calibri" w:cs="Calibri"/>
          <w:color w:val="000000" w:themeColor="text1"/>
          <w:sz w:val="22"/>
          <w:szCs w:val="22"/>
          <w:shd w:val="clear" w:color="auto" w:fill="FFFFFF"/>
        </w:rPr>
        <w:fldChar w:fldCharType="begin" w:fldLock="1"/>
      </w:r>
      <w:r w:rsidR="00922EA7">
        <w:rPr>
          <w:rFonts w:ascii="Calibri" w:hAnsi="Calibri" w:cs="Calibri"/>
          <w:color w:val="000000" w:themeColor="text1"/>
          <w:sz w:val="22"/>
          <w:szCs w:val="22"/>
          <w:shd w:val="clear" w:color="auto" w:fill="FFFFFF"/>
          <w:lang w:val="en-US"/>
        </w:rPr>
        <w:instrText>ADDIN CSL_CITATION {"citationItems":[{"id":"ITEM-1","itemData":{"DOI":"10.1002/HEP.31642","ISSN":"1527-3350","PMID":"33222246","abstract":"Background and Aims: Cholangiocarcinoma (CCA) is a devastating disease often detected at advanced stages when surgery cannot be performed. Conventional and targeted systemic therapies perform poorly, and therefore effective drugs are urgently needed. Different epigenetic modifications occur in CCA and contribute to malignancy. Targeting epigenetic mechanisms may thus open therapeutic opportunities. However, modifications such as DNA and histone methylation often coexist and cooperate in carcinogenesis. We tested the therapeutic efficacy and mechanism of action of a class of dual G9a histone-methyltransferase and DNA-methyltransferase 1 (DNMT1) inhibitors. Approach and Results: Expression of G9a, DNMT1, and their molecular adaptor, ubiquitin-like with PHD and RING finger domains-1 (UHRF1), was determined in human CCA. We evaluated the effect of individual and combined pharmacological inhibition of G9a and DNMT1 on CCA cell growth. Our lead G9a/DNMT1 inhibitor, CM272, was tested in human CCA cells, patient-derived tumoroids and xenograft, and a mouse model of cholangiocarcinogenesis with hepatocellular deletion of c-Jun-N-terminal-kinase (Jnk)-1/2 and diethyl-nitrosamine (DEN) plus CCl4 treatment (JnkΔhepa + DEN + CCl4 mice). We found an increased and correlative expression of G9a, DNMT1, and UHRF1 in CCAs. Cotreatment with independent pharmacological inhibitors G9a and DNMT1 synergistically inhibited CCA cell growth. CM272 markedly reduced CCA cell proliferation and synergized with Cisplatin and the ERBB-targeted inhibitor, Lapatinib. CM272 inhibited CCA tumoroids and xenograft growth and significantly antagonized CCA progression in JnkΔhepa + DEN + CCl4 mice without apparent toxicity. Mechanistically, CM272 reprogrammed the tumoral metabolic transcriptome and phenotype toward a differentiated and quiescent status. Conclusions: Dual targeting of G9a and DNMT1 with epigenetic small molecule inhibitors such as CM272 is a potential strategy to treat CCA and/or enhance the efficacy of other systemic therapies.","author":[{"dropping-particle":"","family":"Colyn","given":"Leticia","non-dropping-particle":"","parse-names":false,"suffix":""},{"dropping-particle":"","family":"Bárcena-Varela","given":"Marina","non-dropping-particle":"","parse-names":false,"suffix":""},{"dropping-particle":"","family":"Álvarez-Sola","given":"Gloria","non-dropping-particle":"","parse-names":false,"suffix":""},{"dropping-particle":"","family":"Latasa","given":"M. Ujue","non-dropping-particle":"","parse-names":false,"suffix":""},{"dropping-particle":"","family":"Uriarte","given":"Iker","non-dropping-particle":"","parse-names":false,"suffix":""},{"dropping-particle":"","family":"Santamaría","given":"Eva","non-dropping-particle":"","parse-names":false,"suffix":""},{"dropping-particle":"","family":"Herranz","given":"Jose M.","non-dropping-particle":"","parse-names":false,"suffix":""},{"dropping-particle":"","family":"Santos-Laso","given":"Alvaro","non-dropping-particle":"","parse-names":false,"suffix":""},{"dropping-particle":"","family":"Arechederra","given":"Maria","non-dropping-particle":"","parse-names":false,"suffix":""},{"dropping-particle":"","family":"Ruiz de Gauna","given":"Mikel","non-dropping-particle":"","parse-names":false,"suffix":""},{"dropping-particle":"","family":"Aspichueta","given":"Patricia","non-dropping-particle":"","parse-names":false,"suffix":""},{"dropping-particle":"","family":"Canale","given":"Matteo","non-dropping-particle":"","parse-names":false,"suffix":""},{"dropping-particle":"","family":"Casadei-Gardini","given":"Andrea","non-dropping-particle":"","parse-names":false,"suffix":""},{"dropping-particle":"","family":"Francesconi","given":"Maria","non-dropping-particle":"","parse-names":false,"suffix":""},{"dropping-particle":"","family":"Carotti","given":"Simone","non-dropping-particle":"","parse-names":false,"suffix":""},{"dropping-particle":"","family":"Morini","given":"Sergio","non-dropping-particle":"","parse-names":false,"suffix":""},{"dropping-particle":"","family":"Nelson","given":"Leonard J.","non-dropping-particle":"","parse-names":false,"suffix":""},{"dropping-particle":"","family":"Iraburu","given":"Maria J.","non-dropping-particle":"","parse-names":false,"suffix":""},{"dropping-particle":"","family":"Chen","given":"Chaobo","non-dropping-particle":"","parse-names":false,"suffix":""},{"dropping-particle":"","family":"Sangro","given":"Bruno","non-dropping-particle":"","parse-names":false,"suffix":""},{"dropping-particle":"","family":"Marin","given":"Jose J.G.","non-dropping-particle":"","parse-names":false,"suffix":""},{"dropping-particle":"","family":"Martinez-Chantar","given":"Maria L.","non-dropping-particle":"","parse-names":false,"suffix":""},{"dropping-particle":"","family":"Banales","given":"Jesus M.","non-dropping-particle":"","parse-names":false,"suffix":""},{"dropping-particle":"","family":"Arnes-Benito","given":"Robert","non-dropping-particle":"","parse-names":false,"suffix":""},{"dropping-particle":"","family":"Huch","given":"Meritxell","non-dropping-particle":"","parse-names":false,"suffix":""},{"dropping-particle":"","family":"Patino","given":"John M.","non-dropping-particle":"","parse-names":false,"suffix":""},{"dropping-particle":"","family":"Dar","given":"Altaf A.","non-dropping-particle":"","parse-names":false,"suffix":""},{"dropping-particle":"","family":"Nosrati","given":"Mehdi","non-dropping-particle":"","parse-names":false,"suffix":""},{"dropping-particle":"","family":"Oyarzábal","given":"Julen","non-dropping-particle":"","parse-names":false,"suffix":""},{"dropping-particle":"","family":"Prósper","given":"Felipe","non-dropping-particle":"","parse-names":false,"suffix":""},{"dropping-particle":"","family":"Urman","given":"Jesus","non-dropping-particle":"","parse-names":false,"suffix":""},{"dropping-particle":"","family":"Cubero","given":"Francisco Javier","non-dropping-particle":"","parse-names":false,"suffix":""},{"dropping-particle":"","family":"Trautwein","given":"Christian","non-dropping-particle":"","parse-names":false,"suffix":""},{"dropping-particle":"","family":"Berasain","given":"Carmen","non-dropping-particle":"","parse-names":false,"suffix":""},{"dropping-particle":"","family":"Fernandez-Barrena","given":"Maite G.","non-dropping-particle":"","parse-names":false,"suffix":""},{"dropping-particle":"","family":"Avila","given":"Matias A.","non-dropping-particle":"","parse-names":false,"suffix":""}],"container-title":"Hepatology (Baltimore, Md.)","id":"ITEM-1","issue":"6","issued":{"date-parts":[["2021","6","1"]]},"page":"2380-2396","publisher":"Hepatology","title":"Dual Targeting of G9a and DNA Methyltransferase-1 for the Treatment of Experimental Cholangiocarcinoma","type":"article-journal","volume":"73"},"uris":["http://www.mendeley.com/documents/?uuid=8aebdead-49d9-36a2-a03e-940e278b6faa"]}],"mendeley":{"formattedCitation":"(6)","plainTextFormattedCitation":"(6)","previouslyFormattedCitation":"(Colyn et al. 2021)"},"properties":{"noteIndex":0},"schema":"https://github.com/citation-style-language/schema/raw/master/csl-citation.json"}</w:instrText>
      </w:r>
      <w:r>
        <w:rPr>
          <w:rFonts w:ascii="Calibri" w:hAnsi="Calibri" w:cs="Calibri"/>
          <w:color w:val="000000" w:themeColor="text1"/>
          <w:sz w:val="22"/>
          <w:szCs w:val="22"/>
          <w:shd w:val="clear" w:color="auto" w:fill="FFFFFF"/>
        </w:rPr>
        <w:fldChar w:fldCharType="separate"/>
      </w:r>
      <w:r w:rsidR="00922EA7" w:rsidRPr="00922EA7">
        <w:rPr>
          <w:rFonts w:ascii="Calibri" w:hAnsi="Calibri" w:cs="Calibri"/>
          <w:noProof/>
          <w:color w:val="000000" w:themeColor="text1"/>
          <w:sz w:val="22"/>
          <w:szCs w:val="22"/>
          <w:shd w:val="clear" w:color="auto" w:fill="FFFFFF"/>
          <w:lang w:val="en-US"/>
        </w:rPr>
        <w:t>(6)</w:t>
      </w:r>
      <w:r>
        <w:rPr>
          <w:rFonts w:ascii="Calibri" w:hAnsi="Calibri" w:cs="Calibri"/>
          <w:color w:val="000000" w:themeColor="text1"/>
          <w:sz w:val="22"/>
          <w:szCs w:val="22"/>
          <w:shd w:val="clear" w:color="auto" w:fill="FFFFFF"/>
        </w:rPr>
        <w:fldChar w:fldCharType="end"/>
      </w:r>
      <w:r w:rsidRPr="00574076">
        <w:rPr>
          <w:rFonts w:ascii="Calibri" w:hAnsi="Calibri" w:cs="Calibri"/>
          <w:color w:val="000000" w:themeColor="text1"/>
          <w:sz w:val="22"/>
          <w:szCs w:val="22"/>
          <w:shd w:val="clear" w:color="auto" w:fill="FFFFFF"/>
          <w:lang w:val="en-US"/>
        </w:rPr>
        <w:t xml:space="preserve">. </w:t>
      </w:r>
      <w:r w:rsidRPr="00574076">
        <w:rPr>
          <w:rFonts w:ascii="Calibri" w:hAnsi="Calibri" w:cs="Calibri"/>
          <w:color w:val="000000" w:themeColor="text1"/>
          <w:sz w:val="22"/>
          <w:szCs w:val="22"/>
          <w:lang w:val="en-US"/>
        </w:rPr>
        <w:t xml:space="preserve">Total RNA was extracted using the automated Maxwell system </w:t>
      </w:r>
      <w:r>
        <w:rPr>
          <w:rFonts w:ascii="Calibri" w:hAnsi="Calibri" w:cs="Calibri"/>
          <w:color w:val="000000" w:themeColor="text1"/>
          <w:sz w:val="22"/>
          <w:szCs w:val="22"/>
          <w:lang w:val="en-US"/>
        </w:rPr>
        <w:t>(</w:t>
      </w:r>
      <w:r w:rsidRPr="00574076">
        <w:rPr>
          <w:rFonts w:ascii="Calibri" w:hAnsi="Calibri" w:cs="Calibri"/>
          <w:color w:val="000000" w:themeColor="text1"/>
          <w:sz w:val="22"/>
          <w:szCs w:val="22"/>
          <w:lang w:val="en-US"/>
        </w:rPr>
        <w:t>Promega</w:t>
      </w:r>
      <w:r>
        <w:rPr>
          <w:rFonts w:ascii="Calibri" w:hAnsi="Calibri" w:cs="Calibri"/>
          <w:color w:val="000000" w:themeColor="text1"/>
          <w:sz w:val="22"/>
          <w:szCs w:val="22"/>
          <w:lang w:val="en-US"/>
        </w:rPr>
        <w:t>).</w:t>
      </w:r>
      <w:r w:rsidRPr="00574076">
        <w:rPr>
          <w:rFonts w:ascii="Calibri" w:hAnsi="Calibri" w:cs="Calibri"/>
          <w:color w:val="000000" w:themeColor="text1"/>
          <w:sz w:val="22"/>
          <w:szCs w:val="22"/>
          <w:lang w:val="en-US"/>
        </w:rPr>
        <w:t xml:space="preserve"> </w:t>
      </w:r>
      <w:r w:rsidRPr="00574076">
        <w:rPr>
          <w:rFonts w:ascii="Calibri" w:hAnsi="Calibri" w:cs="Calibri"/>
          <w:bCs/>
          <w:color w:val="000000" w:themeColor="text1"/>
          <w:sz w:val="22"/>
          <w:szCs w:val="22"/>
          <w:lang w:val="en-US"/>
        </w:rPr>
        <w:t>Quantitative reverse transcription PCR (</w:t>
      </w:r>
      <w:r w:rsidRPr="00574076">
        <w:rPr>
          <w:rFonts w:ascii="Calibri" w:hAnsi="Calibri" w:cs="Calibri"/>
          <w:color w:val="000000" w:themeColor="text1"/>
          <w:sz w:val="22"/>
          <w:szCs w:val="22"/>
          <w:lang w:val="en-US"/>
        </w:rPr>
        <w:t xml:space="preserve">qRT-PCR) was performed as reported, and gene expression was normalized relative to that of the housekeeping gene </w:t>
      </w:r>
      <w:r w:rsidRPr="00574076">
        <w:rPr>
          <w:rFonts w:ascii="Calibri" w:hAnsi="Calibri" w:cs="Calibri"/>
          <w:i/>
          <w:color w:val="000000" w:themeColor="text1"/>
          <w:sz w:val="22"/>
          <w:szCs w:val="22"/>
          <w:lang w:val="en-US"/>
        </w:rPr>
        <w:t>H3F3A</w:t>
      </w:r>
      <w:r w:rsidRPr="00574076">
        <w:rPr>
          <w:rFonts w:ascii="Calibri" w:hAnsi="Calibri" w:cs="Calibri"/>
          <w:color w:val="000000" w:themeColor="text1"/>
          <w:sz w:val="22"/>
          <w:szCs w:val="22"/>
          <w:lang w:val="en-US"/>
        </w:rPr>
        <w:t xml:space="preserve"> </w:t>
      </w:r>
      <w:r>
        <w:rPr>
          <w:rFonts w:ascii="Calibri" w:hAnsi="Calibri" w:cs="Calibri"/>
          <w:color w:val="000000" w:themeColor="text1"/>
          <w:sz w:val="22"/>
          <w:szCs w:val="22"/>
          <w:lang w:val="en-US"/>
        </w:rPr>
        <w:t xml:space="preserve">also </w:t>
      </w:r>
      <w:r w:rsidRPr="00574076">
        <w:rPr>
          <w:rFonts w:ascii="Calibri" w:hAnsi="Calibri" w:cs="Calibri"/>
          <w:color w:val="000000" w:themeColor="text1"/>
          <w:sz w:val="22"/>
          <w:szCs w:val="22"/>
          <w:lang w:val="en-US"/>
        </w:rPr>
        <w:t>as described</w:t>
      </w:r>
      <w:r>
        <w:rPr>
          <w:rFonts w:ascii="Calibri" w:hAnsi="Calibri" w:cs="Calibri"/>
          <w:color w:val="000000" w:themeColor="text1"/>
          <w:sz w:val="22"/>
          <w:szCs w:val="22"/>
          <w:lang w:val="en-US"/>
        </w:rPr>
        <w:t xml:space="preserve"> </w:t>
      </w:r>
      <w:r>
        <w:rPr>
          <w:rFonts w:ascii="Calibri" w:hAnsi="Calibri" w:cs="Calibri"/>
          <w:color w:val="000000" w:themeColor="text1"/>
          <w:sz w:val="22"/>
          <w:szCs w:val="22"/>
          <w:lang w:val="en-US"/>
        </w:rPr>
        <w:fldChar w:fldCharType="begin" w:fldLock="1"/>
      </w:r>
      <w:r w:rsidR="00922EA7">
        <w:rPr>
          <w:rFonts w:ascii="Calibri" w:hAnsi="Calibri" w:cs="Calibri"/>
          <w:color w:val="000000" w:themeColor="text1"/>
          <w:sz w:val="22"/>
          <w:szCs w:val="22"/>
          <w:lang w:val="en-US"/>
        </w:rPr>
        <w:instrText>ADDIN CSL_CITATION {"citationItems":[{"id":"ITEM-1","itemData":{"DOI":"10.1002/HEP.31642","ISSN":"1527-3350","PMID":"33222246","abstract":"Background and Aims: Cholangiocarcinoma (CCA) is a devastating disease often detected at advanced stages when surgery cannot be performed. Conventional and targeted systemic therapies perform poorly, and therefore effective drugs are urgently needed. Different epigenetic modifications occur in CCA and contribute to malignancy. Targeting epigenetic mechanisms may thus open therapeutic opportunities. However, modifications such as DNA and histone methylation often coexist and cooperate in carcinogenesis. We tested the therapeutic efficacy and mechanism of action of a class of dual G9a histone-methyltransferase and DNA-methyltransferase 1 (DNMT1) inhibitors. Approach and Results: Expression of G9a, DNMT1, and their molecular adaptor, ubiquitin-like with PHD and RING finger domains-1 (UHRF1), was determined in human CCA. We evaluated the effect of individual and combined pharmacological inhibition of G9a and DNMT1 on CCA cell growth. Our lead G9a/DNMT1 inhibitor, CM272, was tested in human CCA cells, patient-derived tumoroids and xenograft, and a mouse model of cholangiocarcinogenesis with hepatocellular deletion of c-Jun-N-terminal-kinase (Jnk)-1/2 and diethyl-nitrosamine (DEN) plus CCl4 treatment (JnkΔhepa + DEN + CCl4 mice). We found an increased and correlative expression of G9a, DNMT1, and UHRF1 in CCAs. Cotreatment with independent pharmacological inhibitors G9a and DNMT1 synergistically inhibited CCA cell growth. CM272 markedly reduced CCA cell proliferation and synergized with Cisplatin and the ERBB-targeted inhibitor, Lapatinib. CM272 inhibited CCA tumoroids and xenograft growth and significantly antagonized CCA progression in JnkΔhepa + DEN + CCl4 mice without apparent toxicity. Mechanistically, CM272 reprogrammed the tumoral metabolic transcriptome and phenotype toward a differentiated and quiescent status. Conclusions: Dual targeting of G9a and DNMT1 with epigenetic small molecule inhibitors such as CM272 is a potential strategy to treat CCA and/or enhance the efficacy of other systemic therapies.","author":[{"dropping-particle":"","family":"Colyn","given":"Leticia","non-dropping-particle":"","parse-names":false,"suffix":""},{"dropping-particle":"","family":"Bárcena-Varela","given":"Marina","non-dropping-particle":"","parse-names":false,"suffix":""},{"dropping-particle":"","family":"Álvarez-Sola","given":"Gloria","non-dropping-particle":"","parse-names":false,"suffix":""},{"dropping-particle":"","family":"Latasa","given":"M. Ujue","non-dropping-particle":"","parse-names":false,"suffix":""},{"dropping-particle":"","family":"Uriarte","given":"Iker","non-dropping-particle":"","parse-names":false,"suffix":""},{"dropping-particle":"","family":"Santamaría","given":"Eva","non-dropping-particle":"","parse-names":false,"suffix":""},{"dropping-particle":"","family":"Herranz","given":"Jose M.","non-dropping-particle":"","parse-names":false,"suffix":""},{"dropping-particle":"","family":"Santos-Laso","given":"Alvaro","non-dropping-particle":"","parse-names":false,"suffix":""},{"dropping-particle":"","family":"Arechederra","given":"Maria","non-dropping-particle":"","parse-names":false,"suffix":""},{"dropping-particle":"","family":"Ruiz de Gauna","given":"Mikel","non-dropping-particle":"","parse-names":false,"suffix":""},{"dropping-particle":"","family":"Aspichueta","given":"Patricia","non-dropping-particle":"","parse-names":false,"suffix":""},{"dropping-particle":"","family":"Canale","given":"Matteo","non-dropping-particle":"","parse-names":false,"suffix":""},{"dropping-particle":"","family":"Casadei-Gardini","given":"Andrea","non-dropping-particle":"","parse-names":false,"suffix":""},{"dropping-particle":"","family":"Francesconi","given":"Maria","non-dropping-particle":"","parse-names":false,"suffix":""},{"dropping-particle":"","family":"Carotti","given":"Simone","non-dropping-particle":"","parse-names":false,"suffix":""},{"dropping-particle":"","family":"Morini","given":"Sergio","non-dropping-particle":"","parse-names":false,"suffix":""},{"dropping-particle":"","family":"Nelson","given":"Leonard J.","non-dropping-particle":"","parse-names":false,"suffix":""},{"dropping-particle":"","family":"Iraburu","given":"Maria J.","non-dropping-particle":"","parse-names":false,"suffix":""},{"dropping-particle":"","family":"Chen","given":"Chaobo","non-dropping-particle":"","parse-names":false,"suffix":""},{"dropping-particle":"","family":"Sangro","given":"Bruno","non-dropping-particle":"","parse-names":false,"suffix":""},{"dropping-particle":"","family":"Marin","given":"Jose J.G.","non-dropping-particle":"","parse-names":false,"suffix":""},{"dropping-particle":"","family":"Martinez-Chantar","given":"Maria L.","non-dropping-particle":"","parse-names":false,"suffix":""},{"dropping-particle":"","family":"Banales","given":"Jesus M.","non-dropping-particle":"","parse-names":false,"suffix":""},{"dropping-particle":"","family":"Arnes-Benito","given":"Robert","non-dropping-particle":"","parse-names":false,"suffix":""},{"dropping-particle":"","family":"Huch","given":"Meritxell","non-dropping-particle":"","parse-names":false,"suffix":""},{"dropping-particle":"","family":"Patino","given":"John M.","non-dropping-particle":"","parse-names":false,"suffix":""},{"dropping-particle":"","family":"Dar","given":"Altaf A.","non-dropping-particle":"","parse-names":false,"suffix":""},{"dropping-particle":"","family":"Nosrati","given":"Mehdi","non-dropping-particle":"","parse-names":false,"suffix":""},{"dropping-particle":"","family":"Oyarzábal","given":"Julen","non-dropping-particle":"","parse-names":false,"suffix":""},{"dropping-particle":"","family":"Prósper","given":"Felipe","non-dropping-particle":"","parse-names":false,"suffix":""},{"dropping-particle":"","family":"Urman","given":"Jesus","non-dropping-particle":"","parse-names":false,"suffix":""},{"dropping-particle":"","family":"Cubero","given":"Francisco Javier","non-dropping-particle":"","parse-names":false,"suffix":""},{"dropping-particle":"","family":"Trautwein","given":"Christian","non-dropping-particle":"","parse-names":false,"suffix":""},{"dropping-particle":"","family":"Berasain","given":"Carmen","non-dropping-particle":"","parse-names":false,"suffix":""},{"dropping-particle":"","family":"Fernandez-Barrena","given":"Maite G.","non-dropping-particle":"","parse-names":false,"suffix":""},{"dropping-particle":"","family":"Avila","given":"Matias A.","non-dropping-particle":"","parse-names":false,"suffix":""}],"container-title":"Hepatology (Baltimore, Md.)","id":"ITEM-1","issue":"6","issued":{"date-parts":[["2021","6","1"]]},"page":"2380-2396","publisher":"Hepatology","title":"Dual Targeting of G9a and DNA Methyltransferase-1 for the Treatment of Experimental Cholangiocarcinoma","type":"article-journal","volume":"73"},"uris":["http://www.mendeley.com/documents/?uuid=8aebdead-49d9-36a2-a03e-940e278b6faa"]}],"mendeley":{"formattedCitation":"(6)","plainTextFormattedCitation":"(6)","previouslyFormattedCitation":"(Colyn et al. 2021)"},"properties":{"noteIndex":0},"schema":"https://github.com/citation-style-language/schema/raw/master/csl-citation.json"}</w:instrText>
      </w:r>
      <w:r>
        <w:rPr>
          <w:rFonts w:ascii="Calibri" w:hAnsi="Calibri" w:cs="Calibri"/>
          <w:color w:val="000000" w:themeColor="text1"/>
          <w:sz w:val="22"/>
          <w:szCs w:val="22"/>
          <w:lang w:val="en-US"/>
        </w:rPr>
        <w:fldChar w:fldCharType="separate"/>
      </w:r>
      <w:r w:rsidR="00922EA7" w:rsidRPr="00922EA7">
        <w:rPr>
          <w:rFonts w:ascii="Calibri" w:hAnsi="Calibri" w:cs="Calibri"/>
          <w:noProof/>
          <w:color w:val="000000" w:themeColor="text1"/>
          <w:sz w:val="22"/>
          <w:szCs w:val="22"/>
          <w:lang w:val="en-US"/>
        </w:rPr>
        <w:t>(6)</w:t>
      </w:r>
      <w:r>
        <w:rPr>
          <w:rFonts w:ascii="Calibri" w:hAnsi="Calibri" w:cs="Calibri"/>
          <w:color w:val="000000" w:themeColor="text1"/>
          <w:sz w:val="22"/>
          <w:szCs w:val="22"/>
          <w:lang w:val="en-US"/>
        </w:rPr>
        <w:fldChar w:fldCharType="end"/>
      </w:r>
      <w:r w:rsidRPr="00574076">
        <w:rPr>
          <w:rFonts w:ascii="Calibri" w:hAnsi="Calibri" w:cs="Calibri"/>
          <w:color w:val="000000" w:themeColor="text1"/>
          <w:sz w:val="22"/>
          <w:szCs w:val="22"/>
          <w:lang w:val="en-US"/>
        </w:rPr>
        <w:t>. Primer</w:t>
      </w:r>
      <w:r>
        <w:rPr>
          <w:rFonts w:ascii="Calibri" w:hAnsi="Calibri" w:cs="Calibri"/>
          <w:color w:val="000000" w:themeColor="text1"/>
          <w:sz w:val="22"/>
          <w:szCs w:val="22"/>
          <w:lang w:val="en-US"/>
        </w:rPr>
        <w:t>s</w:t>
      </w:r>
      <w:r w:rsidRPr="00574076">
        <w:rPr>
          <w:rFonts w:ascii="Calibri" w:hAnsi="Calibri" w:cs="Calibri"/>
          <w:color w:val="000000" w:themeColor="text1"/>
          <w:sz w:val="22"/>
          <w:szCs w:val="22"/>
          <w:lang w:val="en-US"/>
        </w:rPr>
        <w:t xml:space="preserve"> sequences are </w:t>
      </w:r>
      <w:r>
        <w:rPr>
          <w:rFonts w:ascii="Calibri" w:hAnsi="Calibri" w:cs="Calibri"/>
          <w:color w:val="000000" w:themeColor="text1"/>
          <w:sz w:val="22"/>
          <w:szCs w:val="22"/>
          <w:lang w:val="en-US"/>
        </w:rPr>
        <w:t xml:space="preserve">available upon request. </w:t>
      </w:r>
      <w:r w:rsidRPr="00696420">
        <w:rPr>
          <w:rFonts w:ascii="Calibri" w:hAnsi="Calibri"/>
          <w:sz w:val="22"/>
          <w:szCs w:val="22"/>
          <w:lang w:val="en-US"/>
        </w:rPr>
        <w:t xml:space="preserve">Fastq files of RNAseq from 122 samples of iCCA </w:t>
      </w:r>
      <w:r>
        <w:rPr>
          <w:rFonts w:ascii="Calibri" w:hAnsi="Calibri"/>
          <w:sz w:val="22"/>
          <w:szCs w:val="22"/>
          <w:lang w:val="en-US"/>
        </w:rPr>
        <w:fldChar w:fldCharType="begin" w:fldLock="1"/>
      </w:r>
      <w:r w:rsidR="00922EA7">
        <w:rPr>
          <w:rFonts w:ascii="Calibri" w:hAnsi="Calibri"/>
          <w:sz w:val="22"/>
          <w:szCs w:val="22"/>
          <w:lang w:val="en-US"/>
        </w:rPr>
        <w:instrText>ADDIN CSL_CITATION {"citationItems":[{"id":"ITEM-1","itemData":{"DOI":"10.1038/ng.3375","ISSN":"1061-4036","author":[{"dropping-particle":"","family":"Nakamura","given":"Hiromi","non-dropping-particle":"","parse-names":false,"suffix":""},{"dropping-particle":"","family":"Arai","given":"Yasuhito","non-dropping-particle":"","parse-names":false,"suffix":""},{"dropping-particle":"","family":"Totoki","given":"Yasushi","non-dropping-particle":"","parse-names":false,"suffix":""},{"dropping-particle":"","family":"Shirota","given":"Tomoki","non-dropping-particle":"","parse-names":false,"suffix":""},{"dropping-particle":"","family":"Elzawahry","given":"Asmaa","non-dropping-particle":"","parse-names":false,"suffix":""},{"dropping-particle":"","family":"Kato","given":"Mamoru","non-dropping-particle":"","parse-names":false,"suffix":""},{"dropping-particle":"","family":"Hama","given":"Natsuko","non-dropping-particle":"","parse-names":false,"suffix":""},{"dropping-particle":"","family":"Hosoda","given":"Fumie","non-dropping-particle":"","parse-names":false,"suffix":""},{"dropping-particle":"","family":"Urushidate","given":"Tomoko","non-dropping-particle":"","parse-names":false,"suffix":""},{"dropping-particle":"","family":"Ohashi","given":"Shoko","non-dropping-particle":"","parse-names":false,"suffix":""},{"dropping-particle":"","family":"Hiraoka","given":"Nobuyoshi","non-dropping-particle":"","parse-names":false,"suffix":""},{"dropping-particle":"","family":"Ojima","given":"Hidenori","non-dropping-particle":"","parse-names":false,"suffix":""},{"dropping-particle":"","family":"Shimada","given":"Kazuaki","non-dropping-particle":"","parse-names":false,"suffix":""},{"dropping-particle":"","family":"Okusaka","given":"Takuji","non-dropping-particle":"","parse-names":false,"suffix":""},{"dropping-particle":"","family":"Kosuge","given":"Tomoo","non-dropping-particle":"","parse-names":false,"suffix":""},{"dropping-particle":"","family":"Miyagawa","given":"Shinichi","non-dropping-particle":"","parse-names":false,"suffix":""},{"dropping-particle":"","family":"Shibata","given":"Tatsuhiro","non-dropping-particle":"","parse-names":false,"suffix":""}],"container-title":"Nature Genetics","id":"ITEM-1","issue":"9","issued":{"date-parts":[["2015","9","10"]]},"page":"1003-1010","title":"Genomic spectra of biliary tract cancer","type":"article-journal","volume":"47"},"uris":["http://www.mendeley.com/documents/?uuid=59c73aa4-c81e-382c-bdc2-a236a6e9c23f"]}],"mendeley":{"formattedCitation":"(7)","plainTextFormattedCitation":"(7)","previouslyFormattedCitation":"(Nakamura et al. 2015)"},"properties":{"noteIndex":0},"schema":"https://github.com/citation-style-language/schema/raw/master/csl-citation.json"}</w:instrText>
      </w:r>
      <w:r>
        <w:rPr>
          <w:rFonts w:ascii="Calibri" w:hAnsi="Calibri"/>
          <w:sz w:val="22"/>
          <w:szCs w:val="22"/>
          <w:lang w:val="en-US"/>
        </w:rPr>
        <w:fldChar w:fldCharType="separate"/>
      </w:r>
      <w:r w:rsidR="00922EA7" w:rsidRPr="00922EA7">
        <w:rPr>
          <w:rFonts w:ascii="Calibri" w:hAnsi="Calibri"/>
          <w:noProof/>
          <w:sz w:val="22"/>
          <w:szCs w:val="22"/>
          <w:lang w:val="en-US"/>
        </w:rPr>
        <w:t>(7)</w:t>
      </w:r>
      <w:r>
        <w:rPr>
          <w:rFonts w:ascii="Calibri" w:hAnsi="Calibri"/>
          <w:sz w:val="22"/>
          <w:szCs w:val="22"/>
          <w:lang w:val="en-US"/>
        </w:rPr>
        <w:fldChar w:fldCharType="end"/>
      </w:r>
      <w:r w:rsidRPr="00696420">
        <w:rPr>
          <w:rFonts w:ascii="Calibri" w:hAnsi="Calibri"/>
          <w:color w:val="2196D1"/>
          <w:position w:val="8"/>
          <w:sz w:val="22"/>
          <w:szCs w:val="22"/>
          <w:lang w:val="en-US"/>
        </w:rPr>
        <w:t xml:space="preserve"> </w:t>
      </w:r>
      <w:r w:rsidRPr="00696420">
        <w:rPr>
          <w:rFonts w:ascii="Calibri" w:hAnsi="Calibri"/>
          <w:sz w:val="22"/>
          <w:szCs w:val="22"/>
          <w:lang w:val="en-US"/>
        </w:rPr>
        <w:t>were downloaded from the European Genome-phenome Archive (</w:t>
      </w:r>
      <w:r w:rsidRPr="00696420">
        <w:rPr>
          <w:rFonts w:ascii="Calibri" w:hAnsi="Calibri"/>
          <w:color w:val="2196D1"/>
          <w:sz w:val="22"/>
          <w:szCs w:val="22"/>
          <w:lang w:val="en-US"/>
        </w:rPr>
        <w:t>https://www.ebi.ac.uk/ega/datasets/EGAD00001001693</w:t>
      </w:r>
      <w:r w:rsidRPr="00696420">
        <w:rPr>
          <w:rFonts w:ascii="Calibri" w:hAnsi="Calibri"/>
          <w:sz w:val="22"/>
          <w:szCs w:val="22"/>
          <w:lang w:val="en-US"/>
        </w:rPr>
        <w:t>)</w:t>
      </w:r>
      <w:r>
        <w:rPr>
          <w:rFonts w:ascii="Calibri" w:hAnsi="Calibri"/>
          <w:sz w:val="22"/>
          <w:szCs w:val="22"/>
          <w:lang w:val="en-US"/>
        </w:rPr>
        <w:t xml:space="preserve"> and correlation between </w:t>
      </w:r>
      <w:r w:rsidRPr="006845CA">
        <w:rPr>
          <w:rFonts w:ascii="Calibri" w:hAnsi="Calibri"/>
          <w:i/>
          <w:sz w:val="22"/>
          <w:szCs w:val="22"/>
          <w:lang w:val="en-US"/>
        </w:rPr>
        <w:t>PHGDH</w:t>
      </w:r>
      <w:r>
        <w:rPr>
          <w:rFonts w:ascii="Calibri" w:hAnsi="Calibri"/>
          <w:sz w:val="22"/>
          <w:szCs w:val="22"/>
          <w:lang w:val="en-US"/>
        </w:rPr>
        <w:t xml:space="preserve"> and </w:t>
      </w:r>
      <w:r w:rsidRPr="006845CA">
        <w:rPr>
          <w:rFonts w:ascii="Calibri" w:hAnsi="Calibri"/>
          <w:i/>
          <w:sz w:val="22"/>
          <w:szCs w:val="22"/>
          <w:lang w:val="en-US"/>
        </w:rPr>
        <w:t>G9a</w:t>
      </w:r>
      <w:r>
        <w:rPr>
          <w:rFonts w:ascii="Calibri" w:hAnsi="Calibri"/>
          <w:sz w:val="22"/>
          <w:szCs w:val="22"/>
          <w:lang w:val="en-US"/>
        </w:rPr>
        <w:t xml:space="preserve"> gene expression was analyzed as described </w:t>
      </w:r>
      <w:r>
        <w:rPr>
          <w:rFonts w:ascii="Calibri" w:hAnsi="Calibri"/>
          <w:sz w:val="22"/>
          <w:szCs w:val="22"/>
          <w:lang w:val="en-US"/>
        </w:rPr>
        <w:fldChar w:fldCharType="begin" w:fldLock="1"/>
      </w:r>
      <w:r w:rsidR="00922EA7">
        <w:rPr>
          <w:rFonts w:ascii="Calibri" w:hAnsi="Calibri"/>
          <w:sz w:val="22"/>
          <w:szCs w:val="22"/>
          <w:lang w:val="en-US"/>
        </w:rPr>
        <w:instrText>ADDIN CSL_CITATION {"citationItems":[{"id":"ITEM-1","itemData":{"DOI":"10.1002/HEP.31642","ISSN":"1527-3350","PMID":"33222246","abstract":"Background and Aims: Cholangiocarcinoma (CCA) is a devastating disease often detected at advanced stages when surgery cannot be performed. Conventional and targeted systemic therapies perform poorly, and therefore effective drugs are urgently needed. Different epigenetic modifications occur in CCA and contribute to malignancy. Targeting epigenetic mechanisms may thus open therapeutic opportunities. However, modifications such as DNA and histone methylation often coexist and cooperate in carcinogenesis. We tested the therapeutic efficacy and mechanism of action of a class of dual G9a histone-methyltransferase and DNA-methyltransferase 1 (DNMT1) inhibitors. Approach and Results: Expression of G9a, DNMT1, and their molecular adaptor, ubiquitin-like with PHD and RING finger domains-1 (UHRF1), was determined in human CCA. We evaluated the effect of individual and combined pharmacological inhibition of G9a and DNMT1 on CCA cell growth. Our lead G9a/DNMT1 inhibitor, CM272, was tested in human CCA cells, patient-derived tumoroids and xenograft, and a mouse model of cholangiocarcinogenesis with hepatocellular deletion of c-Jun-N-terminal-kinase (Jnk)-1/2 and diethyl-nitrosamine (DEN) plus CCl4 treatment (JnkΔhepa + DEN + CCl4 mice). We found an increased and correlative expression of G9a, DNMT1, and UHRF1 in CCAs. Cotreatment with independent pharmacological inhibitors G9a and DNMT1 synergistically inhibited CCA cell growth. CM272 markedly reduced CCA cell proliferation and synergized with Cisplatin and the ERBB-targeted inhibitor, Lapatinib. CM272 inhibited CCA tumoroids and xenograft growth and significantly antagonized CCA progression in JnkΔhepa + DEN + CCl4 mice without apparent toxicity. Mechanistically, CM272 reprogrammed the tumoral metabolic transcriptome and phenotype toward a differentiated and quiescent status. Conclusions: Dual targeting of G9a and DNMT1 with epigenetic small molecule inhibitors such as CM272 is a potential strategy to treat CCA and/or enhance the efficacy of other systemic therapies.","author":[{"dropping-particle":"","family":"Colyn","given":"Leticia","non-dropping-particle":"","parse-names":false,"suffix":""},{"dropping-particle":"","family":"Bárcena-Varela","given":"Marina","non-dropping-particle":"","parse-names":false,"suffix":""},{"dropping-particle":"","family":"Álvarez-Sola","given":"Gloria","non-dropping-particle":"","parse-names":false,"suffix":""},{"dropping-particle":"","family":"Latasa","given":"M. Ujue","non-dropping-particle":"","parse-names":false,"suffix":""},{"dropping-particle":"","family":"Uriarte","given":"Iker","non-dropping-particle":"","parse-names":false,"suffix":""},{"dropping-particle":"","family":"Santamaría","given":"Eva","non-dropping-particle":"","parse-names":false,"suffix":""},{"dropping-particle":"","family":"Herranz","given":"Jose M.","non-dropping-particle":"","parse-names":false,"suffix":""},{"dropping-particle":"","family":"Santos-Laso","given":"Alvaro","non-dropping-particle":"","parse-names":false,"suffix":""},{"dropping-particle":"","family":"Arechederra","given":"Maria","non-dropping-particle":"","parse-names":false,"suffix":""},{"dropping-particle":"","family":"Ruiz de Gauna","given":"Mikel","non-dropping-particle":"","parse-names":false,"suffix":""},{"dropping-particle":"","family":"Aspichueta","given":"Patricia","non-dropping-particle":"","parse-names":false,"suffix":""},{"dropping-particle":"","family":"Canale","given":"Matteo","non-dropping-particle":"","parse-names":false,"suffix":""},{"dropping-particle":"","family":"Casadei-Gardini","given":"Andrea","non-dropping-particle":"","parse-names":false,"suffix":""},{"dropping-particle":"","family":"Francesconi","given":"Maria","non-dropping-particle":"","parse-names":false,"suffix":""},{"dropping-particle":"","family":"Carotti","given":"Simone","non-dropping-particle":"","parse-names":false,"suffix":""},{"dropping-particle":"","family":"Morini","given":"Sergio","non-dropping-particle":"","parse-names":false,"suffix":""},{"dropping-particle":"","family":"Nelson","given":"Leonard J.","non-dropping-particle":"","parse-names":false,"suffix":""},{"dropping-particle":"","family":"Iraburu","given":"Maria J.","non-dropping-particle":"","parse-names":false,"suffix":""},{"dropping-particle":"","family":"Chen","given":"Chaobo","non-dropping-particle":"","parse-names":false,"suffix":""},{"dropping-particle":"","family":"Sangro","given":"Bruno","non-dropping-particle":"","parse-names":false,"suffix":""},{"dropping-particle":"","family":"Marin","given":"Jose J.G.","non-dropping-particle":"","parse-names":false,"suffix":""},{"dropping-particle":"","family":"Martinez-Chantar","given":"Maria L.","non-dropping-particle":"","parse-names":false,"suffix":""},{"dropping-particle":"","family":"Banales","given":"Jesus M.","non-dropping-particle":"","parse-names":false,"suffix":""},{"dropping-particle":"","family":"Arnes-Benito","given":"Robert","non-dropping-particle":"","parse-names":false,"suffix":""},{"dropping-particle":"","family":"Huch","given":"Meritxell","non-dropping-particle":"","parse-names":false,"suffix":""},{"dropping-particle":"","family":"Patino","given":"John M.","non-dropping-particle":"","parse-names":false,"suffix":""},{"dropping-particle":"","family":"Dar","given":"Altaf A.","non-dropping-particle":"","parse-names":false,"suffix":""},{"dropping-particle":"","family":"Nosrati","given":"Mehdi","non-dropping-particle":"","parse-names":false,"suffix":""},{"dropping-particle":"","family":"Oyarzábal","given":"Julen","non-dropping-particle":"","parse-names":false,"suffix":""},{"dropping-particle":"","family":"Prósper","given":"Felipe","non-dropping-particle":"","parse-names":false,"suffix":""},{"dropping-particle":"","family":"Urman","given":"Jesus","non-dropping-particle":"","parse-names":false,"suffix":""},{"dropping-particle":"","family":"Cubero","given":"Francisco Javier","non-dropping-particle":"","parse-names":false,"suffix":""},{"dropping-particle":"","family":"Trautwein","given":"Christian","non-dropping-particle":"","parse-names":false,"suffix":""},{"dropping-particle":"","family":"Berasain","given":"Carmen","non-dropping-particle":"","parse-names":false,"suffix":""},{"dropping-particle":"","family":"Fernandez-Barrena","given":"Maite G.","non-dropping-particle":"","parse-names":false,"suffix":""},{"dropping-particle":"","family":"Avila","given":"Matias A.","non-dropping-particle":"","parse-names":false,"suffix":""}],"container-title":"Hepatology (Baltimore, Md.)","id":"ITEM-1","issue":"6","issued":{"date-parts":[["2021","6","1"]]},"page":"2380-2396","publisher":"Hepatology","title":"Dual Targeting of G9a and DNA Methyltransferase-1 for the Treatment of Experimental Cholangiocarcinoma","type":"article-journal","volume":"73"},"uris":["http://www.mendeley.com/documents/?uuid=8aebdead-49d9-36a2-a03e-940e278b6faa"]}],"mendeley":{"formattedCitation":"(6)","plainTextFormattedCitation":"(6)","previouslyFormattedCitation":"(Colyn et al. 2021)"},"properties":{"noteIndex":0},"schema":"https://github.com/citation-style-language/schema/raw/master/csl-citation.json"}</w:instrText>
      </w:r>
      <w:r>
        <w:rPr>
          <w:rFonts w:ascii="Calibri" w:hAnsi="Calibri"/>
          <w:sz w:val="22"/>
          <w:szCs w:val="22"/>
          <w:lang w:val="en-US"/>
        </w:rPr>
        <w:fldChar w:fldCharType="separate"/>
      </w:r>
      <w:r w:rsidR="00922EA7" w:rsidRPr="00922EA7">
        <w:rPr>
          <w:rFonts w:ascii="Calibri" w:hAnsi="Calibri"/>
          <w:noProof/>
          <w:sz w:val="22"/>
          <w:szCs w:val="22"/>
          <w:lang w:val="en-US"/>
        </w:rPr>
        <w:t>(6)</w:t>
      </w:r>
      <w:r>
        <w:rPr>
          <w:rFonts w:ascii="Calibri" w:hAnsi="Calibri"/>
          <w:sz w:val="22"/>
          <w:szCs w:val="22"/>
          <w:lang w:val="en-US"/>
        </w:rPr>
        <w:fldChar w:fldCharType="end"/>
      </w:r>
      <w:r>
        <w:rPr>
          <w:rFonts w:ascii="Calibri" w:hAnsi="Calibri"/>
          <w:sz w:val="22"/>
          <w:szCs w:val="22"/>
          <w:lang w:val="en-US"/>
        </w:rPr>
        <w:t>.</w:t>
      </w:r>
    </w:p>
    <w:p w:rsidR="001C386F" w:rsidRPr="009B05A5" w:rsidRDefault="001C386F" w:rsidP="001C386F">
      <w:pPr>
        <w:widowControl w:val="0"/>
        <w:autoSpaceDE w:val="0"/>
        <w:autoSpaceDN w:val="0"/>
        <w:adjustRightInd w:val="0"/>
        <w:spacing w:line="480" w:lineRule="auto"/>
        <w:rPr>
          <w:rFonts w:ascii="Calibri" w:hAnsi="Calibri" w:cs="Calibri"/>
          <w:i/>
          <w:sz w:val="22"/>
          <w:szCs w:val="22"/>
          <w:lang w:val="en-US"/>
        </w:rPr>
      </w:pPr>
      <w:r w:rsidRPr="009B05A5">
        <w:rPr>
          <w:rFonts w:ascii="Calibri" w:hAnsi="Calibri" w:cs="Calibri"/>
          <w:i/>
          <w:sz w:val="22"/>
          <w:szCs w:val="22"/>
          <w:lang w:val="en-US"/>
        </w:rPr>
        <w:t>Immunoblots and immunoprecipitation assay</w:t>
      </w:r>
      <w:r>
        <w:rPr>
          <w:rFonts w:ascii="Calibri" w:hAnsi="Calibri" w:cs="Calibri"/>
          <w:i/>
          <w:sz w:val="22"/>
          <w:szCs w:val="22"/>
          <w:lang w:val="en-US"/>
        </w:rPr>
        <w:t>s</w:t>
      </w:r>
    </w:p>
    <w:p w:rsidR="001C386F" w:rsidRPr="001C386F" w:rsidRDefault="001C386F" w:rsidP="001C386F">
      <w:pPr>
        <w:spacing w:line="480" w:lineRule="auto"/>
        <w:jc w:val="both"/>
        <w:rPr>
          <w:rFonts w:cstheme="minorHAnsi"/>
          <w:spacing w:val="-1"/>
          <w:sz w:val="22"/>
          <w:szCs w:val="22"/>
          <w:lang w:val="en-US"/>
        </w:rPr>
      </w:pPr>
      <w:r w:rsidRPr="009B05A5">
        <w:rPr>
          <w:rFonts w:ascii="Calibri" w:eastAsia="Times New Roman" w:hAnsi="Calibri" w:cs="Calibri"/>
          <w:sz w:val="22"/>
          <w:szCs w:val="22"/>
          <w:lang w:val="en-US"/>
        </w:rPr>
        <w:t xml:space="preserve">Cells were lysed in RIPA buffer </w:t>
      </w:r>
      <w:r>
        <w:rPr>
          <w:rFonts w:ascii="Calibri" w:eastAsia="Times New Roman" w:hAnsi="Calibri" w:cs="Calibri"/>
          <w:sz w:val="22"/>
          <w:szCs w:val="22"/>
          <w:lang w:val="en-US"/>
        </w:rPr>
        <w:t>and</w:t>
      </w:r>
      <w:r w:rsidRPr="009B05A5">
        <w:rPr>
          <w:rFonts w:ascii="Calibri" w:eastAsia="Times New Roman" w:hAnsi="Calibri" w:cs="Calibri"/>
          <w:sz w:val="22"/>
          <w:szCs w:val="22"/>
          <w:lang w:val="en-US"/>
        </w:rPr>
        <w:t xml:space="preserve"> homogenates were subjected to immunoblot (Western blot) analysis as reported </w:t>
      </w:r>
      <w:r w:rsidRPr="009B05A5">
        <w:rPr>
          <w:rFonts w:ascii="Calibri" w:eastAsia="Times New Roman" w:hAnsi="Calibri" w:cs="Calibri"/>
          <w:sz w:val="22"/>
          <w:szCs w:val="22"/>
        </w:rPr>
        <w:fldChar w:fldCharType="begin" w:fldLock="1"/>
      </w:r>
      <w:r w:rsidR="00922EA7">
        <w:rPr>
          <w:rFonts w:ascii="Calibri" w:eastAsia="Times New Roman" w:hAnsi="Calibri" w:cs="Calibri"/>
          <w:sz w:val="22"/>
          <w:szCs w:val="22"/>
          <w:lang w:val="en-US"/>
        </w:rPr>
        <w:instrText>ADDIN CSL_CITATION {"citationItems":[{"id":"ITEM-1","itemData":{"DOI":"10.1002/hep.30168","ISSN":"1527-3350","PMID":"30014490","abstract":"Epigenetic modifications such as DNA and histone methylation functionally cooperate in fostering tumor growth, including that of hepatocellular carcinoma (HCC). Pharmacological targeting of these mechanisms may open new therapeutic avenues. We aimed to determine the therapeutic efficacy and potential mechanism of action of our dual G9a histone-methyltransferase and DNA-methyltransferase 1 (DNMT1) inhibitor in human HCC cells and their crosstalk with fibrogenic cells. The expression of G9a and DNMT1, along with that of their molecular adaptor ubiquitin-like with PHD and RING finger domains-1 (UHRF1), was measured in human HCCs (n = 268), peritumoral tissues (n = 154), and HCC cell lines (n = 32). We evaluated the effect of individual and combined inhibition of G9a and DNMT1 on HCC cell growth by pharmacological and genetic approaches. The activity of our lead compound, CM-272, was examined in HCC cells under normoxia and hypoxia, human hepatic stellate cells and LX2 cells, and xenograft tumors formed by HCC or combined HCC+LX2 cells. We found a significant and correlative overexpression of G9a, DNMT1, and UHRF1 in HCCs in association with poor prognosis. Independent G9a and DNMT1 pharmacological targeting synergistically inhibited HCC cell growth. CM-272 potently reduced HCC and LX2 cells proliferation and quelled tumor growth, particularly in HCC+LX2 xenografts. Mechanistically, CM-272 inhibited the metabolic adaptation of HCC cells to hypoxia and induced a differentiated phenotype in HCC and fibrogenic cells. The expression of the metabolic tumor suppressor gene fructose-1,6-bisphosphatase (FBP1), epigenetically repressed in HCC, was restored by CM-272. Conclusion: Combined targeting of G9a/DNMT1 with compounds such as CM-272 is a promising strategy for HCC treatment. Our findings also underscore the potential of differentiation therapy in HCC.","author":[{"dropping-particle":"","family":"Bárcena-Varela","given":"Marina","non-dropping-particle":"","parse-names":false,"suffix":""},{"dropping-particle":"","family":"Caruso","given":"Stefano","non-dropping-particle":"","parse-names":false,"suffix":""},{"dropping-particle":"","family":"Llerena","given":"Susana","non-dropping-particle":"","parse-names":false,"suffix":""},{"dropping-particle":"","family":"Álvarez-Sola","given":"Gloria","non-dropping-particle":"","parse-names":false,"suffix":""},{"dropping-particle":"","family":"Uriarte","given":"Iker","non-dropping-particle":"","parse-names":false,"suffix":""},{"dropping-particle":"","family":"Latasa","given":"M Ujue","non-dropping-particle":"","parse-names":false,"suffix":""},{"dropping-particle":"","family":"Urtasun","given":"Raquel","non-dropping-particle":"","parse-names":false,"suffix":""},{"dropping-particle":"","family":"Rebouissou","given":"Sandra","non-dropping-particle":"","parse-names":false,"suffix":""},{"dropping-particle":"","family":"Alvarez","given":"Laura","non-dropping-particle":"","parse-names":false,"suffix":""},{"dropping-particle":"","family":"Jimenez","given":"Maddalen","non-dropping-particle":"","parse-names":false,"suffix":""},{"dropping-particle":"","family":"Santamaría","given":"Eva","non-dropping-particle":"","parse-names":false,"suffix":""},{"dropping-particle":"","family":"Rodriguez-Ortigosa","given":"Carlos","non-dropping-particle":"","parse-names":false,"suffix":""},{"dropping-particle":"","family":"Mazza","given":"Giuseppe","non-dropping-particle":"","parse-names":false,"suffix":""},{"dropping-particle":"","family":"Rombouts","given":"Krista","non-dropping-particle":"","parse-names":false,"suffix":""},{"dropping-particle":"","family":"San José-Eneriz","given":"Edurne","non-dropping-particle":"","parse-names":false,"suffix":""},{"dropping-particle":"","family":"Rabal","given":"Obdulia","non-dropping-particle":"","parse-names":false,"suffix":""},{"dropping-particle":"","family":"Agirre","given":"Xabier","non-dropping-particle":"","parse-names":false,"suffix":""},{"dropping-particle":"","family":"Iraburu","given":"Maria","non-dropping-particle":"","parse-names":false,"suffix":""},{"dropping-particle":"","family":"Santos-Laso","given":"Alvaro","non-dropping-particle":"","parse-names":false,"suffix":""},{"dropping-particle":"","family":"Banales","given":"Jesus M","non-dropping-particle":"","parse-names":false,"suffix":""},{"dropping-particle":"","family":"Zucman-Rossi","given":"Jessica","non-dropping-particle":"","parse-names":false,"suffix":""},{"dropping-particle":"","family":"Prósper","given":"Felipe","non-dropping-particle":"","parse-names":false,"suffix":""},{"dropping-particle":"","family":"Oyarzabal","given":"Julen","non-dropping-particle":"","parse-names":false,"suffix":""},{"dropping-particle":"","family":"Berasain","given":"Carmen","non-dropping-particle":"","parse-names":false,"suffix":""},{"dropping-particle":"","family":"Ávila","given":"Matías A","non-dropping-particle":"","parse-names":false,"suffix":""},{"dropping-particle":"","family":"Fernández-Barrena","given":"Maite G","non-dropping-particle":"","parse-names":false,"suffix":""}],"container-title":"Hepatology (Baltimore, Md.)","id":"ITEM-1","issue":"2","issued":{"date-parts":[["2019","2"]]},"page":"587-603","title":"Dual Targeting of Histone Methyltransferase G9a and DNA-Methyltransferase 1 for the Treatment of Experimental Hepatocellular Carcinoma.","type":"article-journal","volume":"69"},"uris":["http://www.mendeley.com/documents/?uuid=21884a3b-7371-3474-a2a6-bb1a1cd7fe66"]}],"mendeley":{"formattedCitation":"(8)","plainTextFormattedCitation":"(8)","previouslyFormattedCitation":"(Bárcena-Varela et al. 2019)"},"properties":{"noteIndex":0},"schema":"https://github.com/citation-style-language/schema/raw/master/csl-citation.json"}</w:instrText>
      </w:r>
      <w:r w:rsidRPr="009B05A5">
        <w:rPr>
          <w:rFonts w:ascii="Calibri" w:eastAsia="Times New Roman" w:hAnsi="Calibri" w:cs="Calibri"/>
          <w:sz w:val="22"/>
          <w:szCs w:val="22"/>
        </w:rPr>
        <w:fldChar w:fldCharType="separate"/>
      </w:r>
      <w:r w:rsidR="00922EA7" w:rsidRPr="00922EA7">
        <w:rPr>
          <w:rFonts w:ascii="Calibri" w:eastAsia="Times New Roman" w:hAnsi="Calibri" w:cs="Calibri"/>
          <w:noProof/>
          <w:sz w:val="22"/>
          <w:szCs w:val="22"/>
          <w:lang w:val="en-US"/>
        </w:rPr>
        <w:t>(8)</w:t>
      </w:r>
      <w:r w:rsidRPr="009B05A5">
        <w:rPr>
          <w:rFonts w:ascii="Calibri" w:eastAsia="Times New Roman" w:hAnsi="Calibri" w:cs="Calibri"/>
          <w:sz w:val="22"/>
          <w:szCs w:val="22"/>
        </w:rPr>
        <w:fldChar w:fldCharType="end"/>
      </w:r>
      <w:r w:rsidRPr="009B05A5">
        <w:rPr>
          <w:rFonts w:ascii="Calibri" w:eastAsia="Times New Roman" w:hAnsi="Calibri" w:cs="Calibri"/>
          <w:sz w:val="22"/>
          <w:szCs w:val="22"/>
          <w:lang w:val="en-US"/>
        </w:rPr>
        <w:t xml:space="preserve">. </w:t>
      </w:r>
      <w:r>
        <w:rPr>
          <w:rFonts w:ascii="Calibri" w:eastAsia="Times New Roman" w:hAnsi="Calibri" w:cs="Calibri"/>
          <w:sz w:val="22"/>
          <w:szCs w:val="22"/>
          <w:lang w:val="en-US"/>
        </w:rPr>
        <w:t xml:space="preserve">Immunoprecipitation analyses were performed as described </w:t>
      </w:r>
      <w:r>
        <w:rPr>
          <w:rFonts w:ascii="Calibri" w:eastAsia="Times New Roman" w:hAnsi="Calibri" w:cs="Calibri"/>
          <w:sz w:val="22"/>
          <w:szCs w:val="22"/>
          <w:lang w:val="en-US"/>
        </w:rPr>
        <w:fldChar w:fldCharType="begin" w:fldLock="1"/>
      </w:r>
      <w:r w:rsidR="00922EA7">
        <w:rPr>
          <w:rFonts w:ascii="Calibri" w:eastAsia="Times New Roman" w:hAnsi="Calibri" w:cs="Calibri"/>
          <w:sz w:val="22"/>
          <w:szCs w:val="22"/>
          <w:lang w:val="en-US"/>
        </w:rPr>
        <w:instrText>ADDIN CSL_CITATION {"citationItems":[{"id":"ITEM-1","itemData":{"DOI":"10.1093/NAR/GKAB649","ISSN":"1362-4962","PMID":"34331453","abstract":"Gene expression is finely and dynamically controlled through the tightly coordinated and interconnected activity of epigenetic modulators, transcription and splicing factors and post-translational modifiers. We have recently identified the splicing factor SLU7 as essential for maintaining liver cell identity and genome integrity and for securing cell division both trough transcriptional and splicing mechanisms. Now we uncover a new function of SLU7 controlling gene expression at the epigenetic level. We show that SLU7 is required to secure DNMT1 protein stability and a correct DNA methylation. We demonstrate that SLU7 is part in the chromatome of the protein complex implicated in DNA methylation maintenance interacting with and controlling the integrity of DNMT1, its adaptor protein UHRF1 and the histone methyl-transferase G9a at the chromatin level. Mechanistically, we found that SLU7 assures DNMT1 stability preventing its acetylation and degradation by facilitating its interaction with HDAC1 and the desubiquitinase USP7. Importantly, we demonstrate that this DNMT1 dependency on SLU7 occurs in a large panel of proliferating cell lines of different origins and in in vivo models of liver proliferation. Overall, our results uncover a novel and non-redundant role of SLU7 in DNA methylation and present SLU7 as a holistic regulator of gene expression.","author":[{"dropping-particle":"","family":"Recalde","given":"Miriam","non-dropping-particle":"","parse-names":false,"suffix":""},{"dropping-particle":"","family":"Gárate-Rascón","given":"María","non-dropping-particle":"","parse-names":false,"suffix":""},{"dropping-particle":"","family":"Elizalde","given":"María","non-dropping-particle":"","parse-names":false,"suffix":""},{"dropping-particle":"","family":"Azkona","given":"María","non-dropping-particle":"","parse-names":false,"suffix":""},{"dropping-particle":"","family":"Latasa","given":"M. Ujue","non-dropping-particle":"","parse-names":false,"suffix":""},{"dropping-particle":"","family":"Bárcena-Varela","given":"Marina","non-dropping-particle":"","parse-names":false,"suffix":""},{"dropping-particle":"","family":"Sangro","given":"Bruno","non-dropping-particle":"","parse-names":false,"suffix":""},{"dropping-particle":"","family":"Fernández-Barrena","given":"Maite G.","non-dropping-particle":"","parse-names":false,"suffix":""},{"dropping-particle":"","family":"Ávila","given":"Matías A.","non-dropping-particle":"","parse-names":false,"suffix":""},{"dropping-particle":"","family":"Arechederra","given":"María","non-dropping-particle":"","parse-names":false,"suffix":""},{"dropping-particle":"","family":"Berasain","given":"Carmen","non-dropping-particle":"","parse-names":false,"suffix":""}],"container-title":"Nucleic acids research","id":"ITEM-1","issue":"15","issued":{"date-parts":[["2021","9","7"]]},"page":"8592-8609","publisher":"Nucleic Acids Res","title":"The splicing regulator SLU7 is required to preserve DNMT1 protein stability and DNA methylation","type":"article-journal","volume":"49"},"uris":["http://www.mendeley.com/documents/?uuid=efe2e0f1-ec67-357b-97d2-4e964cae5884"]}],"mendeley":{"formattedCitation":"(9)","plainTextFormattedCitation":"(9)","previouslyFormattedCitation":"(Recalde et al. 2021)"},"properties":{"noteIndex":0},"schema":"https://github.com/citation-style-language/schema/raw/master/csl-citation.json"}</w:instrText>
      </w:r>
      <w:r>
        <w:rPr>
          <w:rFonts w:ascii="Calibri" w:eastAsia="Times New Roman" w:hAnsi="Calibri" w:cs="Calibri"/>
          <w:sz w:val="22"/>
          <w:szCs w:val="22"/>
          <w:lang w:val="en-US"/>
        </w:rPr>
        <w:fldChar w:fldCharType="separate"/>
      </w:r>
      <w:r w:rsidR="00922EA7" w:rsidRPr="00922EA7">
        <w:rPr>
          <w:rFonts w:ascii="Calibri" w:eastAsia="Times New Roman" w:hAnsi="Calibri" w:cs="Calibri"/>
          <w:noProof/>
          <w:sz w:val="22"/>
          <w:szCs w:val="22"/>
          <w:lang w:val="en-US"/>
        </w:rPr>
        <w:t>(9)</w:t>
      </w:r>
      <w:r>
        <w:rPr>
          <w:rFonts w:ascii="Calibri" w:eastAsia="Times New Roman" w:hAnsi="Calibri" w:cs="Calibri"/>
          <w:sz w:val="22"/>
          <w:szCs w:val="22"/>
          <w:lang w:val="en-US"/>
        </w:rPr>
        <w:fldChar w:fldCharType="end"/>
      </w:r>
      <w:r>
        <w:rPr>
          <w:rFonts w:ascii="Calibri" w:eastAsia="Times New Roman" w:hAnsi="Calibri" w:cs="Calibri"/>
          <w:sz w:val="22"/>
          <w:szCs w:val="22"/>
          <w:lang w:val="en-US"/>
        </w:rPr>
        <w:t xml:space="preserve">. </w:t>
      </w:r>
      <w:r w:rsidRPr="009B05A5">
        <w:rPr>
          <w:rFonts w:ascii="Calibri" w:eastAsia="Times New Roman" w:hAnsi="Calibri" w:cs="Calibri"/>
          <w:sz w:val="22"/>
          <w:szCs w:val="22"/>
          <w:lang w:val="en-US"/>
        </w:rPr>
        <w:t xml:space="preserve">Antibodies used </w:t>
      </w:r>
      <w:r>
        <w:rPr>
          <w:rFonts w:ascii="Calibri" w:eastAsia="Times New Roman" w:hAnsi="Calibri" w:cs="Calibri"/>
          <w:sz w:val="22"/>
          <w:szCs w:val="22"/>
          <w:lang w:val="en-US"/>
        </w:rPr>
        <w:t xml:space="preserve">are reported in Supplementary Table 1. </w:t>
      </w:r>
      <w:r w:rsidRPr="00CE730B">
        <w:rPr>
          <w:rFonts w:ascii="Calibri" w:hAnsi="Calibri" w:cs="Calibri"/>
          <w:color w:val="000000" w:themeColor="text1"/>
          <w:sz w:val="22"/>
          <w:szCs w:val="22"/>
          <w:lang w:val="en-US"/>
        </w:rPr>
        <w:t>For quantification of immunoblot signals</w:t>
      </w:r>
      <w:r>
        <w:rPr>
          <w:rFonts w:ascii="Calibri" w:hAnsi="Calibri" w:cs="Calibri"/>
          <w:color w:val="000000" w:themeColor="text1"/>
          <w:sz w:val="22"/>
          <w:szCs w:val="22"/>
          <w:lang w:val="en-US"/>
        </w:rPr>
        <w:t>, indicated in figures,</w:t>
      </w:r>
      <w:r w:rsidRPr="00CE730B">
        <w:rPr>
          <w:rFonts w:ascii="Calibri" w:hAnsi="Calibri" w:cs="Calibri"/>
          <w:color w:val="000000" w:themeColor="text1"/>
          <w:sz w:val="22"/>
          <w:szCs w:val="22"/>
          <w:lang w:val="en-US"/>
        </w:rPr>
        <w:t xml:space="preserve"> we used the Image Lab Software from Bio-Rad Laboratories</w:t>
      </w:r>
      <w:r w:rsidRPr="00CE730B">
        <w:rPr>
          <w:rFonts w:cstheme="minorHAnsi"/>
          <w:spacing w:val="-1"/>
          <w:sz w:val="22"/>
          <w:szCs w:val="22"/>
          <w:lang w:val="en-US"/>
        </w:rPr>
        <w:t>.</w:t>
      </w:r>
      <w:r>
        <w:rPr>
          <w:rFonts w:cstheme="minorHAnsi"/>
          <w:spacing w:val="-1"/>
          <w:sz w:val="22"/>
          <w:szCs w:val="22"/>
          <w:lang w:val="en-US"/>
        </w:rPr>
        <w:t xml:space="preserve"> </w:t>
      </w:r>
    </w:p>
    <w:p w:rsidR="009C0021" w:rsidRPr="00C14A19" w:rsidRDefault="009C0021" w:rsidP="009C0021">
      <w:pPr>
        <w:spacing w:line="480" w:lineRule="auto"/>
        <w:jc w:val="both"/>
        <w:rPr>
          <w:rFonts w:ascii="Calibri" w:eastAsia="Times New Roman" w:hAnsi="Calibri" w:cs="Calibri"/>
          <w:i/>
          <w:color w:val="000000"/>
          <w:sz w:val="22"/>
          <w:szCs w:val="22"/>
          <w:lang w:val="en-US" w:eastAsia="es-ES_tradnl"/>
        </w:rPr>
      </w:pPr>
      <w:r w:rsidRPr="00C14A19">
        <w:rPr>
          <w:rFonts w:ascii="Calibri" w:eastAsia="Times New Roman" w:hAnsi="Calibri" w:cs="Calibri"/>
          <w:i/>
          <w:color w:val="000000"/>
          <w:sz w:val="22"/>
          <w:szCs w:val="22"/>
          <w:lang w:val="en-US" w:eastAsia="es-ES_tradnl"/>
        </w:rPr>
        <w:t xml:space="preserve">Sample processing and </w:t>
      </w:r>
      <w:r w:rsidR="00C14A19" w:rsidRPr="00C14A19">
        <w:rPr>
          <w:rFonts w:ascii="Calibri" w:eastAsia="Times New Roman" w:hAnsi="Calibri" w:cs="Calibri"/>
          <w:i/>
          <w:color w:val="000000"/>
          <w:sz w:val="22"/>
          <w:szCs w:val="22"/>
          <w:lang w:val="en-US" w:eastAsia="es-ES_tradnl"/>
        </w:rPr>
        <w:t xml:space="preserve">serine </w:t>
      </w:r>
      <w:r w:rsidRPr="00C14A19">
        <w:rPr>
          <w:rFonts w:ascii="Calibri" w:eastAsia="Times New Roman" w:hAnsi="Calibri" w:cs="Calibri"/>
          <w:i/>
          <w:color w:val="000000"/>
          <w:sz w:val="22"/>
          <w:szCs w:val="22"/>
          <w:lang w:val="en-US" w:eastAsia="es-ES_tradnl"/>
        </w:rPr>
        <w:t>UPLC-ToF-MS analysis</w:t>
      </w:r>
    </w:p>
    <w:p w:rsidR="009C0021" w:rsidRPr="00922EA7" w:rsidRDefault="009C0021" w:rsidP="009C0021">
      <w:pPr>
        <w:spacing w:line="480" w:lineRule="auto"/>
        <w:jc w:val="both"/>
        <w:rPr>
          <w:rFonts w:ascii="Calibri" w:hAnsi="Calibri" w:cs="Calibri"/>
          <w:sz w:val="22"/>
          <w:szCs w:val="22"/>
        </w:rPr>
      </w:pPr>
      <w:r w:rsidRPr="003E2229">
        <w:rPr>
          <w:rFonts w:ascii="Calibri" w:eastAsia="Times New Roman" w:hAnsi="Calibri" w:cs="Calibri"/>
          <w:color w:val="000000"/>
          <w:sz w:val="22"/>
          <w:szCs w:val="22"/>
          <w:lang w:val="en-US" w:eastAsia="es-ES_tradnl"/>
        </w:rPr>
        <w:t>Cells were lysed in ice-cold methanol/water (50/50 %v/v) for 15</w:t>
      </w:r>
      <w:r>
        <w:rPr>
          <w:rFonts w:ascii="Calibri" w:eastAsia="Times New Roman" w:hAnsi="Calibri" w:cs="Calibri"/>
          <w:color w:val="000000"/>
          <w:sz w:val="22"/>
          <w:szCs w:val="22"/>
          <w:lang w:val="en-US" w:eastAsia="es-ES_tradnl"/>
        </w:rPr>
        <w:t xml:space="preserve"> </w:t>
      </w:r>
      <w:r w:rsidRPr="003E2229">
        <w:rPr>
          <w:rFonts w:ascii="Calibri" w:eastAsia="Times New Roman" w:hAnsi="Calibri" w:cs="Calibri"/>
          <w:color w:val="000000"/>
          <w:sz w:val="22"/>
          <w:szCs w:val="22"/>
          <w:lang w:val="en-US" w:eastAsia="es-ES_tradnl"/>
        </w:rPr>
        <w:t>min</w:t>
      </w:r>
      <w:r>
        <w:rPr>
          <w:rFonts w:ascii="Calibri" w:eastAsia="Times New Roman" w:hAnsi="Calibri" w:cs="Calibri"/>
          <w:color w:val="000000"/>
          <w:sz w:val="22"/>
          <w:szCs w:val="22"/>
          <w:lang w:val="en-US" w:eastAsia="es-ES_tradnl"/>
        </w:rPr>
        <w:t>, three plates were pooled per point (cell type and treatment), and each point was measured in triplicate. H</w:t>
      </w:r>
      <w:r w:rsidRPr="003E2229">
        <w:rPr>
          <w:rFonts w:ascii="Calibri" w:eastAsia="Times New Roman" w:hAnsi="Calibri" w:cs="Calibri"/>
          <w:color w:val="000000"/>
          <w:sz w:val="22"/>
          <w:szCs w:val="22"/>
          <w:lang w:val="en-US" w:eastAsia="es-ES_tradnl"/>
        </w:rPr>
        <w:t>omogenates were extracted with the same volume of chloroform (1 h, 4</w:t>
      </w:r>
      <w:r w:rsidRPr="003E2229">
        <w:rPr>
          <w:rFonts w:ascii="Calibri" w:eastAsia="Times New Roman" w:hAnsi="Calibri" w:cs="Calibri"/>
          <w:color w:val="000000"/>
          <w:sz w:val="22"/>
          <w:szCs w:val="22"/>
          <w:lang w:val="en-US" w:eastAsia="es-ES_tradnl"/>
        </w:rPr>
        <w:sym w:font="Symbol" w:char="F0B0"/>
      </w:r>
      <w:r w:rsidRPr="003E2229">
        <w:rPr>
          <w:rFonts w:ascii="Calibri" w:eastAsia="Times New Roman" w:hAnsi="Calibri" w:cs="Calibri"/>
          <w:color w:val="000000"/>
          <w:sz w:val="22"/>
          <w:szCs w:val="22"/>
          <w:lang w:val="en-US" w:eastAsia="es-ES_tradnl"/>
        </w:rPr>
        <w:t>C), centrifuged (30 min, 13 rpm, 4</w:t>
      </w:r>
      <w:r w:rsidRPr="003E2229">
        <w:rPr>
          <w:rFonts w:ascii="Calibri" w:eastAsia="Times New Roman" w:hAnsi="Calibri" w:cs="Calibri"/>
          <w:color w:val="000000"/>
          <w:sz w:val="22"/>
          <w:szCs w:val="22"/>
          <w:lang w:val="en-US" w:eastAsia="es-ES_tradnl"/>
        </w:rPr>
        <w:sym w:font="Symbol" w:char="F0B0"/>
      </w:r>
      <w:r w:rsidRPr="003E2229">
        <w:rPr>
          <w:rFonts w:ascii="Calibri" w:eastAsia="Times New Roman" w:hAnsi="Calibri" w:cs="Calibri"/>
          <w:color w:val="000000"/>
          <w:sz w:val="22"/>
          <w:szCs w:val="22"/>
          <w:lang w:val="en-US" w:eastAsia="es-ES_tradnl"/>
        </w:rPr>
        <w:t>C) and the aqueous phase was kept at -80</w:t>
      </w:r>
      <w:r w:rsidRPr="003E2229">
        <w:rPr>
          <w:rFonts w:ascii="Calibri" w:eastAsia="Times New Roman" w:hAnsi="Calibri" w:cs="Calibri"/>
          <w:color w:val="000000"/>
          <w:sz w:val="22"/>
          <w:szCs w:val="22"/>
          <w:lang w:val="en-US" w:eastAsia="es-ES_tradnl"/>
        </w:rPr>
        <w:sym w:font="Symbol" w:char="F0B0"/>
      </w:r>
      <w:r w:rsidRPr="003E2229">
        <w:rPr>
          <w:rFonts w:ascii="Calibri" w:eastAsia="Times New Roman" w:hAnsi="Calibri" w:cs="Calibri"/>
          <w:color w:val="000000"/>
          <w:sz w:val="22"/>
          <w:szCs w:val="22"/>
          <w:lang w:val="en-US" w:eastAsia="es-ES_tradnl"/>
        </w:rPr>
        <w:t>C for 20 min. Subsequently, samples were evaporated (speedvac) and pellets were resuspended in water/acetonitrile (MeCN)(40/60 % v/v).</w:t>
      </w:r>
      <w:r>
        <w:rPr>
          <w:rFonts w:ascii="Calibri" w:eastAsia="Calibri" w:hAnsi="Calibri" w:cs="Calibri"/>
          <w:sz w:val="22"/>
          <w:szCs w:val="22"/>
          <w:lang w:val="en-US"/>
        </w:rPr>
        <w:t xml:space="preserve"> </w:t>
      </w:r>
      <w:r w:rsidRPr="003E2229">
        <w:rPr>
          <w:rFonts w:ascii="Calibri" w:eastAsia="Calibri" w:hAnsi="Calibri" w:cs="Calibri"/>
          <w:sz w:val="22"/>
          <w:szCs w:val="22"/>
          <w:lang w:val="en-US"/>
        </w:rPr>
        <w:t xml:space="preserve">Concentrations of metabolites were determined with a semi-quantitative method. Calibration curves were obtained by measuring serial dilutions of a pooled standard mixture in resuspension solution. The concentrations in the dilutions ranged from 100 µM to 0.025 µM. </w:t>
      </w:r>
      <w:r w:rsidRPr="003E2229">
        <w:rPr>
          <w:rFonts w:ascii="Calibri" w:hAnsi="Calibri" w:cs="Calibri"/>
          <w:sz w:val="22"/>
          <w:szCs w:val="22"/>
          <w:lang w:val="en-US"/>
        </w:rPr>
        <w:t xml:space="preserve">Samples were measured with a UPLC system (Acquity, Waters Inc.) coupled to a Time-of-Flight mass spectrometer (ToF-MS, SYNAPT G2, Waters Inc.). A 2.1 x 100 mm, 1.7 µm BEH amide column (Waters Inc.), thermostated at 40 °C, was used to separate the analytes before entering the MS. Solvent A (aqueous phase) consisted of 99.5% water, 0.5% formic acid and 20 mM ammonium formate while solvent B (organic phase) consisted of 29.5% water, 70% acetonitrile, </w:t>
      </w:r>
      <w:r w:rsidRPr="003E2229">
        <w:rPr>
          <w:rFonts w:ascii="Calibri" w:hAnsi="Calibri" w:cs="Calibri"/>
          <w:sz w:val="22"/>
          <w:szCs w:val="22"/>
          <w:lang w:val="en-US"/>
        </w:rPr>
        <w:lastRenderedPageBreak/>
        <w:t>0.5% formic acid and 1 mM ammonium formate.</w:t>
      </w:r>
      <w:r w:rsidRPr="003E2229">
        <w:rPr>
          <w:rFonts w:ascii="Calibri" w:hAnsi="Calibri" w:cs="Calibri"/>
          <w:b/>
          <w:bCs/>
          <w:sz w:val="22"/>
          <w:szCs w:val="22"/>
          <w:lang w:val="en-US"/>
        </w:rPr>
        <w:t xml:space="preserve"> </w:t>
      </w:r>
      <w:r w:rsidRPr="003E2229">
        <w:rPr>
          <w:rFonts w:ascii="Calibri" w:hAnsi="Calibri" w:cs="Calibri"/>
          <w:sz w:val="22"/>
          <w:szCs w:val="22"/>
          <w:lang w:val="en-US"/>
        </w:rPr>
        <w:t>To obtain a good separation of analytes the following gradient was used: from 5% A to 50% A in 2.4 minutes in curved gradient (#8, as defined by Waters</w:t>
      </w:r>
      <w:r>
        <w:rPr>
          <w:rFonts w:ascii="Calibri" w:hAnsi="Calibri" w:cs="Calibri"/>
          <w:sz w:val="22"/>
          <w:szCs w:val="22"/>
          <w:lang w:val="en-US"/>
        </w:rPr>
        <w:t xml:space="preserve"> Inc.</w:t>
      </w:r>
      <w:r w:rsidRPr="003E2229">
        <w:rPr>
          <w:rFonts w:ascii="Calibri" w:hAnsi="Calibri" w:cs="Calibri"/>
          <w:sz w:val="22"/>
          <w:szCs w:val="22"/>
          <w:lang w:val="en-US"/>
        </w:rPr>
        <w:t xml:space="preserve">), from 50% A to 99.9% A in 0.2 minutes constant at 99.9% A for 1.2 minutes, back to 5% A in 0.2 minutes. The flow rate was 0.250 mL/min and the injection volume was 4 µL. All samples were injected randomly. After every 9 injections a QC sample was injected. </w:t>
      </w:r>
      <w:r w:rsidRPr="003E2229">
        <w:rPr>
          <w:rFonts w:ascii="Calibri" w:hAnsi="Calibri" w:cs="Calibri"/>
          <w:color w:val="000000"/>
          <w:sz w:val="22"/>
          <w:szCs w:val="22"/>
          <w:lang w:val="en-US"/>
        </w:rPr>
        <w:t>The MS was operated in positive electrospray ionization in full scan mode.</w:t>
      </w:r>
      <w:r w:rsidRPr="003E2229">
        <w:rPr>
          <w:rFonts w:ascii="Calibri" w:hAnsi="Calibri" w:cs="Calibri"/>
          <w:sz w:val="22"/>
          <w:szCs w:val="22"/>
          <w:lang w:val="en-US"/>
        </w:rPr>
        <w:t xml:space="preserve"> T</w:t>
      </w:r>
      <w:r w:rsidRPr="003E2229">
        <w:rPr>
          <w:rFonts w:ascii="Calibri" w:hAnsi="Calibri" w:cs="Calibri"/>
          <w:color w:val="000000"/>
          <w:sz w:val="22"/>
          <w:szCs w:val="22"/>
          <w:lang w:val="en-US"/>
        </w:rPr>
        <w:t>he cone voltage was 25 V and capillary voltage was 250 V. Source temperature was set to 120 </w:t>
      </w:r>
      <w:r w:rsidRPr="003E2229">
        <w:rPr>
          <w:rFonts w:ascii="Calibri" w:hAnsi="Calibri" w:cs="Calibri"/>
          <w:sz w:val="22"/>
          <w:szCs w:val="22"/>
          <w:lang w:val="en-US"/>
        </w:rPr>
        <w:t>°C</w:t>
      </w:r>
      <w:r w:rsidRPr="003E2229">
        <w:rPr>
          <w:rFonts w:ascii="Calibri" w:hAnsi="Calibri" w:cs="Calibri"/>
          <w:color w:val="000000"/>
          <w:sz w:val="22"/>
          <w:szCs w:val="22"/>
          <w:lang w:val="en-US"/>
        </w:rPr>
        <w:t xml:space="preserve"> and capillary temperature to 450 </w:t>
      </w:r>
      <w:r w:rsidRPr="003E2229">
        <w:rPr>
          <w:rFonts w:ascii="Calibri" w:hAnsi="Calibri" w:cs="Calibri"/>
          <w:sz w:val="22"/>
          <w:szCs w:val="22"/>
          <w:lang w:val="en-US"/>
        </w:rPr>
        <w:t>°C</w:t>
      </w:r>
      <w:r w:rsidRPr="003E2229">
        <w:rPr>
          <w:rFonts w:ascii="Calibri" w:hAnsi="Calibri" w:cs="Calibri"/>
          <w:color w:val="000000"/>
          <w:sz w:val="22"/>
          <w:szCs w:val="22"/>
          <w:lang w:val="en-US"/>
        </w:rPr>
        <w:t xml:space="preserve">. The flow of the cone and desolvation gas (both nitrogen) were set to 5 L/h and 600 L/h, respectively. A 2 ng/mL leucine-enkephalin solution in water/acetonitrile/formic acid (49.9/50/0.1 %v/v/v) was infused at 10 µL/min and used for a lock mass which was measured each 36 seconds for 0.5 seconds. Spectral peaks were automatically corrected for deviations in the lock mass. </w:t>
      </w:r>
      <w:r w:rsidRPr="003E2229">
        <w:rPr>
          <w:rFonts w:ascii="Calibri" w:eastAsiaTheme="minorHAnsi" w:hAnsi="Calibri" w:cs="Calibri"/>
          <w:sz w:val="22"/>
          <w:szCs w:val="22"/>
          <w:lang w:val="en-US"/>
        </w:rPr>
        <w:t xml:space="preserve">Extracted ion traces for relevant analytes were obtained in a 20 mDa window in their expected </w:t>
      </w:r>
      <w:bookmarkStart w:id="0" w:name="_GoBack"/>
      <w:bookmarkEnd w:id="0"/>
      <w:r w:rsidRPr="003E2229">
        <w:rPr>
          <w:rFonts w:ascii="Calibri" w:eastAsiaTheme="minorHAnsi" w:hAnsi="Calibri" w:cs="Calibri"/>
          <w:sz w:val="22"/>
          <w:szCs w:val="22"/>
          <w:lang w:val="en-US"/>
        </w:rPr>
        <w:t xml:space="preserve">m/z-channels. These traces were subsequently smoothed and peak areas integrated with TargetLynx software. Signals of labelled analytes were corrected for naturally occurring isotopes. </w:t>
      </w:r>
      <w:r w:rsidRPr="003E2229">
        <w:rPr>
          <w:rFonts w:ascii="Calibri" w:hAnsi="Calibri" w:cs="Calibri"/>
          <w:sz w:val="22"/>
          <w:szCs w:val="22"/>
          <w:lang w:val="en-US"/>
        </w:rPr>
        <w:t xml:space="preserve">These calculated raw signals were adjusted for by median fold-change (MFC) adjustment. The MFC is based on the total amount of detected mass spectrometric features (unique retention time/mass pairs). The calculations and performance of the MFC adjustment factors </w:t>
      </w:r>
      <w:r w:rsidR="00C14A19">
        <w:rPr>
          <w:rFonts w:ascii="Calibri" w:hAnsi="Calibri" w:cs="Calibri"/>
          <w:sz w:val="22"/>
          <w:szCs w:val="22"/>
          <w:lang w:val="en-US"/>
        </w:rPr>
        <w:t xml:space="preserve">were performed as described </w:t>
      </w:r>
      <w:r w:rsidR="00C14A19">
        <w:rPr>
          <w:rFonts w:ascii="Calibri" w:hAnsi="Calibri" w:cs="Calibri"/>
          <w:sz w:val="22"/>
          <w:szCs w:val="22"/>
          <w:lang w:val="en-US"/>
        </w:rPr>
        <w:fldChar w:fldCharType="begin" w:fldLock="1"/>
      </w:r>
      <w:r w:rsidR="00922EA7">
        <w:rPr>
          <w:rFonts w:ascii="Calibri" w:hAnsi="Calibri" w:cs="Calibri"/>
          <w:sz w:val="22"/>
          <w:szCs w:val="22"/>
          <w:lang w:val="en-US"/>
        </w:rPr>
        <w:instrText>ADDIN CSL_CITATION {"citationItems":[{"id":"ITEM-1","itemData":{"DOI":"10.1021/ac051632c","ISSN":"00032700","PMID":"16808434","abstract":"For the analysis of the spectra of complex biofluids, preprocessing methods play a crucial role in rendering the subsequent data analyses more robust and accurate. Normalization is a preprocessing method, which accounts for different dilutions of samples by scaling the spectra to the same virtual overall concentration. In the field of 1H NMR metabonomics integral normalization, which scales spectra to the same total integral, is the de facto standard. In this work, it is shown that integral normalization is a suboptimal method for normalizing spectra from metabonomic studies. Especially strong metabonomic changes, evident as massive amounts of single metabolites in samples, significantly hamper the integral normalization resulting in incorrectly scaled spectra. The probabilistic quotient normalization is introduced in this work. This method is based on the calculation of a most probable dilution factor by looking at the distribution of the quotients of the amplitudes of a test spectrum by those of a reference spectrum. Simulated spectra, spectra of urine samples from a metabonomic study with cyclosporin-A as the active compound, and spectra of more than 4000 samples of control animals demonstrate that the probabilistic quotient normalization is by far more robust and more accurate than the widespread integral normalization and vector length normalization. © 2006 American Chemical Society.","author":[{"dropping-particle":"","family":"Dieterle","given":"Frank","non-dropping-particle":"","parse-names":false,"suffix":""},{"dropping-particle":"","family":"Ross","given":"Alfred","non-dropping-particle":"","parse-names":false,"suffix":""},{"dropping-particle":"","family":"Schlotterbeck","given":"Götz","non-dropping-particle":"","parse-names":false,"suffix":""},{"dropping-particle":"","family":"Senn","given":"Hans","non-dropping-particle":"","parse-names":false,"suffix":""}],"container-title":"Analytical Chemistry","id":"ITEM-1","issue":"13","issued":{"date-parts":[["2006","7","1"]]},"page":"4281-4290","title":"Probabilistic quotient normalization as robust method to account for dilution of complex biological mixtures. Application in1H NMR metabonomics","type":"article-journal","volume":"78"},"uris":["http://www.mendeley.com/documents/?uuid=6544fee4-d4cc-399d-a095-d50ee882404d"]},{"id":"ITEM-2","itemData":{"DOI":"10.1021/AC201065J","ISSN":"1520-6882","PMID":"21526840","abstract":"Ultra-performance liquid chromatography coupled to mass spectrometry (UPLC/MS) has been used increasingly for measuring changes of low molecular weight metabolites in biofluids/tissues in response to biological challenges such as drug toxicity and disease processes. Typically samples show high variability in concentration, and the derived metabolic profiles have a heteroscedastic noise structure characterized by increasing variance as a function of increased signal intensity. These sources of experimental and instrumental noise substantially complicate information recovery when statistical tools are used. We apply and compare several preprocessing procedures and introduce a statistical error model to account for these bioanalytical complexities. In particular, the use of total intensity, median fold change, locally weighted scatter plot smoothing, and quantile normalizations to reduce extraneous variance induced by sample dilution were compared. We demonstrate that the UPLC/MS peak intensities of urine samples should respond linearly to variable sample dilution across the intensity range. While all four studied normalization methods performed reasonably well in reducing dilution-induced variation of urine samples in the absence of biological variation, the median fold change normalization is least compromised by the biologically relevant changes in mixture components and is thus preferable. Additionally, the application of a subsequent log-based transformation was successful in stabilizing the variance with respect to peak intensity, confirming the predominant influence of multiplicative noise in peak intensities from UPLC/MS-derived metabolic profile data sets. We demonstrate that variance-stabilizing transformation and normalization are critical preprocessing steps that can benefit greatly metabolic information recovery from such data sets when widely applied chemometric methods are used. © 2011 American Chemical Society.","author":[{"dropping-particle":"","family":"Veselkov","given":"Kirill A.","non-dropping-particle":"","parse-names":false,"suffix":""},{"dropping-particle":"","family":"Vingara","given":"Lisa K.","non-dropping-particle":"","parse-names":false,"suffix":""},{"dropping-particle":"","family":"Masson","given":"Perrine","non-dropping-particle":"","parse-names":false,"suffix":""},{"dropping-particle":"","family":"Robinette","given":"Steven L.","non-dropping-particle":"","parse-names":false,"suffix":""},{"dropping-particle":"","family":"Want","given":"Elizabeth","non-dropping-particle":"","parse-names":false,"suffix":""},{"dropping-particle":"V.","family":"Li","given":"Jia","non-dropping-particle":"","parse-names":false,"suffix":""},{"dropping-particle":"","family":"Barton","given":"Richard H.","non-dropping-particle":"","parse-names":false,"suffix":""},{"dropping-particle":"","family":"Boursier-Neyret","given":"Claire","non-dropping-particle":"","parse-names":false,"suffix":""},{"dropping-particle":"","family":"Walther","given":"Bernard","non-dropping-particle":"","parse-names":false,"suffix":""},{"dropping-particle":"","family":"Ebbels","given":"Timothy M.","non-dropping-particle":"","parse-names":false,"suffix":""},{"dropping-particle":"","family":"Pelczer","given":"István","non-dropping-particle":"","parse-names":false,"suffix":""},{"dropping-particle":"","family":"Holmes","given":"Elaine","non-dropping-particle":"","parse-names":false,"suffix":""},{"dropping-particle":"","family":"Lindon","given":"John C.","non-dropping-particle":"","parse-names":false,"suffix":""},{"dropping-particle":"","family":"Nicholson","given":"Jeremy K.","non-dropping-particle":"","parse-names":false,"suffix":""}],"container-title":"Analytical chemistry","id":"ITEM-2","issue":"15","issued":{"date-parts":[["2011","8","1"]]},"page":"5864-5872","publisher":"Anal Chem","title":"Optimized preprocessing of ultra-performance liquid chromatography/mass spectrometry urinary metabolic profiles for improved information recovery","type":"article-journal","volume":"83"},"uris":["http://www.mendeley.com/documents/?uuid=512e1a87-6e8f-3d35-b65c-6e13af0ecb64"]}],"mendeley":{"formattedCitation":"(10,11)","plainTextFormattedCitation":"(10,11)","previouslyFormattedCitation":"(Dieterle et al. 2006; Veselkov et al. 2011)"},"properties":{"noteIndex":0},"schema":"https://github.com/citation-style-language/schema/raw/master/csl-citation.json"}</w:instrText>
      </w:r>
      <w:r w:rsidR="00C14A19">
        <w:rPr>
          <w:rFonts w:ascii="Calibri" w:hAnsi="Calibri" w:cs="Calibri"/>
          <w:sz w:val="22"/>
          <w:szCs w:val="22"/>
          <w:lang w:val="en-US"/>
        </w:rPr>
        <w:fldChar w:fldCharType="separate"/>
      </w:r>
      <w:r w:rsidR="00922EA7" w:rsidRPr="00922EA7">
        <w:rPr>
          <w:rFonts w:ascii="Calibri" w:hAnsi="Calibri" w:cs="Calibri"/>
          <w:noProof/>
          <w:sz w:val="22"/>
          <w:szCs w:val="22"/>
        </w:rPr>
        <w:t>(10,11)</w:t>
      </w:r>
      <w:r w:rsidR="00C14A19">
        <w:rPr>
          <w:rFonts w:ascii="Calibri" w:hAnsi="Calibri" w:cs="Calibri"/>
          <w:sz w:val="22"/>
          <w:szCs w:val="22"/>
          <w:lang w:val="en-US"/>
        </w:rPr>
        <w:fldChar w:fldCharType="end"/>
      </w:r>
      <w:r w:rsidR="00C14A19" w:rsidRPr="00922EA7">
        <w:rPr>
          <w:rFonts w:ascii="Calibri" w:hAnsi="Calibri" w:cs="Calibri"/>
          <w:sz w:val="22"/>
          <w:szCs w:val="22"/>
        </w:rPr>
        <w:t>.</w:t>
      </w:r>
    </w:p>
    <w:p w:rsidR="00C14A19" w:rsidRPr="00922EA7" w:rsidRDefault="00C14A19" w:rsidP="009C0021">
      <w:pPr>
        <w:spacing w:line="480" w:lineRule="auto"/>
        <w:jc w:val="both"/>
        <w:rPr>
          <w:rFonts w:ascii="Calibri" w:eastAsia="Calibri" w:hAnsi="Calibri" w:cs="Calibri"/>
          <w:sz w:val="22"/>
          <w:szCs w:val="22"/>
        </w:rPr>
      </w:pPr>
    </w:p>
    <w:p w:rsidR="00922EA7" w:rsidRPr="00922EA7" w:rsidRDefault="00C14A19" w:rsidP="00922EA7">
      <w:pPr>
        <w:widowControl w:val="0"/>
        <w:autoSpaceDE w:val="0"/>
        <w:autoSpaceDN w:val="0"/>
        <w:adjustRightInd w:val="0"/>
        <w:spacing w:line="480" w:lineRule="auto"/>
        <w:ind w:left="640" w:hanging="640"/>
        <w:rPr>
          <w:rFonts w:ascii="Calibri" w:hAnsi="Calibri" w:cs="Calibri"/>
          <w:noProof/>
          <w:sz w:val="22"/>
          <w:lang w:val="es-ES_tradnl"/>
        </w:rPr>
      </w:pPr>
      <w:r>
        <w:rPr>
          <w:rFonts w:ascii="Calibri" w:eastAsia="Calibri" w:hAnsi="Calibri" w:cs="Calibri"/>
          <w:sz w:val="22"/>
          <w:szCs w:val="22"/>
          <w:lang w:val="en-US"/>
        </w:rPr>
        <w:fldChar w:fldCharType="begin" w:fldLock="1"/>
      </w:r>
      <w:r w:rsidRPr="00922EA7">
        <w:rPr>
          <w:rFonts w:ascii="Calibri" w:eastAsia="Calibri" w:hAnsi="Calibri" w:cs="Calibri"/>
          <w:sz w:val="22"/>
          <w:szCs w:val="22"/>
        </w:rPr>
        <w:instrText xml:space="preserve">ADDIN Mendeley Bibliography CSL_BIBLIOGRAPHY </w:instrText>
      </w:r>
      <w:r>
        <w:rPr>
          <w:rFonts w:ascii="Calibri" w:eastAsia="Calibri" w:hAnsi="Calibri" w:cs="Calibri"/>
          <w:sz w:val="22"/>
          <w:szCs w:val="22"/>
          <w:lang w:val="en-US"/>
        </w:rPr>
        <w:fldChar w:fldCharType="separate"/>
      </w:r>
      <w:r w:rsidR="00922EA7" w:rsidRPr="00922EA7">
        <w:rPr>
          <w:rFonts w:ascii="Calibri" w:hAnsi="Calibri" w:cs="Calibri"/>
          <w:noProof/>
          <w:sz w:val="22"/>
          <w:lang w:val="es-ES_tradnl"/>
        </w:rPr>
        <w:t xml:space="preserve">1. </w:t>
      </w:r>
      <w:r w:rsidR="00922EA7" w:rsidRPr="00922EA7">
        <w:rPr>
          <w:rFonts w:ascii="Calibri" w:hAnsi="Calibri" w:cs="Calibri"/>
          <w:noProof/>
          <w:sz w:val="22"/>
          <w:lang w:val="es-ES_tradnl"/>
        </w:rPr>
        <w:tab/>
        <w:t>Nadkarni MA, Martin FE, Jacques NA, Hunter N. Determination of bacterial load by real-time PCR using a broad-range (universal) probe and primers set. Microbiology [Internet]. 2002 [cited 2022 Feb 28];148(Pt 1):257–66. Available from: https://pubmed.ncbi.nlm.nih.gov/11782518/</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2. </w:t>
      </w:r>
      <w:r w:rsidRPr="00922EA7">
        <w:rPr>
          <w:rFonts w:ascii="Calibri" w:hAnsi="Calibri" w:cs="Calibri"/>
          <w:noProof/>
          <w:sz w:val="22"/>
          <w:lang w:val="es-ES_tradnl"/>
        </w:rPr>
        <w:tab/>
        <w:t xml:space="preserve">Alvarez-Sola G, Uriarte I, Latasa MU, Fernandez-Barrena MG, Urtasun R, Elizalde M, et al. Fibroblast growth factor 15/19 (FGF15/19) protects from diet-induced hepatic steatosis: development of an FGF19-based chimeric molecule to promote fatty liver </w:t>
      </w:r>
      <w:r w:rsidRPr="00922EA7">
        <w:rPr>
          <w:rFonts w:ascii="Calibri" w:hAnsi="Calibri" w:cs="Calibri"/>
          <w:noProof/>
          <w:sz w:val="22"/>
          <w:lang w:val="es-ES_tradnl"/>
        </w:rPr>
        <w:lastRenderedPageBreak/>
        <w:t xml:space="preserve">regeneration. Gut. 2017;66(10):1818–28. </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3. </w:t>
      </w:r>
      <w:r w:rsidRPr="00922EA7">
        <w:rPr>
          <w:rFonts w:ascii="Calibri" w:hAnsi="Calibri" w:cs="Calibri"/>
          <w:noProof/>
          <w:sz w:val="22"/>
          <w:lang w:val="es-ES_tradnl"/>
        </w:rPr>
        <w:tab/>
        <w:t>Albóniga OE, Jiménez D, Sánchez-Conde M, Vizcarra P, Ron R, Herrera S, et al. Metabolic Snapshot of Plasma Samples Reveals New Pathways Implicated in SARS-CoV-2 Pathogenesis. J Proteome Res [Internet]. 2022 [cited 2022 Feb 17];acs.jproteome.1c00786. Available from: https://pubmed.ncbi.nlm.nih.gov/35133846/</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4. </w:t>
      </w:r>
      <w:r w:rsidRPr="00922EA7">
        <w:rPr>
          <w:rFonts w:ascii="Calibri" w:hAnsi="Calibri" w:cs="Calibri"/>
          <w:noProof/>
          <w:sz w:val="22"/>
          <w:lang w:val="es-ES_tradnl"/>
        </w:rPr>
        <w:tab/>
        <w:t>Gil-De-La-Fuente A, Godzien J, Saugar S, Garcia-Carmona R, Badran H, Wishart DS, et al. CEU Mass Mediator 3.0: A Metabolite Annotation Tool. J Proteome Res [Internet]. 2019 Feb 1 [cited 2022 Feb 17];18(2):797–802. Available from: https://pubmed.ncbi.nlm.nih.gov/30574788/</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5. </w:t>
      </w:r>
      <w:r w:rsidRPr="00922EA7">
        <w:rPr>
          <w:rFonts w:ascii="Calibri" w:hAnsi="Calibri" w:cs="Calibri"/>
          <w:noProof/>
          <w:sz w:val="22"/>
          <w:lang w:val="es-ES_tradnl"/>
        </w:rPr>
        <w:tab/>
        <w:t>Naz S, Garcia A, Rusak M, Barbas C. Method development and validation for rat serum fingerprinting with CE-MS: application to ventilator-induced-lung-injury study. Anal Bioanal Chem [Internet]. 2013 May 1 [cited 2022 Feb 17];405(14):4849–58. Available from: https://pubmed.ncbi.nlm.nih.gov/23535741/</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6. </w:t>
      </w:r>
      <w:r w:rsidRPr="00922EA7">
        <w:rPr>
          <w:rFonts w:ascii="Calibri" w:hAnsi="Calibri" w:cs="Calibri"/>
          <w:noProof/>
          <w:sz w:val="22"/>
          <w:lang w:val="es-ES_tradnl"/>
        </w:rPr>
        <w:tab/>
        <w:t>Colyn L, Bárcena-Varela M, Álvarez-Sola G, Latasa MU, Uriarte I, Santamaría E, et al. Dual Targeting of G9a and DNA Methyltransferase-1 for the Treatment of Experimental Cholangiocarcinoma. Hepatology [Internet]. 2021 Jun 1 [cited 2021 Dec 7];73(6):2380–96. Available from: https://pubmed.ncbi.nlm.nih.gov/33222246/</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7. </w:t>
      </w:r>
      <w:r w:rsidRPr="00922EA7">
        <w:rPr>
          <w:rFonts w:ascii="Calibri" w:hAnsi="Calibri" w:cs="Calibri"/>
          <w:noProof/>
          <w:sz w:val="22"/>
          <w:lang w:val="es-ES_tradnl"/>
        </w:rPr>
        <w:tab/>
        <w:t>Nakamura H, Arai Y, Totoki Y, Shirota T, Elzawahry A, Kato M, et al. Genomic spectra of biliary tract cancer. Nat Genet [Internet]. 2015 Sep 10 [cited 2019 Apr 16];47(9):1003–10. Available from: http://www.nature.com/articles/ng.3375</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8. </w:t>
      </w:r>
      <w:r w:rsidRPr="00922EA7">
        <w:rPr>
          <w:rFonts w:ascii="Calibri" w:hAnsi="Calibri" w:cs="Calibri"/>
          <w:noProof/>
          <w:sz w:val="22"/>
          <w:lang w:val="es-ES_tradnl"/>
        </w:rPr>
        <w:tab/>
        <w:t>Bárcena-Varela M, Caruso S, Llerena S, Álvarez-Sola G, Uriarte I, Latasa MU, et al. Dual Targeting of Histone Methyltransferase G9a and DNA-Methyltransferase 1 for the Treatment of Experimental Hepatocellular Carcinoma. Hepatology [Internet]. 2019 Feb [cited 2019 Apr 16];69(2):587–603. Available from: http://doi.wiley.com/10.1002/hep.30168</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lastRenderedPageBreak/>
        <w:t xml:space="preserve">9. </w:t>
      </w:r>
      <w:r w:rsidRPr="00922EA7">
        <w:rPr>
          <w:rFonts w:ascii="Calibri" w:hAnsi="Calibri" w:cs="Calibri"/>
          <w:noProof/>
          <w:sz w:val="22"/>
          <w:lang w:val="es-ES_tradnl"/>
        </w:rPr>
        <w:tab/>
        <w:t>Recalde M, Gárate-Rascón M, Elizalde M, Azkona M, Latasa MU, Bárcena-Varela M, et al. The splicing regulator SLU7 is required to preserve DNMT1 protein stability and DNA methylation. Nucleic Acids Res [Internet]. 2021 Sep 7 [cited 2022 Feb 16];49(15):8592–609. Available from: https://pubmed.ncbi.nlm.nih.gov/34331453/</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lang w:val="es-ES_tradnl"/>
        </w:rPr>
      </w:pPr>
      <w:r w:rsidRPr="00922EA7">
        <w:rPr>
          <w:rFonts w:ascii="Calibri" w:hAnsi="Calibri" w:cs="Calibri"/>
          <w:noProof/>
          <w:sz w:val="22"/>
          <w:lang w:val="es-ES_tradnl"/>
        </w:rPr>
        <w:t xml:space="preserve">10. </w:t>
      </w:r>
      <w:r w:rsidRPr="00922EA7">
        <w:rPr>
          <w:rFonts w:ascii="Calibri" w:hAnsi="Calibri" w:cs="Calibri"/>
          <w:noProof/>
          <w:sz w:val="22"/>
          <w:lang w:val="es-ES_tradnl"/>
        </w:rPr>
        <w:tab/>
        <w:t xml:space="preserve">Dieterle F, Ross A, Schlotterbeck G, Senn H. Probabilistic quotient normalization as robust method to account for dilution of complex biological mixtures. Application in1H NMR metabonomics. Anal Chem. 2006 Jul 1;78(13):4281–90. </w:t>
      </w:r>
    </w:p>
    <w:p w:rsidR="00922EA7" w:rsidRPr="00922EA7" w:rsidRDefault="00922EA7" w:rsidP="00922EA7">
      <w:pPr>
        <w:widowControl w:val="0"/>
        <w:autoSpaceDE w:val="0"/>
        <w:autoSpaceDN w:val="0"/>
        <w:adjustRightInd w:val="0"/>
        <w:spacing w:line="480" w:lineRule="auto"/>
        <w:ind w:left="640" w:hanging="640"/>
        <w:rPr>
          <w:rFonts w:ascii="Calibri" w:hAnsi="Calibri" w:cs="Calibri"/>
          <w:noProof/>
          <w:sz w:val="22"/>
        </w:rPr>
      </w:pPr>
      <w:r w:rsidRPr="00922EA7">
        <w:rPr>
          <w:rFonts w:ascii="Calibri" w:hAnsi="Calibri" w:cs="Calibri"/>
          <w:noProof/>
          <w:sz w:val="22"/>
          <w:lang w:val="es-ES_tradnl"/>
        </w:rPr>
        <w:t xml:space="preserve">11. </w:t>
      </w:r>
      <w:r w:rsidRPr="00922EA7">
        <w:rPr>
          <w:rFonts w:ascii="Calibri" w:hAnsi="Calibri" w:cs="Calibri"/>
          <w:noProof/>
          <w:sz w:val="22"/>
          <w:lang w:val="es-ES_tradnl"/>
        </w:rPr>
        <w:tab/>
        <w:t>Veselkov KA, Vingara LK, Masson P, Robinette SL, Want E, Li J V., et al. Optimized preprocessing of ultra-performance liquid chromatography/mass spectrometry urinary metabolic profiles for improved information recovery. Anal Chem [Internet]. 2011 Aug 1 [cited 2022 Mar 10];83(15):5864–72. Available from: https://pubmed.ncbi.nlm.nih.gov/21526840/</w:t>
      </w:r>
    </w:p>
    <w:p w:rsidR="00C14A19" w:rsidRPr="009C0021" w:rsidRDefault="00C14A19" w:rsidP="00922EA7">
      <w:pPr>
        <w:widowControl w:val="0"/>
        <w:autoSpaceDE w:val="0"/>
        <w:autoSpaceDN w:val="0"/>
        <w:adjustRightInd w:val="0"/>
        <w:spacing w:line="480" w:lineRule="auto"/>
        <w:ind w:left="480" w:hanging="480"/>
        <w:rPr>
          <w:rFonts w:ascii="Calibri" w:eastAsia="Calibri" w:hAnsi="Calibri" w:cs="Calibri"/>
          <w:sz w:val="22"/>
          <w:szCs w:val="22"/>
          <w:lang w:val="en-US"/>
        </w:rPr>
      </w:pPr>
      <w:r>
        <w:rPr>
          <w:rFonts w:ascii="Calibri" w:eastAsia="Calibri" w:hAnsi="Calibri" w:cs="Calibri"/>
          <w:sz w:val="22"/>
          <w:szCs w:val="22"/>
          <w:lang w:val="en-US"/>
        </w:rPr>
        <w:fldChar w:fldCharType="end"/>
      </w:r>
    </w:p>
    <w:p w:rsidR="00AA37B9" w:rsidRPr="009C0021" w:rsidRDefault="00276A1A">
      <w:pPr>
        <w:rPr>
          <w:lang w:val="en-US"/>
        </w:rPr>
      </w:pPr>
    </w:p>
    <w:sectPr w:rsidR="00AA37B9" w:rsidRPr="009C0021" w:rsidSect="00CC07B6">
      <w:footerReference w:type="even" r:id="rId7"/>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A1A" w:rsidRDefault="00276A1A" w:rsidP="00922EA7">
      <w:r>
        <w:separator/>
      </w:r>
    </w:p>
  </w:endnote>
  <w:endnote w:type="continuationSeparator" w:id="0">
    <w:p w:rsidR="00276A1A" w:rsidRDefault="00276A1A" w:rsidP="0092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389870354"/>
      <w:docPartObj>
        <w:docPartGallery w:val="Page Numbers (Bottom of Page)"/>
        <w:docPartUnique/>
      </w:docPartObj>
    </w:sdtPr>
    <w:sdtContent>
      <w:p w:rsidR="00922EA7" w:rsidRDefault="00922EA7" w:rsidP="00B6657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922EA7" w:rsidRDefault="00922EA7" w:rsidP="00922EA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3867143"/>
      <w:docPartObj>
        <w:docPartGallery w:val="Page Numbers (Bottom of Page)"/>
        <w:docPartUnique/>
      </w:docPartObj>
    </w:sdtPr>
    <w:sdtContent>
      <w:p w:rsidR="00922EA7" w:rsidRDefault="00922EA7" w:rsidP="00B6657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922EA7" w:rsidRDefault="00922EA7" w:rsidP="00922EA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A1A" w:rsidRDefault="00276A1A" w:rsidP="00922EA7">
      <w:r>
        <w:separator/>
      </w:r>
    </w:p>
  </w:footnote>
  <w:footnote w:type="continuationSeparator" w:id="0">
    <w:p w:rsidR="00276A1A" w:rsidRDefault="00276A1A" w:rsidP="00922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21"/>
    <w:rsid w:val="001C386F"/>
    <w:rsid w:val="0022427A"/>
    <w:rsid w:val="00276A1A"/>
    <w:rsid w:val="00324A40"/>
    <w:rsid w:val="004C0E25"/>
    <w:rsid w:val="006E0A69"/>
    <w:rsid w:val="00922EA7"/>
    <w:rsid w:val="00975A16"/>
    <w:rsid w:val="009C0021"/>
    <w:rsid w:val="00B90EAA"/>
    <w:rsid w:val="00C14A19"/>
    <w:rsid w:val="00CC07B6"/>
    <w:rsid w:val="00F00BF7"/>
    <w:rsid w:val="00F626DD"/>
    <w:rsid w:val="00FE48E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7BF9"/>
  <w14:defaultImageDpi w14:val="32767"/>
  <w15:chartTrackingRefBased/>
  <w15:docId w15:val="{AA75056C-C37A-1342-9EA9-5980675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C0021"/>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22EA7"/>
    <w:pPr>
      <w:tabs>
        <w:tab w:val="center" w:pos="4419"/>
        <w:tab w:val="right" w:pos="8838"/>
      </w:tabs>
    </w:pPr>
  </w:style>
  <w:style w:type="character" w:customStyle="1" w:styleId="PiedepginaCar">
    <w:name w:val="Pie de página Car"/>
    <w:basedOn w:val="Fuentedeprrafopredeter"/>
    <w:link w:val="Piedepgina"/>
    <w:uiPriority w:val="99"/>
    <w:rsid w:val="00922EA7"/>
    <w:rPr>
      <w:rFonts w:eastAsiaTheme="minorEastAsia"/>
      <w:lang w:val="es-ES" w:eastAsia="es-ES"/>
    </w:rPr>
  </w:style>
  <w:style w:type="character" w:styleId="Nmerodepgina">
    <w:name w:val="page number"/>
    <w:basedOn w:val="Fuentedeprrafopredeter"/>
    <w:uiPriority w:val="99"/>
    <w:semiHidden/>
    <w:unhideWhenUsed/>
    <w:rsid w:val="00922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en de título" Version="2003"/>
</file>

<file path=customXml/itemProps1.xml><?xml version="1.0" encoding="utf-8"?>
<ds:datastoreItem xmlns:ds="http://schemas.openxmlformats.org/officeDocument/2006/customXml" ds:itemID="{F90FBF4B-6DE2-5E4A-918D-31A329E1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10442</Words>
  <Characters>57432</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Matías Ávila Zaragozá</dc:creator>
  <cp:keywords/>
  <dc:description/>
  <cp:lastModifiedBy>Matías Ávila Zaragozá</cp:lastModifiedBy>
  <cp:revision>6</cp:revision>
  <dcterms:created xsi:type="dcterms:W3CDTF">2022-04-29T09:11:00Z</dcterms:created>
  <dcterms:modified xsi:type="dcterms:W3CDTF">2022-05-01T16:42:00Z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http://www.zotero.org/styles/elsevier-vancouver</vt:lpwstr>
  </property>
  <property fmtid="{D5CDD505-2E9C-101B-9397-08002B2CF9AE}" pid="9" name="Mendeley Recent Style Name 3_1">
    <vt:lpwstr>Elsevier - Vancouver</vt:lpwstr>
  </property>
  <property fmtid="{D5CDD505-2E9C-101B-9397-08002B2CF9AE}" pid="10" name="Mendeley Recent Style Id 4_1">
    <vt:lpwstr>http://www.zotero.org/styles/gastroenterology</vt:lpwstr>
  </property>
  <property fmtid="{D5CDD505-2E9C-101B-9397-08002B2CF9AE}" pid="11" name="Mendeley Recent Style Name 4_1">
    <vt:lpwstr>Gastroenterology</vt:lpwstr>
  </property>
  <property fmtid="{D5CDD505-2E9C-101B-9397-08002B2CF9AE}" pid="12" name="Mendeley Recent Style Id 5_1">
    <vt:lpwstr>http://www.zotero.org/styles/gut</vt:lpwstr>
  </property>
  <property fmtid="{D5CDD505-2E9C-101B-9397-08002B2CF9AE}" pid="13" name="Mendeley Recent Style Name 5_1">
    <vt:lpwstr>Gut</vt:lpwstr>
  </property>
  <property fmtid="{D5CDD505-2E9C-101B-9397-08002B2CF9AE}" pid="14" name="Mendeley Recent Style Id 6_1">
    <vt:lpwstr>http://csl.mendeley.com/styles/533491171/hepatologydeverdad</vt:lpwstr>
  </property>
  <property fmtid="{D5CDD505-2E9C-101B-9397-08002B2CF9AE}" pid="15" name="Mendeley Recent Style Name 6_1">
    <vt:lpwstr>Hepatology - Matias Avila</vt:lpwstr>
  </property>
  <property fmtid="{D5CDD505-2E9C-101B-9397-08002B2CF9AE}" pid="16" name="Mendeley Recent Style Id 7_1">
    <vt:lpwstr>http://www.zotero.org/styles/jhep-reports</vt:lpwstr>
  </property>
  <property fmtid="{D5CDD505-2E9C-101B-9397-08002B2CF9AE}" pid="17" name="Mendeley Recent Style Name 7_1">
    <vt:lpwstr>JHEP Reports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a4efebbb-5e05-325d-aa99-c012e72742b1</vt:lpwstr>
  </property>
  <property fmtid="{D5CDD505-2E9C-101B-9397-08002B2CF9AE}" pid="24" name="Mendeley Citation Style_1">
    <vt:lpwstr>http://www.zotero.org/styles/vancouver</vt:lpwstr>
  </property>
</Properties>
</file>