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cs="Times New Roman"/>
          <w:b/>
          <w:bCs/>
          <w:sz w:val="20"/>
          <w:szCs w:val="28"/>
        </w:rPr>
      </w:pPr>
      <w:r>
        <w:rPr>
          <w:rFonts w:hint="eastAsia" w:ascii="Times New Roman" w:hAnsi="Times New Roman" w:cs="Times New Roman"/>
          <w:b/>
          <w:bCs/>
          <w:szCs w:val="32"/>
        </w:rPr>
        <w:t>S</w:t>
      </w:r>
      <w:r>
        <w:rPr>
          <w:rFonts w:ascii="Times New Roman" w:hAnsi="Times New Roman" w:cs="Times New Roman"/>
          <w:b/>
          <w:bCs/>
          <w:szCs w:val="32"/>
        </w:rPr>
        <w:t>upplementary information</w:t>
      </w:r>
      <w:bookmarkStart w:id="1" w:name="_GoBack"/>
      <w:bookmarkEnd w:id="1"/>
    </w:p>
    <w:p>
      <w:pPr>
        <w:rPr>
          <w:rFonts w:ascii="Times New Roman" w:hAnsi="Times New Roman" w:cs="Arial"/>
          <w:b/>
          <w:bCs/>
          <w:sz w:val="20"/>
          <w:szCs w:val="20"/>
        </w:rPr>
      </w:pPr>
      <w:r>
        <w:rPr>
          <w:rFonts w:ascii="Times New Roman" w:hAnsi="Times New Roman" w:cs="Arial"/>
          <w:b/>
          <w:bCs/>
          <w:sz w:val="20"/>
          <w:szCs w:val="20"/>
        </w:rPr>
        <w:t xml:space="preserve">Figure S1. </w:t>
      </w:r>
    </w:p>
    <w:p>
      <w:pPr>
        <w:widowControl/>
        <w:rPr>
          <w:rFonts w:ascii="Times New Roman" w:hAnsi="Times New Roman" w:cs="Arial"/>
          <w:sz w:val="20"/>
          <w:szCs w:val="20"/>
        </w:rPr>
      </w:pPr>
      <w:bookmarkStart w:id="0" w:name="_Hlk101634516"/>
      <w:r>
        <w:rPr>
          <w:rFonts w:ascii="Times New Roman" w:hAnsi="Times New Roman" w:cs="Arial"/>
          <w:sz w:val="20"/>
          <w:szCs w:val="20"/>
        </w:rPr>
        <w:t>(A) Relative expression of the 5 candidate circRNAs in human HCC tissues and adjacent nontumor tissues of 20 patients.</w:t>
      </w:r>
    </w:p>
    <w:p>
      <w:pPr>
        <w:widowControl/>
        <w:rPr>
          <w:rFonts w:ascii="Times New Roman" w:hAnsi="Times New Roman" w:cs="Arial"/>
          <w:sz w:val="20"/>
          <w:szCs w:val="20"/>
        </w:rPr>
      </w:pPr>
      <w:r>
        <w:rPr>
          <w:rFonts w:ascii="Times New Roman" w:hAnsi="Times New Roman" w:cs="Arial"/>
          <w:sz w:val="20"/>
          <w:szCs w:val="20"/>
        </w:rPr>
        <w:t>(B) Cell cycle was performed in the three groups. Data were shown as mean ± SEM.</w:t>
      </w:r>
    </w:p>
    <w:p>
      <w:pPr>
        <w:widowControl/>
        <w:rPr>
          <w:rFonts w:hint="eastAsia" w:ascii="Times New Roman" w:hAnsi="Times New Roman" w:cs="Arial" w:eastAsiaTheme="minorEastAsia"/>
          <w:sz w:val="20"/>
          <w:szCs w:val="20"/>
          <w:lang w:eastAsia="zh-CN"/>
        </w:rPr>
      </w:pPr>
      <w:r>
        <w:rPr>
          <w:rFonts w:hint="eastAsia" w:ascii="Times New Roman" w:hAnsi="Times New Roman" w:cs="Arial" w:eastAsiaTheme="minorEastAsia"/>
          <w:sz w:val="20"/>
          <w:szCs w:val="20"/>
          <w:lang w:eastAsia="zh-CN"/>
        </w:rPr>
        <w:drawing>
          <wp:inline distT="0" distB="0" distL="114300" distR="114300">
            <wp:extent cx="5488940" cy="6259195"/>
            <wp:effectExtent l="0" t="0" r="10160" b="190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8940" cy="625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Arial"/>
          <w:b/>
          <w:bCs/>
          <w:sz w:val="20"/>
          <w:szCs w:val="20"/>
        </w:rPr>
      </w:pPr>
      <w:r>
        <w:rPr>
          <w:rFonts w:ascii="Times New Roman" w:hAnsi="Times New Roman" w:cs="Arial"/>
          <w:b/>
          <w:bCs/>
          <w:sz w:val="20"/>
          <w:szCs w:val="20"/>
        </w:rPr>
        <w:t xml:space="preserve">Figure S2. </w:t>
      </w:r>
    </w:p>
    <w:p>
      <w:pPr>
        <w:widowControl/>
        <w:rPr>
          <w:rFonts w:ascii="Times New Roman" w:hAnsi="Times New Roman" w:cs="Arial"/>
          <w:sz w:val="20"/>
          <w:szCs w:val="20"/>
        </w:rPr>
      </w:pPr>
      <w:r>
        <w:rPr>
          <w:rFonts w:ascii="Times New Roman" w:hAnsi="Times New Roman" w:cs="Arial"/>
          <w:sz w:val="20"/>
          <w:szCs w:val="20"/>
        </w:rPr>
        <w:t>(A) Size distribution of CS/si-circPAK1 nanocomplexes (CS/si-circPAK1=50/1).</w:t>
      </w:r>
    </w:p>
    <w:p>
      <w:pPr>
        <w:widowControl/>
        <w:rPr>
          <w:rFonts w:ascii="Times New Roman" w:hAnsi="Times New Roman" w:cs="Arial"/>
          <w:sz w:val="20"/>
          <w:szCs w:val="20"/>
        </w:rPr>
      </w:pPr>
      <w:r>
        <w:rPr>
          <w:rFonts w:ascii="Times New Roman" w:hAnsi="Times New Roman" w:cs="Arial"/>
          <w:sz w:val="20"/>
          <w:szCs w:val="20"/>
        </w:rPr>
        <w:t>(B) Zeta potential of CS/si-circPAK1 nanocomplexes (CS/si-circPAK1=50/1).</w:t>
      </w:r>
    </w:p>
    <w:p>
      <w:pPr>
        <w:widowControl/>
        <w:rPr>
          <w:rFonts w:hint="eastAsia" w:ascii="Times New Roman" w:hAnsi="Times New Roman" w:cs="Arial" w:eastAsiaTheme="minorEastAsia"/>
          <w:sz w:val="20"/>
          <w:szCs w:val="20"/>
          <w:lang w:val="en-US" w:eastAsia="zh-CN"/>
        </w:rPr>
      </w:pPr>
      <w:r>
        <w:rPr>
          <w:rFonts w:ascii="Times New Roman" w:hAnsi="Times New Roman" w:cs="Arial"/>
          <w:sz w:val="20"/>
          <w:szCs w:val="20"/>
        </w:rPr>
        <w:t>(C) Release curve of si-circPAK1</w:t>
      </w:r>
      <w:r>
        <w:rPr>
          <w:rFonts w:hint="eastAsia" w:ascii="Times New Roman" w:hAnsi="Times New Roman" w:cs="Arial"/>
          <w:sz w:val="20"/>
          <w:szCs w:val="20"/>
          <w:lang w:val="en-US" w:eastAsia="zh-CN"/>
        </w:rPr>
        <w:t>.</w:t>
      </w:r>
    </w:p>
    <w:p>
      <w:pPr>
        <w:widowControl/>
        <w:rPr>
          <w:rFonts w:ascii="Times New Roman" w:hAnsi="Times New Roman" w:cs="Arial"/>
          <w:sz w:val="20"/>
          <w:szCs w:val="20"/>
        </w:rPr>
      </w:pPr>
      <w:r>
        <w:rPr>
          <w:rFonts w:ascii="Times New Roman" w:hAnsi="Times New Roman" w:cs="Arial"/>
          <w:sz w:val="20"/>
          <w:szCs w:val="20"/>
        </w:rPr>
        <w:t>(D) IHC analysis of Ki-67 in the tumors derived from mice, scale bar, 50μm.</w:t>
      </w:r>
    </w:p>
    <w:p>
      <w:pPr>
        <w:widowControl/>
        <w:rPr>
          <w:rFonts w:hint="eastAsia" w:ascii="Times New Roman" w:hAnsi="Times New Roman" w:cs="Arial" w:eastAsiaTheme="minorEastAsia"/>
          <w:sz w:val="20"/>
          <w:szCs w:val="20"/>
          <w:lang w:eastAsia="zh-CN"/>
        </w:rPr>
      </w:pPr>
      <w:r>
        <w:rPr>
          <w:rFonts w:hint="eastAsia" w:ascii="Times New Roman" w:hAnsi="Times New Roman" w:cs="Arial" w:eastAsiaTheme="minorEastAsia"/>
          <w:sz w:val="20"/>
          <w:szCs w:val="20"/>
          <w:lang w:eastAsia="zh-CN"/>
        </w:rPr>
        <w:drawing>
          <wp:inline distT="0" distB="0" distL="114300" distR="114300">
            <wp:extent cx="5488940" cy="3793490"/>
            <wp:effectExtent l="0" t="0" r="10160" b="3810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8940" cy="379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Arial"/>
          <w:b/>
          <w:bCs/>
          <w:sz w:val="20"/>
          <w:szCs w:val="20"/>
        </w:rPr>
      </w:pPr>
      <w:r>
        <w:rPr>
          <w:rFonts w:ascii="Times New Roman" w:hAnsi="Times New Roman" w:cs="Arial"/>
          <w:b/>
          <w:bCs/>
          <w:sz w:val="20"/>
          <w:szCs w:val="20"/>
        </w:rPr>
        <w:t>Figure S3. The positive effect of circPAK1 on HCC progression was rescued by YAP silencing.</w:t>
      </w:r>
    </w:p>
    <w:p>
      <w:pPr>
        <w:widowControl/>
        <w:jc w:val="left"/>
        <w:rPr>
          <w:rFonts w:ascii="Times New Roman" w:hAnsi="Times New Roman" w:cs="Arial"/>
          <w:sz w:val="20"/>
          <w:szCs w:val="20"/>
        </w:rPr>
      </w:pPr>
      <w:r>
        <w:rPr>
          <w:rFonts w:hint="eastAsia" w:ascii="Times New Roman" w:hAnsi="Times New Roman" w:cs="Arial"/>
          <w:sz w:val="20"/>
          <w:szCs w:val="20"/>
        </w:rPr>
        <w:t>(</w:t>
      </w:r>
      <w:r>
        <w:rPr>
          <w:rFonts w:ascii="Times New Roman" w:hAnsi="Times New Roman" w:cs="Arial"/>
          <w:sz w:val="20"/>
          <w:szCs w:val="20"/>
        </w:rPr>
        <w:t>A) The silencing efficiency of si-YAP in Lv-circPAK1 Hep-3B cells was determined by qRT-PCR.</w:t>
      </w:r>
    </w:p>
    <w:p>
      <w:pPr>
        <w:widowControl/>
        <w:jc w:val="left"/>
        <w:rPr>
          <w:rFonts w:ascii="Times New Roman" w:hAnsi="Times New Roman" w:cs="Arial"/>
          <w:sz w:val="20"/>
          <w:szCs w:val="20"/>
        </w:rPr>
      </w:pPr>
      <w:r>
        <w:rPr>
          <w:rFonts w:ascii="Times New Roman" w:hAnsi="Times New Roman" w:cs="Arial"/>
          <w:sz w:val="20"/>
          <w:szCs w:val="20"/>
        </w:rPr>
        <w:t>(B) The colony formation assay of Hep-3B cells transfected Lv-circPAK1 and YAP siRNA.</w:t>
      </w:r>
    </w:p>
    <w:p>
      <w:pPr>
        <w:widowControl/>
        <w:jc w:val="left"/>
        <w:rPr>
          <w:rFonts w:ascii="Times New Roman" w:hAnsi="Times New Roman" w:cs="Arial"/>
          <w:sz w:val="20"/>
          <w:szCs w:val="20"/>
        </w:rPr>
      </w:pPr>
      <w:r>
        <w:rPr>
          <w:rFonts w:hint="eastAsia" w:ascii="Times New Roman" w:hAnsi="Times New Roman" w:cs="Arial"/>
          <w:sz w:val="20"/>
          <w:szCs w:val="20"/>
        </w:rPr>
        <w:t>(</w:t>
      </w:r>
      <w:r>
        <w:rPr>
          <w:rFonts w:ascii="Times New Roman" w:hAnsi="Times New Roman" w:cs="Arial"/>
          <w:sz w:val="20"/>
          <w:szCs w:val="20"/>
        </w:rPr>
        <w:t>C)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 w:cs="Arial"/>
          <w:sz w:val="20"/>
          <w:szCs w:val="20"/>
        </w:rPr>
        <w:t>EdU incorporation assay of Hep-3B cells transfected Lv-circPAK1 and YAP siRNA, scale bar, 50μm.</w:t>
      </w:r>
    </w:p>
    <w:p>
      <w:pPr>
        <w:widowControl/>
        <w:jc w:val="left"/>
        <w:rPr>
          <w:rFonts w:ascii="Times New Roman" w:hAnsi="Times New Roman" w:cs="Arial"/>
          <w:sz w:val="20"/>
          <w:szCs w:val="20"/>
        </w:rPr>
      </w:pPr>
      <w:r>
        <w:rPr>
          <w:rFonts w:hint="eastAsia" w:ascii="Times New Roman" w:hAnsi="Times New Roman" w:cs="Arial"/>
          <w:sz w:val="20"/>
          <w:szCs w:val="20"/>
        </w:rPr>
        <w:t>(</w:t>
      </w:r>
      <w:r>
        <w:rPr>
          <w:rFonts w:ascii="Times New Roman" w:hAnsi="Times New Roman" w:cs="Arial"/>
          <w:sz w:val="20"/>
          <w:szCs w:val="20"/>
        </w:rPr>
        <w:t>D)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 w:cs="Arial"/>
          <w:sz w:val="20"/>
          <w:szCs w:val="20"/>
        </w:rPr>
        <w:t>Transwell assay assay of Hep-3B cells transfected Lv-circPAK1 and YAP siRNA, scale bar, 200μm.</w:t>
      </w:r>
    </w:p>
    <w:p>
      <w:pPr>
        <w:widowControl/>
        <w:jc w:val="left"/>
        <w:rPr>
          <w:rFonts w:ascii="Times New Roman" w:hAnsi="Times New Roman" w:cs="Arial"/>
          <w:sz w:val="20"/>
          <w:szCs w:val="20"/>
        </w:rPr>
      </w:pPr>
      <w:r>
        <w:rPr>
          <w:rFonts w:hint="eastAsia" w:ascii="Times New Roman" w:hAnsi="Times New Roman" w:cs="Arial"/>
          <w:sz w:val="20"/>
          <w:szCs w:val="20"/>
        </w:rPr>
        <w:t>(</w:t>
      </w:r>
      <w:r>
        <w:rPr>
          <w:rFonts w:ascii="Times New Roman" w:hAnsi="Times New Roman" w:cs="Arial"/>
          <w:sz w:val="20"/>
          <w:szCs w:val="20"/>
        </w:rPr>
        <w:t>E)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 w:cs="Arial"/>
          <w:sz w:val="20"/>
          <w:szCs w:val="20"/>
        </w:rPr>
        <w:t>Wound healing assay of Hep-3B cells transfected Lv-circPAK1 and YAP siRNA, scale bar, 100μm.</w:t>
      </w:r>
    </w:p>
    <w:p>
      <w:pPr>
        <w:rPr>
          <w:rFonts w:ascii="Times New Roman" w:hAnsi="Times New Roman" w:cs="Times New Roman"/>
          <w:sz w:val="20"/>
        </w:rPr>
      </w:pPr>
      <w:r>
        <w:rPr>
          <w:rFonts w:hint="eastAsia" w:ascii="Times New Roman" w:hAnsi="Times New Roman" w:cs="Arial"/>
          <w:sz w:val="20"/>
          <w:szCs w:val="20"/>
        </w:rPr>
        <w:t>(</w:t>
      </w:r>
      <w:r>
        <w:rPr>
          <w:rFonts w:ascii="Times New Roman" w:hAnsi="Times New Roman" w:cs="Arial"/>
          <w:sz w:val="20"/>
          <w:szCs w:val="20"/>
        </w:rPr>
        <w:t>F)</w:t>
      </w:r>
      <w:r>
        <w:rPr>
          <w:rFonts w:ascii="Times New Roman" w:hAnsi="Times New Roman" w:cs="Times New Roman"/>
          <w:sz w:val="20"/>
        </w:rPr>
        <w:t xml:space="preserve"> HUVEC tube formation, migration and invasion </w:t>
      </w:r>
      <w:r>
        <w:rPr>
          <w:rFonts w:ascii="Times New Roman" w:hAnsi="Times New Roman" w:cs="Arial"/>
          <w:sz w:val="20"/>
          <w:szCs w:val="20"/>
        </w:rPr>
        <w:t>assay of Hep-3B cells transfected Lv-circPAK1 and YAP siRNA</w:t>
      </w:r>
      <w:r>
        <w:rPr>
          <w:rFonts w:hint="eastAsia"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scale bar, 100μm. *p &lt; 0.05; **p &lt; 0.01; ***p &lt; 0.001. Data were shown as mean ± SEM.</w:t>
      </w:r>
    </w:p>
    <w:p>
      <w:pPr>
        <w:rPr>
          <w:rFonts w:hint="eastAsia" w:ascii="Times New Roman" w:hAnsi="Times New Roman" w:cs="Times New Roman" w:eastAsiaTheme="minorEastAsia"/>
          <w:sz w:val="20"/>
          <w:lang w:eastAsia="zh-CN"/>
        </w:rPr>
      </w:pPr>
      <w:r>
        <w:rPr>
          <w:rFonts w:hint="eastAsia" w:ascii="Times New Roman" w:hAnsi="Times New Roman" w:cs="Times New Roman" w:eastAsiaTheme="minorEastAsia"/>
          <w:sz w:val="20"/>
          <w:lang w:eastAsia="zh-CN"/>
        </w:rPr>
        <w:drawing>
          <wp:inline distT="0" distB="0" distL="114300" distR="114300">
            <wp:extent cx="5488940" cy="7448550"/>
            <wp:effectExtent l="0" t="0" r="10160" b="6350"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8940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Times New Roman" w:hAnsi="Times New Roman" w:cs="Arial"/>
          <w:sz w:val="20"/>
          <w:szCs w:val="20"/>
        </w:rPr>
      </w:pPr>
      <w:r>
        <w:rPr>
          <w:rFonts w:ascii="Times New Roman" w:hAnsi="Times New Roman" w:cs="Arial"/>
          <w:b/>
          <w:bCs/>
          <w:sz w:val="20"/>
          <w:szCs w:val="20"/>
        </w:rPr>
        <w:t>Figure S4.</w:t>
      </w:r>
    </w:p>
    <w:p>
      <w:pPr>
        <w:widowControl/>
        <w:jc w:val="left"/>
        <w:rPr>
          <w:rFonts w:ascii="Times New Roman" w:hAnsi="Times New Roman" w:cs="Arial"/>
          <w:sz w:val="20"/>
          <w:szCs w:val="20"/>
        </w:rPr>
      </w:pPr>
      <w:r>
        <w:rPr>
          <w:rFonts w:hint="eastAsia" w:ascii="Times New Roman" w:hAnsi="Times New Roman" w:cs="Arial"/>
          <w:sz w:val="20"/>
          <w:szCs w:val="20"/>
        </w:rPr>
        <w:t>(</w:t>
      </w:r>
      <w:r>
        <w:rPr>
          <w:rFonts w:ascii="Times New Roman" w:hAnsi="Times New Roman" w:cs="Arial"/>
          <w:sz w:val="20"/>
          <w:szCs w:val="20"/>
        </w:rPr>
        <w:t>A) RIP-qPCR was performed to determine the association between circPAK1 and AGO2.</w:t>
      </w:r>
    </w:p>
    <w:p>
      <w:pPr>
        <w:widowControl/>
        <w:jc w:val="left"/>
        <w:rPr>
          <w:rFonts w:ascii="Times New Roman" w:hAnsi="Times New Roman" w:cs="Arial"/>
          <w:sz w:val="20"/>
          <w:szCs w:val="20"/>
        </w:rPr>
      </w:pPr>
      <w:r>
        <w:rPr>
          <w:rFonts w:hint="eastAsia" w:ascii="Times New Roman" w:hAnsi="Times New Roman" w:cs="Arial"/>
          <w:sz w:val="20"/>
          <w:szCs w:val="20"/>
        </w:rPr>
        <w:t>(</w:t>
      </w:r>
      <w:r>
        <w:rPr>
          <w:rFonts w:ascii="Times New Roman" w:hAnsi="Times New Roman" w:cs="Arial"/>
          <w:sz w:val="20"/>
          <w:szCs w:val="20"/>
        </w:rPr>
        <w:t>B) liquid chromatography mass spectrometry identified the 14-3-3</w:t>
      </w:r>
      <w:r>
        <w:rPr>
          <w:rFonts w:hint="eastAsia" w:ascii="Times New Roman" w:hAnsi="Times New Roman" w:cs="Arial"/>
          <w:sz w:val="20"/>
          <w:szCs w:val="20"/>
        </w:rPr>
        <w:t>ζ</w:t>
      </w:r>
      <w:r>
        <w:rPr>
          <w:rFonts w:ascii="Times New Roman" w:hAnsi="Times New Roman" w:cs="Arial"/>
          <w:sz w:val="20"/>
          <w:szCs w:val="20"/>
        </w:rPr>
        <w:t xml:space="preserve"> </w:t>
      </w:r>
      <w:r>
        <w:rPr>
          <w:rFonts w:hint="eastAsia" w:ascii="Times New Roman" w:hAnsi="Times New Roman" w:cs="Arial"/>
          <w:sz w:val="20"/>
          <w:szCs w:val="20"/>
        </w:rPr>
        <w:t>protein.</w:t>
      </w:r>
    </w:p>
    <w:p>
      <w:pPr>
        <w:widowControl/>
        <w:jc w:val="left"/>
        <w:rPr>
          <w:rFonts w:ascii="Times New Roman" w:hAnsi="Times New Roman" w:cs="Arial"/>
          <w:sz w:val="20"/>
          <w:szCs w:val="20"/>
        </w:rPr>
      </w:pPr>
      <w:r>
        <w:rPr>
          <w:rFonts w:hint="eastAsia" w:ascii="Times New Roman" w:hAnsi="Times New Roman" w:eastAsia="宋体" w:cs="Times New Roman"/>
          <w:bCs/>
          <w:sz w:val="20"/>
          <w:szCs w:val="24"/>
        </w:rPr>
        <w:t>(</w:t>
      </w:r>
      <w:r>
        <w:rPr>
          <w:rFonts w:ascii="Times New Roman" w:hAnsi="Times New Roman" w:eastAsia="宋体" w:cs="Times New Roman"/>
          <w:bCs/>
          <w:sz w:val="20"/>
          <w:szCs w:val="24"/>
        </w:rPr>
        <w:t>C)</w:t>
      </w:r>
      <w:r>
        <w:rPr>
          <w:rFonts w:ascii="Times New Roman" w:hAnsi="Times New Roman" w:cs="Arial"/>
          <w:sz w:val="20"/>
          <w:szCs w:val="20"/>
        </w:rPr>
        <w:t xml:space="preserve"> The silencing efficiency of si-14-3-3</w:t>
      </w:r>
      <w:r>
        <w:rPr>
          <w:rFonts w:hint="eastAsia" w:ascii="Times New Roman" w:hAnsi="Times New Roman" w:cs="Arial"/>
          <w:sz w:val="20"/>
          <w:szCs w:val="20"/>
        </w:rPr>
        <w:t>ζ</w:t>
      </w:r>
      <w:r>
        <w:rPr>
          <w:rFonts w:ascii="Times New Roman" w:hAnsi="Times New Roman" w:cs="Arial"/>
          <w:sz w:val="20"/>
          <w:szCs w:val="20"/>
        </w:rPr>
        <w:t xml:space="preserve"> in </w:t>
      </w:r>
      <w:r>
        <w:rPr>
          <w:rFonts w:hint="eastAsia" w:ascii="Times New Roman" w:hAnsi="Times New Roman" w:cs="Arial"/>
          <w:sz w:val="20"/>
          <w:szCs w:val="20"/>
        </w:rPr>
        <w:t>sh</w:t>
      </w:r>
      <w:r>
        <w:rPr>
          <w:rFonts w:ascii="Times New Roman" w:hAnsi="Times New Roman" w:cs="Arial"/>
          <w:sz w:val="20"/>
          <w:szCs w:val="20"/>
        </w:rPr>
        <w:t>-circPAK1 LM3 cells was determined by qRT-PCR.</w:t>
      </w:r>
    </w:p>
    <w:p>
      <w:pPr>
        <w:widowControl/>
        <w:jc w:val="left"/>
        <w:rPr>
          <w:rFonts w:ascii="Times New Roman" w:hAnsi="Times New Roman" w:cs="Arial"/>
          <w:sz w:val="20"/>
          <w:szCs w:val="20"/>
        </w:rPr>
      </w:pPr>
      <w:r>
        <w:rPr>
          <w:rFonts w:hint="eastAsia" w:ascii="Times New Roman" w:hAnsi="Times New Roman" w:eastAsia="宋体" w:cs="Times New Roman"/>
          <w:bCs/>
          <w:sz w:val="20"/>
          <w:szCs w:val="24"/>
        </w:rPr>
        <w:t>(</w:t>
      </w:r>
      <w:r>
        <w:rPr>
          <w:rFonts w:ascii="Times New Roman" w:hAnsi="Times New Roman" w:eastAsia="宋体" w:cs="Times New Roman"/>
          <w:bCs/>
          <w:sz w:val="20"/>
          <w:szCs w:val="24"/>
        </w:rPr>
        <w:t>D) CircPAK1 stable overexpression Hep-3B cells were subjected to IP using 14-3-3ζ antibody or control IgG, followed by IB with 14-3-3ζ, p-LATS1/2 and YAP antibody, to confirm and determine the 14-3-3ζ- p-LATS-YAP protein complex.</w:t>
      </w:r>
    </w:p>
    <w:p>
      <w:pPr>
        <w:widowControl/>
        <w:jc w:val="left"/>
        <w:rPr>
          <w:rFonts w:ascii="Times New Roman" w:hAnsi="Times New Roman" w:eastAsia="宋体" w:cs="Times New Roman"/>
          <w:bCs/>
          <w:sz w:val="20"/>
          <w:szCs w:val="24"/>
        </w:rPr>
      </w:pPr>
      <w:r>
        <w:rPr>
          <w:rFonts w:ascii="Times New Roman" w:hAnsi="Times New Roman" w:eastAsia="宋体" w:cs="Times New Roman"/>
          <w:bCs/>
          <w:sz w:val="20"/>
          <w:szCs w:val="24"/>
        </w:rPr>
        <w:t>(E) IF assay in stable circPAK1-knockdown and 14-3-3</w:t>
      </w:r>
      <w:r>
        <w:rPr>
          <w:rFonts w:hint="eastAsia" w:ascii="Times New Roman" w:hAnsi="Times New Roman" w:eastAsia="宋体" w:cs="Times New Roman"/>
          <w:bCs/>
          <w:sz w:val="20"/>
          <w:szCs w:val="24"/>
        </w:rPr>
        <w:t>ζ</w:t>
      </w:r>
      <w:r>
        <w:rPr>
          <w:rFonts w:ascii="Times New Roman" w:hAnsi="Times New Roman" w:eastAsia="宋体" w:cs="Times New Roman"/>
          <w:bCs/>
          <w:sz w:val="20"/>
          <w:szCs w:val="24"/>
        </w:rPr>
        <w:t>siRNA LM3 cells, scale bar, 20μm.</w:t>
      </w:r>
    </w:p>
    <w:bookmarkEnd w:id="0"/>
    <w:p>
      <w:pPr>
        <w:widowControl/>
        <w:jc w:val="left"/>
        <w:rPr>
          <w:rFonts w:ascii="Times New Roman" w:hAnsi="Times New Roman" w:eastAsia="宋体" w:cs="Times New Roman"/>
          <w:bCs/>
          <w:sz w:val="20"/>
          <w:szCs w:val="24"/>
        </w:rPr>
      </w:pPr>
      <w:r>
        <w:rPr>
          <w:rFonts w:hint="eastAsia" w:ascii="Times New Roman" w:hAnsi="Times New Roman" w:eastAsia="宋体" w:cs="Times New Roman"/>
          <w:bCs/>
          <w:sz w:val="20"/>
          <w:szCs w:val="24"/>
        </w:rPr>
        <w:t>(</w:t>
      </w:r>
      <w:r>
        <w:rPr>
          <w:rFonts w:ascii="Times New Roman" w:hAnsi="Times New Roman" w:eastAsia="宋体" w:cs="Times New Roman"/>
          <w:bCs/>
          <w:sz w:val="20"/>
          <w:szCs w:val="24"/>
        </w:rPr>
        <w:t>F) The IC50 of lenvatinib resistance cell lines and their parental cells.</w:t>
      </w:r>
    </w:p>
    <w:p>
      <w:pPr>
        <w:widowControl/>
        <w:jc w:val="left"/>
        <w:rPr>
          <w:rFonts w:ascii="Times New Roman" w:hAnsi="Times New Roman" w:eastAsia="宋体" w:cs="Times New Roman"/>
          <w:b/>
          <w:bCs/>
          <w:color w:val="231F20"/>
          <w:kern w:val="0"/>
          <w:sz w:val="20"/>
          <w:szCs w:val="24"/>
        </w:rPr>
      </w:pPr>
      <w:r>
        <w:rPr>
          <w:rFonts w:ascii="Times New Roman" w:hAnsi="Times New Roman" w:eastAsia="宋体" w:cs="Times New Roman"/>
          <w:b/>
          <w:bCs/>
          <w:color w:val="231F20"/>
          <w:kern w:val="0"/>
          <w:sz w:val="20"/>
          <w:szCs w:val="24"/>
        </w:rPr>
        <w:drawing>
          <wp:inline distT="0" distB="0" distL="114300" distR="114300">
            <wp:extent cx="5488940" cy="5930900"/>
            <wp:effectExtent l="0" t="0" r="10160" b="0"/>
            <wp:docPr id="4" name="图片 4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8940" cy="593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b/>
          <w:bCs/>
          <w:color w:val="231F20"/>
          <w:kern w:val="0"/>
          <w:sz w:val="20"/>
          <w:szCs w:val="24"/>
        </w:rPr>
        <w:br w:type="page"/>
      </w:r>
    </w:p>
    <w:p>
      <w:pPr>
        <w:spacing w:line="360" w:lineRule="auto"/>
        <w:rPr>
          <w:sz w:val="20"/>
        </w:rPr>
      </w:pPr>
      <w:r>
        <w:rPr>
          <w:rFonts w:ascii="Times New Roman" w:hAnsi="Times New Roman" w:eastAsia="宋体" w:cs="Times New Roman"/>
          <w:b/>
          <w:sz w:val="20"/>
          <w:szCs w:val="24"/>
        </w:rPr>
        <w:t>Table S1. ShRNA and siRNA sequence used in this study.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61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s</w:t>
            </w: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h</w:t>
            </w: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-RNA and si-</w:t>
            </w: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RNA</w:t>
            </w:r>
          </w:p>
        </w:tc>
        <w:tc>
          <w:tcPr>
            <w:tcW w:w="6179" w:type="dxa"/>
            <w:tcBorders>
              <w:top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color w:val="FF0000"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Target sequence (5’-3’)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sh1-circPAK1</w:t>
            </w:r>
          </w:p>
        </w:tc>
        <w:tc>
          <w:tcPr>
            <w:tcW w:w="6179" w:type="dxa"/>
            <w:tcBorders>
              <w:top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color w:val="FF0000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TTCTAATGCCTTGTAGCTGCT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sh-circPAK1-</w:t>
            </w: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NC</w:t>
            </w:r>
          </w:p>
        </w:tc>
        <w:tc>
          <w:tcPr>
            <w:tcW w:w="6179" w:type="dxa"/>
          </w:tcPr>
          <w:p>
            <w:pPr>
              <w:rPr>
                <w:rFonts w:ascii="Times New Roman" w:hAnsi="Times New Roman" w:cs="Times New Roman"/>
                <w:cap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caps/>
                <w:kern w:val="0"/>
                <w:sz w:val="20"/>
              </w:rPr>
              <w:t>gatctgatagcttcttcgtttttt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si-14-3-3ζ</w:t>
            </w:r>
          </w:p>
        </w:tc>
        <w:tc>
          <w:tcPr>
            <w:tcW w:w="617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AGCCTGCATGAAGTCTGTAACTGAGCAAG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si-14-3-3ζ-NC</w:t>
            </w:r>
          </w:p>
        </w:tc>
        <w:tc>
          <w:tcPr>
            <w:tcW w:w="6179" w:type="dxa"/>
          </w:tcPr>
          <w:p>
            <w:pPr>
              <w:rPr>
                <w:rFonts w:ascii="Times New Roman" w:hAnsi="Times New Roman" w:cs="Times New Roman"/>
                <w:bCs/>
                <w:color w:val="FF0000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CACAAGCTGGAGTACAACTACAACAGCCA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si-YAP</w:t>
            </w:r>
          </w:p>
        </w:tc>
        <w:tc>
          <w:tcPr>
            <w:tcW w:w="617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CAGTGGCACCTATCACTCT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bottom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si-YAP -NC</w:t>
            </w:r>
          </w:p>
        </w:tc>
        <w:tc>
          <w:tcPr>
            <w:tcW w:w="6179" w:type="dxa"/>
            <w:tcBorders>
              <w:bottom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bCs/>
                <w:color w:val="FF0000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caps/>
                <w:kern w:val="0"/>
                <w:sz w:val="20"/>
              </w:rPr>
              <w:t>aattaaaaaacgaagaagctatca</w:t>
            </w:r>
          </w:p>
        </w:tc>
      </w:tr>
    </w:tbl>
    <w:p>
      <w:pPr>
        <w:rPr>
          <w:rFonts w:ascii="Times New Roman" w:hAnsi="Times New Roman" w:eastAsia="宋体" w:cs="Times New Roman"/>
          <w:b/>
          <w:sz w:val="20"/>
          <w:szCs w:val="24"/>
        </w:rPr>
      </w:pPr>
    </w:p>
    <w:p>
      <w:pPr>
        <w:rPr>
          <w:rFonts w:ascii="Times New Roman" w:hAnsi="Times New Roman" w:eastAsia="宋体" w:cs="Times New Roman"/>
          <w:b/>
          <w:sz w:val="20"/>
          <w:szCs w:val="24"/>
        </w:rPr>
      </w:pPr>
      <w:r>
        <w:rPr>
          <w:rFonts w:ascii="Times New Roman" w:hAnsi="Times New Roman" w:eastAsia="宋体" w:cs="Times New Roman"/>
          <w:b/>
          <w:sz w:val="20"/>
          <w:szCs w:val="24"/>
        </w:rPr>
        <w:t>Table S2. Full sequence information of ci</w:t>
      </w:r>
      <w:r>
        <w:rPr>
          <w:rFonts w:hint="eastAsia" w:ascii="Times New Roman" w:hAnsi="Times New Roman" w:eastAsia="宋体" w:cs="Times New Roman"/>
          <w:b/>
          <w:sz w:val="20"/>
          <w:szCs w:val="24"/>
        </w:rPr>
        <w:t>rcPAK</w:t>
      </w:r>
      <w:r>
        <w:rPr>
          <w:rFonts w:ascii="Times New Roman" w:hAnsi="Times New Roman" w:eastAsia="宋体" w:cs="Times New Roman"/>
          <w:b/>
          <w:sz w:val="20"/>
          <w:szCs w:val="24"/>
        </w:rPr>
        <w:t>1.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6" w:type="dxa"/>
            <w:tcBorders>
              <w:top w:val="single" w:color="000000" w:themeColor="text1" w:sz="12" w:space="0"/>
              <w:bottom w:val="single" w:color="000000" w:themeColor="text1" w:sz="12" w:space="0"/>
            </w:tcBorders>
          </w:tcPr>
          <w:p>
            <w:pPr>
              <w:rPr>
                <w:rFonts w:ascii="Times New Roman" w:hAnsi="Times New Roman" w:eastAsia="宋体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&gt;hsa_circ_0023685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6" w:type="dxa"/>
            <w:tcBorders>
              <w:top w:val="single" w:color="000000" w:themeColor="text1" w:sz="12" w:space="0"/>
              <w:bottom w:val="single" w:color="000000" w:themeColor="text1" w:sz="12" w:space="0"/>
            </w:tcBorders>
          </w:tcPr>
          <w:p>
            <w:pPr>
              <w:rPr>
                <w:rFonts w:ascii="Times New Roman" w:hAnsi="Times New Roman" w:eastAsia="宋体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TAGCTGCTGCTGGTGGTGACAATGTCAAATAACGGCCTAGACATTCAAGACAAACCCCCAGCCCCTCCGATGAGAAATACCAGCACTATGATTGGAGCCGGCAGCAAAGATGCTGGAACCCTAAACCATGGTTCTAAACCTCTGCCTCCAAACCCAGAGGAGAAGAAAAAGAAGGACCGATTTTACCGATCCATTTTACCTGGAGATAAAACAAATAAAAAGAAAGAGAAAGAGCGGCCAGAGATTTCTCTCCCTTCAGATTTTGAACACACAATTCATGTCGGTTTTGATGCTGTCACAGGGGAGTTTACGGGAATGCCAGAGCAGTGGGCCCGCTTGCTTCAGACATCAAATATCACTAAGTCGGAGCAGAAGAAAAACCCGCAGGCTGTTCTGGATGTGTTGGAGTTTTACAACTCGAAGAAGACATCCAACAGCCAGAAATACATGAGCTTTACAGATAAGTCAGCTGAGGATTACAATTCTTCTAATGCCTTG</w:t>
            </w:r>
          </w:p>
        </w:tc>
      </w:tr>
    </w:tbl>
    <w:p>
      <w:pPr>
        <w:rPr>
          <w:rFonts w:ascii="Times New Roman" w:hAnsi="Times New Roman" w:eastAsia="宋体" w:cs="Times New Roman"/>
          <w:bCs/>
          <w:sz w:val="20"/>
          <w:szCs w:val="24"/>
        </w:rPr>
      </w:pPr>
    </w:p>
    <w:p>
      <w:pPr>
        <w:rPr>
          <w:rFonts w:ascii="Times New Roman" w:hAnsi="Times New Roman" w:eastAsia="宋体" w:cs="Times New Roman"/>
          <w:bCs/>
          <w:sz w:val="20"/>
          <w:szCs w:val="24"/>
        </w:rPr>
      </w:pPr>
      <w:r>
        <w:rPr>
          <w:rFonts w:ascii="Times New Roman" w:hAnsi="Times New Roman" w:eastAsia="宋体" w:cs="Times New Roman"/>
          <w:b/>
          <w:sz w:val="20"/>
          <w:szCs w:val="24"/>
        </w:rPr>
        <w:t>Table S3. Primer sequences used in this study.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09"/>
        <w:gridCol w:w="53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gridSpan w:val="2"/>
            <w:tcBorders>
              <w:top w:val="single" w:color="000000" w:themeColor="text1" w:sz="12" w:space="0"/>
              <w:bottom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Gene</w:t>
            </w:r>
          </w:p>
        </w:tc>
        <w:tc>
          <w:tcPr>
            <w:tcW w:w="5329" w:type="dxa"/>
            <w:tcBorders>
              <w:top w:val="single" w:color="000000" w:themeColor="text1" w:sz="12" w:space="0"/>
              <w:bottom w:val="single" w:color="000000" w:themeColor="text1" w:sz="12" w:space="0"/>
            </w:tcBorders>
          </w:tcPr>
          <w:p>
            <w:pPr>
              <w:rPr>
                <w:rFonts w:ascii="Times New Roman" w:hAnsi="Times New Roman" w:eastAsia="宋体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Sequence (5’-3’)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restart"/>
            <w:tcBorders>
              <w:top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P</w:t>
            </w: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AK1</w:t>
            </w:r>
          </w:p>
        </w:tc>
        <w:tc>
          <w:tcPr>
            <w:tcW w:w="709" w:type="dxa"/>
            <w:tcBorders>
              <w:top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F</w:t>
            </w:r>
          </w:p>
        </w:tc>
        <w:tc>
          <w:tcPr>
            <w:tcW w:w="5329" w:type="dxa"/>
            <w:tcBorders>
              <w:top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CAGCCCCTCCGATGAGAAATA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R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CAAAACCGACATGAATTGTGTGT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restart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circPAK1-divergent</w:t>
            </w:r>
          </w:p>
        </w:tc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F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TTCTTCTAATGCCTTGTAGC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R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GTTTAGGGTTCCAGCATCTT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restart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circPAK1-convergent</w:t>
            </w:r>
          </w:p>
        </w:tc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F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AAGAGCGGCCAGAGATTTCT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R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TCTGGCTGTTGGATGTCTTCT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restart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GAPDH</w:t>
            </w:r>
          </w:p>
        </w:tc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F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GGAGCGAGATCCCTCCAAAAT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R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GGCTGTTGTCATACTTCTCATGG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restart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GAPDH-divergent</w:t>
            </w:r>
          </w:p>
        </w:tc>
        <w:tc>
          <w:tcPr>
            <w:tcW w:w="709" w:type="dxa"/>
          </w:tcPr>
          <w:p>
            <w:pPr>
              <w:rPr>
                <w:rFonts w:ascii="Times New Roman" w:hAnsi="Times New Roman" w:eastAsia="宋体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F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GAAGACTGTGGATGGCCCCT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  <w:tc>
          <w:tcPr>
            <w:tcW w:w="709" w:type="dxa"/>
          </w:tcPr>
          <w:p>
            <w:pPr>
              <w:rPr>
                <w:rFonts w:ascii="Times New Roman" w:hAnsi="Times New Roman" w:eastAsia="宋体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R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CAAATGAGCCCCAGCCTTCT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restart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YAP</w:t>
            </w:r>
          </w:p>
        </w:tc>
        <w:tc>
          <w:tcPr>
            <w:tcW w:w="709" w:type="dxa"/>
          </w:tcPr>
          <w:p>
            <w:pPr>
              <w:rPr>
                <w:rFonts w:ascii="Times New Roman" w:hAnsi="Times New Roman" w:eastAsia="宋体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F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TAGCCCTGCGTAGCCAGTTA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  <w:tc>
          <w:tcPr>
            <w:tcW w:w="709" w:type="dxa"/>
          </w:tcPr>
          <w:p>
            <w:pPr>
              <w:rPr>
                <w:rFonts w:ascii="Times New Roman" w:hAnsi="Times New Roman" w:eastAsia="宋体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R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TCATGCTTAGTCCACTGTCTGT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restart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 xml:space="preserve">14-3-3ζ </w:t>
            </w:r>
          </w:p>
        </w:tc>
        <w:tc>
          <w:tcPr>
            <w:tcW w:w="709" w:type="dxa"/>
          </w:tcPr>
          <w:p>
            <w:pPr>
              <w:rPr>
                <w:rFonts w:ascii="Times New Roman" w:hAnsi="Times New Roman" w:eastAsia="宋体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F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ACCAGTATGTAGGCAGTTTTC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  <w:tc>
          <w:tcPr>
            <w:tcW w:w="709" w:type="dxa"/>
          </w:tcPr>
          <w:p>
            <w:pPr>
              <w:rPr>
                <w:rFonts w:ascii="Times New Roman" w:hAnsi="Times New Roman" w:eastAsia="宋体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R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GGATCCATGGATAAAGAGCTGGTT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restart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Human-CTGF</w:t>
            </w:r>
          </w:p>
        </w:tc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F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ATCTTCGGTGGTACGGTGT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R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GTGTCTTCCAGTCGGTAAGC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restart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Human-Cy61</w:t>
            </w:r>
          </w:p>
        </w:tc>
        <w:tc>
          <w:tcPr>
            <w:tcW w:w="70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F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GCTTGGCGCAGACCTTACAGCA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vMerge w:val="continue"/>
            <w:tcBorders>
              <w:bottom w:val="single" w:color="000000" w:themeColor="text1" w:sz="12" w:space="0"/>
            </w:tcBorders>
          </w:tcPr>
          <w:p>
            <w:pPr>
              <w:rPr>
                <w:rFonts w:ascii="Times New Roman" w:hAnsi="Times New Roman" w:eastAsia="宋体" w:cs="Times New Roman"/>
                <w:bCs/>
                <w:kern w:val="0"/>
                <w:sz w:val="20"/>
              </w:rPr>
            </w:pPr>
          </w:p>
        </w:tc>
        <w:tc>
          <w:tcPr>
            <w:tcW w:w="709" w:type="dxa"/>
            <w:tcBorders>
              <w:bottom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R</w:t>
            </w:r>
          </w:p>
        </w:tc>
        <w:tc>
          <w:tcPr>
            <w:tcW w:w="5329" w:type="dxa"/>
            <w:tcBorders>
              <w:bottom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TTGACCAGGCTGGCGCTCTC</w:t>
            </w:r>
          </w:p>
        </w:tc>
      </w:tr>
    </w:tbl>
    <w:p>
      <w:pPr>
        <w:spacing w:line="360" w:lineRule="auto"/>
        <w:rPr>
          <w:rFonts w:ascii="Times New Roman" w:hAnsi="Times New Roman" w:eastAsia="宋体" w:cs="Times New Roman"/>
          <w:kern w:val="0"/>
          <w:sz w:val="20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b/>
          <w:sz w:val="20"/>
          <w:szCs w:val="24"/>
        </w:rPr>
      </w:pPr>
      <w:r>
        <w:rPr>
          <w:rFonts w:ascii="Times New Roman" w:hAnsi="Times New Roman" w:eastAsia="宋体" w:cs="Times New Roman"/>
          <w:b/>
          <w:sz w:val="20"/>
          <w:szCs w:val="24"/>
        </w:rPr>
        <w:t>Table S4. Antibodies used in this study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53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Antibody</w:t>
            </w:r>
          </w:p>
        </w:tc>
        <w:tc>
          <w:tcPr>
            <w:tcW w:w="5329" w:type="dxa"/>
            <w:tcBorders>
              <w:top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S</w:t>
            </w:r>
            <w:r>
              <w:rPr>
                <w:rFonts w:ascii="Times New Roman" w:hAnsi="Times New Roman" w:cs="Times New Roman"/>
                <w:kern w:val="0"/>
                <w:sz w:val="20"/>
              </w:rPr>
              <w:t>ource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Anti-AGO2</w:t>
            </w:r>
            <w:r>
              <w:rPr>
                <w:rFonts w:ascii="Times New Roman" w:hAnsi="Times New Roman" w:cs="Times New Roman"/>
                <w:kern w:val="0"/>
                <w:sz w:val="20"/>
              </w:rPr>
              <w:t xml:space="preserve"> antibody</w:t>
            </w:r>
          </w:p>
        </w:tc>
        <w:tc>
          <w:tcPr>
            <w:tcW w:w="5329" w:type="dxa"/>
            <w:tcBorders>
              <w:top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Cell Signaling Technology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Anti-</w:t>
            </w:r>
            <w:r>
              <w:rPr>
                <w:rFonts w:hint="eastAsia" w:ascii="Times New Roman" w:hAnsi="Times New Roman" w:cs="Times New Roman"/>
                <w:kern w:val="0"/>
                <w:sz w:val="20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0"/>
              </w:rPr>
              <w:t>4-3-3</w:t>
            </w:r>
            <w:r>
              <w:rPr>
                <w:rFonts w:hint="eastAsia" w:ascii="Times New Roman" w:hAnsi="Times New Roman" w:cs="Times New Roman"/>
                <w:kern w:val="0"/>
                <w:sz w:val="20"/>
              </w:rPr>
              <w:t>ζ</w:t>
            </w:r>
            <w:r>
              <w:rPr>
                <w:rFonts w:ascii="Times New Roman" w:hAnsi="Times New Roman" w:cs="Times New Roman"/>
                <w:kern w:val="0"/>
                <w:sz w:val="20"/>
              </w:rPr>
              <w:t>antibody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Cell Signaling Technology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Anti-YAP</w:t>
            </w:r>
            <w:r>
              <w:rPr>
                <w:rFonts w:ascii="Times New Roman" w:hAnsi="Times New Roman" w:cs="Times New Roman"/>
                <w:kern w:val="0"/>
                <w:sz w:val="20"/>
              </w:rPr>
              <w:t xml:space="preserve"> antibody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Abmart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Anti-</w:t>
            </w:r>
            <w:r>
              <w:rPr>
                <w:rFonts w:ascii="Times New Roman" w:hAnsi="Times New Roman" w:cs="Times New Roman"/>
                <w:kern w:val="0"/>
                <w:sz w:val="20"/>
              </w:rPr>
              <w:t>p-YAP (ser27) antibody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bCs/>
                <w:color w:val="FF0000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Abmart,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 xml:space="preserve">Anti-LATS1/2 </w:t>
            </w:r>
            <w:r>
              <w:rPr>
                <w:rFonts w:ascii="Times New Roman" w:hAnsi="Times New Roman" w:cs="Times New Roman"/>
                <w:kern w:val="0"/>
                <w:sz w:val="20"/>
              </w:rPr>
              <w:t>antibody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Abmart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Anti-</w:t>
            </w:r>
            <w:r>
              <w:rPr>
                <w:rFonts w:ascii="Times New Roman" w:hAnsi="Times New Roman" w:cs="Times New Roman"/>
                <w:kern w:val="0"/>
                <w:sz w:val="20"/>
              </w:rPr>
              <w:t>p-</w:t>
            </w: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 xml:space="preserve"> LATS1/2</w:t>
            </w:r>
          </w:p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(</w:t>
            </w: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 xml:space="preserve">ser909, ser872) </w:t>
            </w:r>
            <w:r>
              <w:rPr>
                <w:rFonts w:ascii="Times New Roman" w:hAnsi="Times New Roman" w:cs="Times New Roman"/>
                <w:kern w:val="0"/>
                <w:sz w:val="20"/>
              </w:rPr>
              <w:t>antibody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Abmart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 xml:space="preserve">Anti-GAPDH antibody 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Abcam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Secondary antibody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Abcam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Anti-Ki67 antibody</w:t>
            </w:r>
          </w:p>
        </w:tc>
        <w:tc>
          <w:tcPr>
            <w:tcW w:w="5329" w:type="dxa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Abcam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bottom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Anti-</w:t>
            </w: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I</w:t>
            </w: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 xml:space="preserve">gG </w:t>
            </w:r>
            <w:r>
              <w:rPr>
                <w:rFonts w:ascii="Times New Roman" w:hAnsi="Times New Roman" w:cs="Times New Roman"/>
                <w:kern w:val="0"/>
                <w:sz w:val="20"/>
              </w:rPr>
              <w:t>antibody</w:t>
            </w:r>
          </w:p>
        </w:tc>
        <w:tc>
          <w:tcPr>
            <w:tcW w:w="5329" w:type="dxa"/>
            <w:tcBorders>
              <w:bottom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Cell Signaling Technology</w:t>
            </w:r>
          </w:p>
        </w:tc>
      </w:tr>
    </w:tbl>
    <w:p>
      <w:pPr>
        <w:rPr>
          <w:rFonts w:ascii="Times New Roman" w:hAnsi="Times New Roman"/>
          <w:sz w:val="20"/>
        </w:rPr>
      </w:pPr>
    </w:p>
    <w:p>
      <w:pPr>
        <w:spacing w:line="360" w:lineRule="auto"/>
        <w:rPr>
          <w:rFonts w:ascii="Times New Roman" w:hAnsi="Times New Roman" w:eastAsia="宋体" w:cs="Times New Roman"/>
          <w:kern w:val="0"/>
          <w:sz w:val="20"/>
          <w:szCs w:val="24"/>
        </w:rPr>
      </w:pPr>
      <w:r>
        <w:rPr>
          <w:rFonts w:ascii="Times New Roman" w:hAnsi="Times New Roman" w:eastAsia="宋体" w:cs="Times New Roman"/>
          <w:b/>
          <w:sz w:val="20"/>
          <w:szCs w:val="24"/>
        </w:rPr>
        <w:t xml:space="preserve">Table S5. </w:t>
      </w:r>
      <w:r>
        <w:rPr>
          <w:rFonts w:hint="eastAsia" w:ascii="Times New Roman" w:hAnsi="Times New Roman" w:eastAsia="宋体" w:cs="Times New Roman"/>
          <w:b/>
          <w:sz w:val="20"/>
          <w:szCs w:val="24"/>
        </w:rPr>
        <w:t>P</w:t>
      </w:r>
      <w:r>
        <w:rPr>
          <w:rFonts w:ascii="Times New Roman" w:hAnsi="Times New Roman" w:eastAsia="宋体" w:cs="Times New Roman"/>
          <w:b/>
          <w:sz w:val="20"/>
          <w:szCs w:val="24"/>
        </w:rPr>
        <w:t>robes used in this study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56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single" w:color="000000" w:themeColor="text1" w:sz="12" w:space="0"/>
              <w:bottom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G</w:t>
            </w: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ene</w:t>
            </w:r>
          </w:p>
        </w:tc>
        <w:tc>
          <w:tcPr>
            <w:tcW w:w="5612" w:type="dxa"/>
            <w:tcBorders>
              <w:top w:val="single" w:color="000000" w:themeColor="text1" w:sz="12" w:space="0"/>
              <w:bottom w:val="single" w:color="000000" w:themeColor="text1" w:sz="12" w:space="0"/>
            </w:tcBorders>
          </w:tcPr>
          <w:p>
            <w:pPr>
              <w:rPr>
                <w:rFonts w:ascii="Times New Roman" w:hAnsi="Times New Roman" w:eastAsia="宋体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Probe sequence (5’-3’)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top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 xml:space="preserve">circPAK1 </w:t>
            </w:r>
            <w:r>
              <w:rPr>
                <w:rFonts w:ascii="Times New Roman" w:hAnsi="Times New Roman" w:cs="Times New Roman"/>
                <w:bCs/>
                <w:kern w:val="0"/>
                <w:sz w:val="20"/>
                <w:vertAlign w:val="subscript"/>
              </w:rPr>
              <w:t>(Fish)</w:t>
            </w:r>
          </w:p>
        </w:tc>
        <w:tc>
          <w:tcPr>
            <w:tcW w:w="5612" w:type="dxa"/>
            <w:tcBorders>
              <w:top w:val="single" w:color="000000" w:themeColor="text1" w:sz="12" w:space="0"/>
            </w:tcBorders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AGCGATGTGCATTTTGTAAGC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shd w:val="clear" w:color="auto" w:fill="auto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 xml:space="preserve">circPAK1 </w:t>
            </w:r>
            <w:r>
              <w:rPr>
                <w:rFonts w:ascii="Times New Roman" w:hAnsi="Times New Roman" w:cs="Times New Roman"/>
                <w:bCs/>
                <w:kern w:val="0"/>
                <w:sz w:val="20"/>
                <w:vertAlign w:val="subscript"/>
              </w:rPr>
              <w:t>(Pull down)</w:t>
            </w:r>
          </w:p>
        </w:tc>
        <w:tc>
          <w:tcPr>
            <w:tcW w:w="5612" w:type="dxa"/>
            <w:shd w:val="clear" w:color="auto" w:fill="auto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</w:rPr>
              <w:t>AGCAGCTACAAGGCATTAGA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4" w:type="dxa"/>
            <w:tcBorders>
              <w:bottom w:val="single" w:color="000000" w:themeColor="text1" w:sz="12" w:space="0"/>
            </w:tcBorders>
            <w:shd w:val="clear" w:color="auto" w:fill="auto"/>
          </w:tcPr>
          <w:p>
            <w:pPr>
              <w:rPr>
                <w:rFonts w:ascii="Times New Roman" w:hAnsi="Times New Roman" w:eastAsia="宋体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0"/>
              </w:rPr>
              <w:t>N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 xml:space="preserve">C </w:t>
            </w:r>
            <w:r>
              <w:rPr>
                <w:rFonts w:ascii="Times New Roman" w:hAnsi="Times New Roman" w:cs="Times New Roman"/>
                <w:bCs/>
                <w:kern w:val="0"/>
                <w:sz w:val="20"/>
                <w:vertAlign w:val="subscript"/>
              </w:rPr>
              <w:t>(Pull down)</w:t>
            </w:r>
          </w:p>
        </w:tc>
        <w:tc>
          <w:tcPr>
            <w:tcW w:w="5612" w:type="dxa"/>
            <w:tcBorders>
              <w:bottom w:val="single" w:color="000000" w:themeColor="text1" w:sz="12" w:space="0"/>
            </w:tcBorders>
            <w:shd w:val="clear" w:color="auto" w:fill="auto"/>
          </w:tcPr>
          <w:p>
            <w:pPr>
              <w:rPr>
                <w:rFonts w:ascii="Times New Roman" w:hAnsi="Times New Roman" w:eastAsia="宋体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</w:rPr>
              <w:t>GAATGCAAGTCAATAGCAGA</w:t>
            </w:r>
          </w:p>
        </w:tc>
      </w:tr>
    </w:tbl>
    <w:p>
      <w:pPr>
        <w:rPr>
          <w:rFonts w:ascii="Times New Roman" w:hAnsi="Times New Roman"/>
          <w:sz w:val="20"/>
        </w:rPr>
      </w:pPr>
    </w:p>
    <w:p>
      <w:pPr>
        <w:tabs>
          <w:tab w:val="left" w:pos="7749"/>
        </w:tabs>
        <w:rPr>
          <w:rFonts w:ascii="Times New Roman" w:hAnsi="Times New Roman" w:eastAsia="宋体" w:cs="Times New Roman"/>
          <w:b/>
          <w:sz w:val="20"/>
          <w:szCs w:val="24"/>
        </w:rPr>
      </w:pPr>
      <w:r>
        <w:rPr>
          <w:rFonts w:ascii="Times New Roman" w:hAnsi="Times New Roman" w:eastAsia="宋体" w:cs="Times New Roman"/>
          <w:b/>
          <w:sz w:val="20"/>
          <w:szCs w:val="24"/>
        </w:rPr>
        <w:t>Table S6. The 44 upregulated circRNAs</w:t>
      </w:r>
      <w:r>
        <w:rPr>
          <w:rFonts w:ascii="Times New Roman" w:hAnsi="Times New Roman" w:eastAsia="宋体" w:cs="Times New Roman"/>
          <w:b/>
          <w:sz w:val="20"/>
          <w:szCs w:val="24"/>
        </w:rPr>
        <w:tab/>
      </w:r>
    </w:p>
    <w:tbl>
      <w:tblPr>
        <w:tblStyle w:val="5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2291"/>
        <w:gridCol w:w="1701"/>
        <w:gridCol w:w="164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tcBorders>
              <w:top w:val="single" w:color="000000" w:themeColor="text1" w:sz="12" w:space="0"/>
              <w:bottom w:val="single" w:color="auto" w:sz="12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GeneID</w:t>
            </w:r>
          </w:p>
        </w:tc>
        <w:tc>
          <w:tcPr>
            <w:tcW w:w="2291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</w:t>
            </w: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ircBase ID</w:t>
            </w:r>
          </w:p>
        </w:tc>
        <w:tc>
          <w:tcPr>
            <w:tcW w:w="1701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S</w:t>
            </w: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ymbol</w:t>
            </w:r>
          </w:p>
        </w:tc>
        <w:tc>
          <w:tcPr>
            <w:tcW w:w="1643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N</w:t>
            </w: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amed by us</w:t>
            </w:r>
          </w:p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(</w:t>
            </w: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circ+s</w:t>
            </w: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ym</w:t>
            </w:r>
            <w:r>
              <w:rPr>
                <w:rFonts w:ascii="Times New Roman" w:hAnsi="Times New Roman" w:cs="Times New Roman"/>
                <w:bCs/>
                <w:kern w:val="0"/>
                <w:sz w:val="20"/>
              </w:rPr>
              <w:t>bol)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chrX:132887509|132888203</w:t>
            </w:r>
          </w:p>
        </w:tc>
        <w:tc>
          <w:tcPr>
            <w:tcW w:w="2291" w:type="dxa"/>
            <w:tcBorders>
              <w:bottom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hsa_circ_0091581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GPC3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circGPC3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chr13:64576517|64608670</w:t>
            </w:r>
          </w:p>
        </w:tc>
        <w:tc>
          <w:tcPr>
            <w:tcW w:w="2291" w:type="dxa"/>
            <w:tcBorders>
              <w:bottom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hsa_circ_0030389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TCONS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chr6:170632167|170657411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hsa_circ_0078773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FAM120B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chr8:98817581|98837381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hsa_circ_0003214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LAPTM4B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chr18:12999420|13001581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hsa_circ_0046995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CEP192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chr10:96005703|96006378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hsa_circ_0019225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PLCE1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chr19:55610152|55614936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hsa_circ_0000958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PPP1R12C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chr19:35510095|35510437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hsa_circ_0005731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GRAMD1A</w:t>
            </w:r>
          </w:p>
        </w:tc>
        <w:tc>
          <w:tcPr>
            <w:tcW w:w="1643" w:type="dxa"/>
            <w:tcBorders>
              <w:top w:val="nil"/>
            </w:tcBorders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chr1:246021798|246027188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hsa_circ_0017286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SMYD3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circSMYD3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chr22:42912017|42973104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hsa_circ_0001242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RRP7A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chr12:112370390|112381173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hsa_circ_0028319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TMEM116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circTMEM116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chr4:7870349|7873807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hsa_circ_0069152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AFAP1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chr1:176050288|176105683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hsa_circ_0003572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RFWD2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chr14:91409422|91413894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hsa_circ_0032939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RPS6KA5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chr5:14270934|14287172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hsa_circ_0005323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TRIO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chr1:246490503|246518396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hsa_circ_0005034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SMYD3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chr10:124151819|124159904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hsa_circ_0020262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PLEKHA1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chr1:246091233|246093239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hsa_circ_0017304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SMYD3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chr1:155686797|155695810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hsa_circ_0014611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DAP3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chr1:150429764|150430046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hsa_circ_0014014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RPRD2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chr5:96314842|96322374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hsa_circ_0001513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LNPEP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chr15:65110145|65111422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hsa_circ_0002205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PIF1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chr11:46811626|46812133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hsa_circ_0007985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CKAP5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chr20:48256215|48257202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hsa_circ_0004868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B4GALT5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chr15:63824846|63855207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hsa_circ_0002138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USP3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circUSP3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chr3:9792629|9796569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hsa_circ_0064155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OGG1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chr1:235993526|235996967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hsa_circ_0005899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LYST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chr21:27462259|27484463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hsa_circ_0061349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APP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chr7:148543562|148544397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hsa_circ_0006357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EZH2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chr12:122745808|122748746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hsa_circ_0029062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VPS33A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chr1:86241357|86252144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hsa_circ_0005110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COL24A1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chr2:232952197|232952431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hsa_circ_0058691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DIS3L2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chr4:108603171|108622441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hsa_circ_0006935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PAPSS1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chr7:44663916|44687358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hsa_circ_0080056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OGDH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chr1:45223228|45223812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hsa_circ_0002563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KIF2C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chr4:71628236|71634378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hsa_circ_0002048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RUFY3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chr4:2626988|2632896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hsa_circ_0004517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FAM193A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chr9:96305504|96312973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hsa_circ_0087557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FAM120A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chr11:3726430|3727857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hsa_circ_0020875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NUP98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chr1:230798887|230800333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hsa_circ_0016866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COG2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chr17:64092369|64128881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hsa_circ_0045355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CEP112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chr1:183083666|183084772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hsa_circ_0004573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LAMC1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chr5:167995651|167996003</w:t>
            </w:r>
          </w:p>
        </w:tc>
        <w:tc>
          <w:tcPr>
            <w:tcW w:w="229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hsa_circ_0006894</w:t>
            </w:r>
          </w:p>
        </w:tc>
        <w:tc>
          <w:tcPr>
            <w:tcW w:w="1701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PANK3</w:t>
            </w:r>
          </w:p>
        </w:tc>
        <w:tc>
          <w:tcPr>
            <w:tcW w:w="1643" w:type="dxa"/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085" w:type="dxa"/>
            <w:tcBorders>
              <w:bottom w:val="single" w:color="auto" w:sz="12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bCs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0"/>
              </w:rPr>
              <w:t>chr11:77085373|77103586</w:t>
            </w:r>
          </w:p>
        </w:tc>
        <w:tc>
          <w:tcPr>
            <w:tcW w:w="2291" w:type="dxa"/>
            <w:tcBorders>
              <w:bottom w:val="single" w:color="auto" w:sz="12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hsa_circ_0023685</w:t>
            </w:r>
          </w:p>
        </w:tc>
        <w:tc>
          <w:tcPr>
            <w:tcW w:w="1701" w:type="dxa"/>
            <w:tcBorders>
              <w:bottom w:val="single" w:color="auto" w:sz="12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PAK1</w:t>
            </w:r>
          </w:p>
        </w:tc>
        <w:tc>
          <w:tcPr>
            <w:tcW w:w="1643" w:type="dxa"/>
            <w:tcBorders>
              <w:bottom w:val="single" w:color="auto" w:sz="12" w:space="0"/>
            </w:tcBorders>
            <w:vAlign w:val="bottom"/>
          </w:tcPr>
          <w:p>
            <w:pPr>
              <w:rPr>
                <w:rFonts w:ascii="Times New Roman" w:hAnsi="Times New Roman" w:cs="Times New Roman"/>
                <w:kern w:val="0"/>
                <w:sz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</w:rPr>
              <w:t>circPAK1</w:t>
            </w:r>
          </w:p>
        </w:tc>
      </w:tr>
    </w:tbl>
    <w:p>
      <w:pPr>
        <w:rPr>
          <w:rFonts w:ascii="Times New Roman" w:hAnsi="Times New Roman"/>
          <w:sz w:val="20"/>
        </w:rPr>
      </w:pPr>
    </w:p>
    <w:sectPr>
      <w:pgSz w:w="12247" w:h="15819"/>
      <w:pgMar w:top="1440" w:right="1797" w:bottom="1440" w:left="1797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lmN2M0NDU0N2Y5N2Y1MTQwOGJjYWQzMjQ4ZWUzMzQifQ=="/>
  </w:docVars>
  <w:rsids>
    <w:rsidRoot w:val="00D07882"/>
    <w:rsid w:val="00017DC5"/>
    <w:rsid w:val="00035098"/>
    <w:rsid w:val="000F4998"/>
    <w:rsid w:val="001112E9"/>
    <w:rsid w:val="001143F5"/>
    <w:rsid w:val="0018374D"/>
    <w:rsid w:val="00197C81"/>
    <w:rsid w:val="001F5BDB"/>
    <w:rsid w:val="002649D1"/>
    <w:rsid w:val="00292E3A"/>
    <w:rsid w:val="003771B6"/>
    <w:rsid w:val="003908B0"/>
    <w:rsid w:val="003968AC"/>
    <w:rsid w:val="003A2AC1"/>
    <w:rsid w:val="004730DC"/>
    <w:rsid w:val="004A1F9D"/>
    <w:rsid w:val="004D28F0"/>
    <w:rsid w:val="00526D52"/>
    <w:rsid w:val="00546B9C"/>
    <w:rsid w:val="00560B0E"/>
    <w:rsid w:val="005E6417"/>
    <w:rsid w:val="006236A8"/>
    <w:rsid w:val="0065496C"/>
    <w:rsid w:val="00661732"/>
    <w:rsid w:val="00692062"/>
    <w:rsid w:val="008228AE"/>
    <w:rsid w:val="00856381"/>
    <w:rsid w:val="008A7488"/>
    <w:rsid w:val="008E5414"/>
    <w:rsid w:val="00931D9B"/>
    <w:rsid w:val="009421E7"/>
    <w:rsid w:val="00950FAA"/>
    <w:rsid w:val="00993A32"/>
    <w:rsid w:val="009D60BC"/>
    <w:rsid w:val="00A068A5"/>
    <w:rsid w:val="00A11805"/>
    <w:rsid w:val="00B37D93"/>
    <w:rsid w:val="00B41056"/>
    <w:rsid w:val="00B52ACB"/>
    <w:rsid w:val="00B776A3"/>
    <w:rsid w:val="00C41B74"/>
    <w:rsid w:val="00C83908"/>
    <w:rsid w:val="00C908C0"/>
    <w:rsid w:val="00D01BB3"/>
    <w:rsid w:val="00D07882"/>
    <w:rsid w:val="00DD090B"/>
    <w:rsid w:val="00E073C5"/>
    <w:rsid w:val="00E24630"/>
    <w:rsid w:val="00E52D69"/>
    <w:rsid w:val="00E93871"/>
    <w:rsid w:val="00EF4C01"/>
    <w:rsid w:val="00F21824"/>
    <w:rsid w:val="00F5139E"/>
    <w:rsid w:val="00F57147"/>
    <w:rsid w:val="00F621EC"/>
    <w:rsid w:val="23CD27C6"/>
    <w:rsid w:val="2E7D6263"/>
    <w:rsid w:val="44B8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cs="Times New Roman"/>
      <w:kern w:val="0"/>
      <w:sz w:val="22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601</Words>
  <Characters>5626</Characters>
  <Lines>45</Lines>
  <Paragraphs>12</Paragraphs>
  <TotalTime>3</TotalTime>
  <ScaleCrop>false</ScaleCrop>
  <LinksUpToDate>false</LinksUpToDate>
  <CharactersWithSpaces>5967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2021-09-12T03:02:00Z</dcterms:created>
  <dc:creator>郝医森</dc:creator>
  <cp:lastModifiedBy>糖果薇琪</cp:lastModifiedBy>
  <dcterms:modified xsi:type="dcterms:W3CDTF">2022-08-16T07:25:43Z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F4DC12B1D97948F78C867C304CFA9E0A</vt:lpwstr>
  </property>
</Properties>
</file>