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b/>
          <w:bCs/>
          <w:color w:val="000000" w:themeColor="text1"/>
          <w:sz w:val="24"/>
          <w:szCs w:val="24"/>
          <w14:textFill>
            <w14:solidFill>
              <w14:schemeClr w14:val="tx1"/>
            </w14:solidFill>
          </w14:textFill>
        </w:rPr>
        <w:t>Supplementary</w:t>
      </w:r>
      <w:r>
        <w:rPr>
          <w:rFonts w:hint="eastAsia" w:ascii="Times New Roman" w:hAnsi="Times New Roman" w:cs="Times New Roman"/>
          <w:b/>
          <w:bCs/>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b/>
          <w:bCs/>
          <w:color w:val="000000" w:themeColor="text1"/>
          <w:sz w:val="24"/>
          <w:szCs w:val="24"/>
          <w14:textFill>
            <w14:solidFill>
              <w14:schemeClr w14:val="tx1"/>
            </w14:solidFill>
          </w14:textFill>
        </w:rPr>
        <w:t xml:space="preserve">Table </w:t>
      </w:r>
      <w:r>
        <w:rPr>
          <w:rFonts w:hint="eastAsia" w:ascii="Times New Roman" w:hAnsi="Times New Roman" w:cs="Times New Roman"/>
          <w:b/>
          <w:bCs/>
          <w:color w:val="000000" w:themeColor="text1"/>
          <w:sz w:val="24"/>
          <w:szCs w:val="24"/>
          <w:lang w:val="en-US" w:eastAsia="zh-CN"/>
          <w14:textFill>
            <w14:solidFill>
              <w14:schemeClr w14:val="tx1"/>
            </w14:solidFill>
          </w14:textFill>
        </w:rPr>
        <w:t xml:space="preserve">2  </w:t>
      </w:r>
      <w:r>
        <w:rPr>
          <w:rFonts w:hint="eastAsia" w:ascii="Times New Roman" w:hAnsi="Times New Roman" w:cs="Times New Roman"/>
          <w:color w:val="000000" w:themeColor="text1"/>
          <w:sz w:val="24"/>
          <w:szCs w:val="24"/>
          <w:lang w:val="en-US" w:eastAsia="zh-CN"/>
          <w14:textFill>
            <w14:solidFill>
              <w14:schemeClr w14:val="tx1"/>
            </w14:solidFill>
          </w14:textFill>
        </w:rPr>
        <w:t>Association of prognosis with clinical characteristics.</w:t>
      </w:r>
    </w:p>
    <w:tbl>
      <w:tblPr>
        <w:tblStyle w:val="7"/>
        <w:tblW w:w="874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61"/>
        <w:gridCol w:w="2127"/>
        <w:gridCol w:w="2280"/>
        <w:gridCol w:w="21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trPr>
        <w:tc>
          <w:tcPr>
            <w:tcW w:w="2161" w:type="dxa"/>
            <w:vMerge w:val="restart"/>
            <w:tcBorders>
              <w:top w:val="single" w:color="auto" w:sz="4" w:space="0"/>
            </w:tcBorders>
          </w:tcPr>
          <w:p>
            <w:pPr>
              <w:spacing w:line="360" w:lineRule="auto"/>
              <w:rPr>
                <w:rFonts w:hint="default" w:ascii="Times New Roman" w:hAnsi="Times New Roman" w:cs="Times New Roman" w:eastAsiaTheme="minorEastAsia"/>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Clinical characteristics</w:t>
            </w:r>
          </w:p>
        </w:tc>
        <w:tc>
          <w:tcPr>
            <w:tcW w:w="6585" w:type="dxa"/>
            <w:gridSpan w:val="3"/>
            <w:tcBorders>
              <w:top w:val="single" w:color="auto" w:sz="4" w:space="0"/>
              <w:bottom w:val="single" w:color="auto" w:sz="4" w:space="0"/>
            </w:tcBorders>
          </w:tcPr>
          <w:p>
            <w:pPr>
              <w:widowControl/>
              <w:jc w:val="center"/>
              <w:rPr>
                <w:rFonts w:hint="default" w:ascii="Times New Roman" w:hAnsi="Times New Roman" w:cs="Times New Roman" w:eastAsiaTheme="minorEastAsia"/>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P</w:t>
            </w:r>
            <w:r>
              <w:rPr>
                <w:rFonts w:hint="default" w:ascii="Times New Roman" w:hAnsi="Times New Roman" w:cs="Times New Roman" w:eastAsiaTheme="minorEastAsia"/>
                <w:color w:val="000000" w:themeColor="text1"/>
                <w:szCs w:val="21"/>
                <w:lang w:val="en-US" w:eastAsia="zh-CN"/>
                <w14:textFill>
                  <w14:solidFill>
                    <w14:schemeClr w14:val="tx1"/>
                  </w14:solidFill>
                </w14:textFill>
              </w:rPr>
              <w:t>rognosis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2161" w:type="dxa"/>
            <w:vMerge w:val="continue"/>
            <w:tcBorders>
              <w:bottom w:val="single" w:color="auto" w:sz="4" w:space="0"/>
            </w:tcBorders>
          </w:tcPr>
          <w:p>
            <w:pPr>
              <w:spacing w:line="360" w:lineRule="auto"/>
              <w:rPr>
                <w:rFonts w:ascii="Times New Roman" w:hAnsi="Times New Roman" w:cs="Times New Roman"/>
                <w:color w:val="000000" w:themeColor="text1"/>
                <w:szCs w:val="21"/>
                <w14:textFill>
                  <w14:solidFill>
                    <w14:schemeClr w14:val="tx1"/>
                  </w14:solidFill>
                </w14:textFill>
              </w:rPr>
            </w:pPr>
          </w:p>
        </w:tc>
        <w:tc>
          <w:tcPr>
            <w:tcW w:w="2127" w:type="dxa"/>
            <w:tcBorders>
              <w:top w:val="single" w:color="auto" w:sz="4" w:space="0"/>
              <w:bottom w:val="single" w:color="auto" w:sz="4" w:space="0"/>
            </w:tcBorders>
          </w:tcPr>
          <w:p>
            <w:pPr>
              <w:widowControl/>
              <w:jc w:val="center"/>
              <w:rPr>
                <w:rFonts w:hint="default" w:ascii="Times New Roman" w:hAnsi="Times New Roman" w:cs="Times New Roman" w:eastAsiaTheme="minorEastAsia"/>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Death</w:t>
            </w:r>
          </w:p>
        </w:tc>
        <w:tc>
          <w:tcPr>
            <w:tcW w:w="2280" w:type="dxa"/>
            <w:tcBorders>
              <w:top w:val="single" w:color="auto" w:sz="4" w:space="0"/>
              <w:bottom w:val="single" w:color="auto" w:sz="4" w:space="0"/>
            </w:tcBorders>
          </w:tcPr>
          <w:p>
            <w:pPr>
              <w:widowControl/>
              <w:jc w:val="center"/>
              <w:rPr>
                <w:rFonts w:hint="default" w:ascii="Times New Roman" w:hAnsi="Times New Roman" w:cs="Times New Roman" w:eastAsiaTheme="minorEastAsia"/>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Survival</w:t>
            </w:r>
          </w:p>
        </w:tc>
        <w:tc>
          <w:tcPr>
            <w:tcW w:w="2178" w:type="dxa"/>
            <w:tcBorders>
              <w:top w:val="single" w:color="auto" w:sz="4" w:space="0"/>
              <w:bottom w:val="single" w:color="auto" w:sz="4" w:space="0"/>
            </w:tcBorders>
          </w:tcPr>
          <w:p>
            <w:pPr>
              <w:widowControl/>
              <w:jc w:val="center"/>
              <w:rPr>
                <w:rFonts w:hint="default" w:ascii="Times New Roman" w:hAnsi="Times New Roman" w:cs="Times New Roman" w:eastAsiaTheme="minorEastAsia"/>
                <w:color w:val="000000" w:themeColor="text1"/>
                <w:szCs w:val="21"/>
                <w:lang w:val="en-US" w:eastAsia="zh-CN"/>
                <w14:textFill>
                  <w14:solidFill>
                    <w14:schemeClr w14:val="tx1"/>
                  </w14:solidFill>
                </w14:textFill>
              </w:rPr>
            </w:pPr>
            <w:r>
              <w:rPr>
                <w:rFonts w:hint="eastAsia" w:ascii="Times New Roman" w:hAnsi="Times New Roman" w:cs="Times New Roman"/>
                <w:i/>
                <w:iCs/>
                <w:color w:val="000000" w:themeColor="text1"/>
                <w:szCs w:val="21"/>
                <w:lang w:val="en-US" w:eastAsia="zh-CN"/>
                <w14:textFill>
                  <w14:solidFill>
                    <w14:schemeClr w14:val="tx1"/>
                  </w14:solidFill>
                </w14:textFill>
              </w:rPr>
              <w:t>P</w:t>
            </w:r>
            <w:r>
              <w:rPr>
                <w:rFonts w:hint="eastAsia" w:ascii="Times New Roman" w:hAnsi="Times New Roman" w:cs="Times New Roman"/>
                <w:i w:val="0"/>
                <w:iCs w:val="0"/>
                <w:color w:val="000000" w:themeColor="text1"/>
                <w:szCs w:val="21"/>
                <w:lang w:val="en-US" w:eastAsia="zh-CN"/>
                <w14:textFill>
                  <w14:solidFill>
                    <w14:schemeClr w14:val="tx1"/>
                  </w14:solidFill>
                </w14:textFill>
              </w:rPr>
              <w:t xml:space="preserve"> value</w:t>
            </w:r>
            <w:r>
              <w:rPr>
                <w:rFonts w:hint="eastAsia" w:ascii="Times New Roman" w:hAnsi="Times New Roman" w:cs="Times New Roman"/>
                <w:b/>
                <w:bCs/>
                <w:i w:val="0"/>
                <w:iCs w:val="0"/>
                <w:color w:val="000000" w:themeColor="text1"/>
                <w:sz w:val="24"/>
                <w:szCs w:val="24"/>
                <w:vertAlign w:val="superscript"/>
                <w:lang w:val="en-US" w:eastAsia="zh-CN"/>
                <w14:textFill>
                  <w14:solidFill>
                    <w14:schemeClr w14:val="tx1"/>
                  </w14:solidFill>
                </w14:textFill>
              </w:rPr>
              <w: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trPr>
        <w:tc>
          <w:tcPr>
            <w:tcW w:w="2161" w:type="dxa"/>
            <w:tcBorders>
              <w:top w:val="single" w:color="auto" w:sz="4" w:space="0"/>
              <w:right w:val="nil"/>
            </w:tcBorders>
          </w:tcPr>
          <w:p>
            <w:pPr>
              <w:spacing w:line="360" w:lineRule="auto"/>
              <w:rPr>
                <w:rFonts w:hint="default" w:ascii="Times New Roman" w:hAnsi="Times New Roman" w:cs="Times New Roman" w:eastAsiaTheme="minorEastAsia"/>
                <w:color w:val="000000" w:themeColor="text1"/>
                <w:szCs w:val="21"/>
                <w:lang w:val="en-US" w:eastAsia="zh-CN"/>
                <w14:textFill>
                  <w14:solidFill>
                    <w14:schemeClr w14:val="tx1"/>
                  </w14:solidFill>
                </w14:textFill>
              </w:rPr>
            </w:pPr>
            <w:r>
              <w:rPr>
                <w:rFonts w:hint="eastAsia" w:ascii="Times New Roman" w:hAnsi="Times New Roman" w:cs="Times New Roman"/>
                <w:b/>
                <w:bCs/>
                <w:color w:val="000000" w:themeColor="text1"/>
                <w:szCs w:val="21"/>
                <w:lang w:val="en-US" w:eastAsia="zh-CN"/>
                <w14:textFill>
                  <w14:solidFill>
                    <w14:schemeClr w14:val="tx1"/>
                  </w14:solidFill>
                </w14:textFill>
              </w:rPr>
              <w:t>Gender</w:t>
            </w:r>
          </w:p>
        </w:tc>
        <w:tc>
          <w:tcPr>
            <w:tcW w:w="2127" w:type="dxa"/>
            <w:tcBorders>
              <w:top w:val="single" w:color="auto" w:sz="4" w:space="0"/>
              <w:left w:val="nil"/>
            </w:tcBorders>
          </w:tcPr>
          <w:p>
            <w:pPr>
              <w:spacing w:line="360" w:lineRule="auto"/>
              <w:rPr>
                <w:rFonts w:ascii="Times New Roman" w:hAnsi="Times New Roman" w:cs="Times New Roman"/>
                <w:color w:val="000000" w:themeColor="text1"/>
                <w:szCs w:val="21"/>
                <w14:textFill>
                  <w14:solidFill>
                    <w14:schemeClr w14:val="tx1"/>
                  </w14:solidFill>
                </w14:textFill>
              </w:rPr>
            </w:pPr>
          </w:p>
        </w:tc>
        <w:tc>
          <w:tcPr>
            <w:tcW w:w="2280" w:type="dxa"/>
            <w:tcBorders>
              <w:top w:val="single" w:color="auto" w:sz="4" w:space="0"/>
            </w:tcBorders>
          </w:tcPr>
          <w:p>
            <w:pPr>
              <w:widowControl/>
              <w:jc w:val="left"/>
              <w:rPr>
                <w:rFonts w:ascii="Times New Roman" w:hAnsi="Times New Roman" w:cs="Times New Roman"/>
                <w:color w:val="000000" w:themeColor="text1"/>
                <w:szCs w:val="21"/>
                <w14:textFill>
                  <w14:solidFill>
                    <w14:schemeClr w14:val="tx1"/>
                  </w14:solidFill>
                </w14:textFill>
              </w:rPr>
            </w:pPr>
          </w:p>
        </w:tc>
        <w:tc>
          <w:tcPr>
            <w:tcW w:w="2178" w:type="dxa"/>
            <w:tcBorders>
              <w:top w:val="single" w:color="auto" w:sz="4" w:space="0"/>
            </w:tcBorders>
          </w:tcPr>
          <w:p>
            <w:pPr>
              <w:widowControl/>
              <w:jc w:val="left"/>
              <w:rPr>
                <w:rFonts w:ascii="Times New Roman" w:hAnsi="Times New Roman" w:cs="Times New Roman"/>
                <w:color w:val="000000" w:themeColor="text1"/>
                <w:szCs w:val="21"/>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trPr>
        <w:tc>
          <w:tcPr>
            <w:tcW w:w="2161" w:type="dxa"/>
            <w:tcBorders>
              <w:right w:val="nil"/>
            </w:tcBorders>
          </w:tcPr>
          <w:p>
            <w:pPr>
              <w:spacing w:line="360" w:lineRule="auto"/>
              <w:rPr>
                <w:rFonts w:hint="default" w:ascii="Times New Roman" w:hAnsi="Times New Roman" w:cs="Times New Roman" w:eastAsiaTheme="minorEastAsia"/>
                <w:color w:val="000000" w:themeColor="text1"/>
                <w:szCs w:val="21"/>
                <w:lang w:val="en-US" w:eastAsia="zh-CN"/>
                <w14:textFill>
                  <w14:solidFill>
                    <w14:schemeClr w14:val="tx1"/>
                  </w14:solidFill>
                </w14:textFill>
              </w:rPr>
            </w:pPr>
            <w:bookmarkStart w:id="0" w:name="OLE_LINK164" w:colFirst="1" w:colLast="2"/>
            <w:r>
              <w:rPr>
                <w:rFonts w:hint="eastAsia" w:ascii="Times New Roman" w:hAnsi="Times New Roman" w:cs="Times New Roman"/>
                <w:color w:val="000000" w:themeColor="text1"/>
                <w:szCs w:val="21"/>
                <w:lang w:val="en-US" w:eastAsia="zh-CN"/>
                <w14:textFill>
                  <w14:solidFill>
                    <w14:schemeClr w14:val="tx1"/>
                  </w14:solidFill>
                </w14:textFill>
              </w:rPr>
              <w:t>Male</w:t>
            </w:r>
          </w:p>
        </w:tc>
        <w:tc>
          <w:tcPr>
            <w:tcW w:w="2127" w:type="dxa"/>
            <w:tcBorders>
              <w:left w:val="nil"/>
            </w:tcBorders>
          </w:tcPr>
          <w:p>
            <w:pPr>
              <w:spacing w:line="360" w:lineRule="auto"/>
              <w:jc w:val="center"/>
              <w:rPr>
                <w:rFonts w:hint="default" w:ascii="Times New Roman" w:hAnsi="Times New Roman" w:cs="Times New Roman" w:eastAsiaTheme="minorEastAsia"/>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55</w:t>
            </w:r>
          </w:p>
        </w:tc>
        <w:tc>
          <w:tcPr>
            <w:tcW w:w="2280" w:type="dxa"/>
          </w:tcPr>
          <w:p>
            <w:pPr>
              <w:spacing w:line="360" w:lineRule="auto"/>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10</w:t>
            </w:r>
          </w:p>
        </w:tc>
        <w:tc>
          <w:tcPr>
            <w:tcW w:w="2178" w:type="dxa"/>
            <w:vMerge w:val="restart"/>
            <w:vAlign w:val="center"/>
          </w:tcPr>
          <w:p>
            <w:pPr>
              <w:widowControl/>
              <w:jc w:val="center"/>
              <w:rPr>
                <w:rFonts w:hint="default" w:ascii="Times New Roman" w:hAnsi="Times New Roman" w:cs="Times New Roman" w:eastAsiaTheme="minorEastAsia"/>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0.691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trPr>
        <w:tc>
          <w:tcPr>
            <w:tcW w:w="2161" w:type="dxa"/>
            <w:tcBorders>
              <w:right w:val="nil"/>
            </w:tcBorders>
          </w:tcPr>
          <w:p>
            <w:pPr>
              <w:spacing w:line="360" w:lineRule="auto"/>
              <w:rPr>
                <w:rFonts w:hint="default" w:ascii="Times New Roman" w:hAnsi="Times New Roman" w:cs="Times New Roman" w:eastAsiaTheme="minorEastAsia"/>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Female</w:t>
            </w:r>
          </w:p>
        </w:tc>
        <w:tc>
          <w:tcPr>
            <w:tcW w:w="2127" w:type="dxa"/>
            <w:tcBorders>
              <w:left w:val="nil"/>
            </w:tcBorders>
          </w:tcPr>
          <w:p>
            <w:pPr>
              <w:spacing w:line="360" w:lineRule="auto"/>
              <w:jc w:val="center"/>
              <w:rPr>
                <w:rFonts w:hint="default" w:ascii="Times New Roman" w:hAnsi="Times New Roman" w:cs="Times New Roman" w:eastAsiaTheme="minorEastAsia"/>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11</w:t>
            </w:r>
          </w:p>
        </w:tc>
        <w:tc>
          <w:tcPr>
            <w:tcW w:w="2280" w:type="dxa"/>
          </w:tcPr>
          <w:p>
            <w:pPr>
              <w:spacing w:line="360" w:lineRule="auto"/>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3</w:t>
            </w:r>
          </w:p>
        </w:tc>
        <w:tc>
          <w:tcPr>
            <w:tcW w:w="2178" w:type="dxa"/>
            <w:vMerge w:val="continue"/>
          </w:tcPr>
          <w:p>
            <w:pPr>
              <w:widowControl/>
              <w:jc w:val="center"/>
              <w:rPr>
                <w:rFonts w:ascii="Times New Roman" w:hAnsi="Times New Roman" w:cs="Times New Roman"/>
                <w:color w:val="000000" w:themeColor="text1"/>
                <w:szCs w:val="21"/>
                <w14:textFill>
                  <w14:solidFill>
                    <w14:schemeClr w14:val="tx1"/>
                  </w14:solidFill>
                </w14:textFill>
              </w:rPr>
            </w:pPr>
          </w:p>
        </w:tc>
      </w:tr>
      <w:bookmarkEnd w:id="0"/>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trPr>
        <w:tc>
          <w:tcPr>
            <w:tcW w:w="2161" w:type="dxa"/>
            <w:tcBorders>
              <w:right w:val="nil"/>
            </w:tcBorders>
          </w:tcPr>
          <w:p>
            <w:pPr>
              <w:spacing w:line="360" w:lineRule="auto"/>
              <w:rPr>
                <w:rFonts w:hint="default" w:ascii="Times New Roman" w:hAnsi="Times New Roman" w:cs="Times New Roman" w:eastAsiaTheme="minorEastAsia"/>
                <w:color w:val="000000" w:themeColor="text1"/>
                <w:szCs w:val="21"/>
                <w:lang w:val="en-US" w:eastAsia="zh-CN"/>
                <w14:textFill>
                  <w14:solidFill>
                    <w14:schemeClr w14:val="tx1"/>
                  </w14:solidFill>
                </w14:textFill>
              </w:rPr>
            </w:pPr>
            <w:r>
              <w:rPr>
                <w:rFonts w:hint="eastAsia" w:ascii="Times New Roman" w:hAnsi="Times New Roman" w:cs="Times New Roman"/>
                <w:b/>
                <w:bCs/>
                <w:color w:val="000000" w:themeColor="text1"/>
                <w:szCs w:val="21"/>
                <w:lang w:val="en-US" w:eastAsia="zh-CN"/>
                <w14:textFill>
                  <w14:solidFill>
                    <w14:schemeClr w14:val="tx1"/>
                  </w14:solidFill>
                </w14:textFill>
              </w:rPr>
              <w:t>Age, years</w:t>
            </w:r>
          </w:p>
        </w:tc>
        <w:tc>
          <w:tcPr>
            <w:tcW w:w="2127" w:type="dxa"/>
            <w:tcBorders>
              <w:left w:val="nil"/>
            </w:tcBorders>
          </w:tcPr>
          <w:p>
            <w:pPr>
              <w:spacing w:line="360" w:lineRule="auto"/>
              <w:rPr>
                <w:rFonts w:ascii="Times New Roman" w:hAnsi="Times New Roman" w:cs="Times New Roman"/>
                <w:color w:val="000000" w:themeColor="text1"/>
                <w:szCs w:val="21"/>
                <w14:textFill>
                  <w14:solidFill>
                    <w14:schemeClr w14:val="tx1"/>
                  </w14:solidFill>
                </w14:textFill>
              </w:rPr>
            </w:pPr>
          </w:p>
        </w:tc>
        <w:tc>
          <w:tcPr>
            <w:tcW w:w="2280" w:type="dxa"/>
          </w:tcPr>
          <w:p>
            <w:pPr>
              <w:spacing w:line="360" w:lineRule="auto"/>
              <w:rPr>
                <w:rFonts w:ascii="Times New Roman" w:hAnsi="Times New Roman" w:cs="Times New Roman"/>
                <w:color w:val="000000" w:themeColor="text1"/>
                <w:szCs w:val="21"/>
                <w14:textFill>
                  <w14:solidFill>
                    <w14:schemeClr w14:val="tx1"/>
                  </w14:solidFill>
                </w14:textFill>
              </w:rPr>
            </w:pPr>
          </w:p>
        </w:tc>
        <w:tc>
          <w:tcPr>
            <w:tcW w:w="2178" w:type="dxa"/>
          </w:tcPr>
          <w:p>
            <w:pPr>
              <w:spacing w:line="360" w:lineRule="auto"/>
              <w:jc w:val="center"/>
              <w:rPr>
                <w:rFonts w:ascii="Times New Roman" w:hAnsi="Times New Roman" w:cs="Times New Roman"/>
                <w:color w:val="000000" w:themeColor="text1"/>
                <w:szCs w:val="21"/>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trPr>
        <w:tc>
          <w:tcPr>
            <w:tcW w:w="2161" w:type="dxa"/>
            <w:tcBorders>
              <w:right w:val="nil"/>
            </w:tcBorders>
          </w:tcPr>
          <w:p>
            <w:pPr>
              <w:spacing w:line="360" w:lineRule="auto"/>
              <w:rPr>
                <w:rFonts w:hint="default" w:ascii="Times New Roman" w:hAnsi="Times New Roman" w:cs="Times New Roman" w:eastAsiaTheme="minorEastAsia"/>
                <w:color w:val="000000" w:themeColor="text1"/>
                <w:szCs w:val="21"/>
                <w:lang w:val="en-US" w:eastAsia="zh-CN"/>
                <w14:textFill>
                  <w14:solidFill>
                    <w14:schemeClr w14:val="tx1"/>
                  </w14:solidFill>
                </w14:textFill>
              </w:rPr>
            </w:pPr>
            <w:bookmarkStart w:id="1" w:name="OLE_LINK159" w:colFirst="1" w:colLast="2"/>
            <w:r>
              <w:rPr>
                <w:rFonts w:hint="eastAsia" w:ascii="Times New Roman" w:hAnsi="Times New Roman" w:cs="Times New Roman"/>
                <w:color w:val="000000" w:themeColor="text1"/>
                <w:szCs w:val="21"/>
                <w:lang w:val="en-US" w:eastAsia="zh-CN"/>
                <w14:textFill>
                  <w14:solidFill>
                    <w14:schemeClr w14:val="tx1"/>
                  </w14:solidFill>
                </w14:textFill>
              </w:rPr>
              <w:t>≤60</w:t>
            </w:r>
          </w:p>
        </w:tc>
        <w:tc>
          <w:tcPr>
            <w:tcW w:w="2127" w:type="dxa"/>
            <w:tcBorders>
              <w:left w:val="nil"/>
            </w:tcBorders>
          </w:tcPr>
          <w:p>
            <w:pPr>
              <w:spacing w:line="360" w:lineRule="auto"/>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19</w:t>
            </w:r>
          </w:p>
        </w:tc>
        <w:tc>
          <w:tcPr>
            <w:tcW w:w="2280" w:type="dxa"/>
          </w:tcPr>
          <w:p>
            <w:pPr>
              <w:spacing w:line="360" w:lineRule="auto"/>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8</w:t>
            </w:r>
          </w:p>
        </w:tc>
        <w:tc>
          <w:tcPr>
            <w:tcW w:w="2178" w:type="dxa"/>
            <w:vMerge w:val="restart"/>
            <w:vAlign w:val="center"/>
          </w:tcPr>
          <w:p>
            <w:pPr>
              <w:widowControl/>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b/>
                <w:bCs/>
                <w:color w:val="000000" w:themeColor="text1"/>
                <w:szCs w:val="21"/>
                <w:lang w:val="en-US" w:eastAsia="zh-CN"/>
                <w14:textFill>
                  <w14:solidFill>
                    <w14:schemeClr w14:val="tx1"/>
                  </w14:solidFill>
                </w14:textFill>
              </w:rPr>
              <w:t>0.023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trPr>
        <w:tc>
          <w:tcPr>
            <w:tcW w:w="2161" w:type="dxa"/>
            <w:tcBorders>
              <w:right w:val="nil"/>
            </w:tcBorders>
          </w:tcPr>
          <w:p>
            <w:pPr>
              <w:spacing w:line="360" w:lineRule="auto"/>
              <w:rPr>
                <w:rFonts w:hint="default" w:ascii="Times New Roman" w:hAnsi="Times New Roman" w:cs="Times New Roman" w:eastAsiaTheme="minorEastAsia"/>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＞60</w:t>
            </w:r>
          </w:p>
        </w:tc>
        <w:tc>
          <w:tcPr>
            <w:tcW w:w="2127" w:type="dxa"/>
            <w:tcBorders>
              <w:left w:val="nil"/>
            </w:tcBorders>
          </w:tcPr>
          <w:p>
            <w:pPr>
              <w:spacing w:line="360" w:lineRule="auto"/>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47</w:t>
            </w:r>
          </w:p>
        </w:tc>
        <w:tc>
          <w:tcPr>
            <w:tcW w:w="2280" w:type="dxa"/>
          </w:tcPr>
          <w:p>
            <w:pPr>
              <w:spacing w:line="360" w:lineRule="auto"/>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5</w:t>
            </w:r>
          </w:p>
        </w:tc>
        <w:tc>
          <w:tcPr>
            <w:tcW w:w="2178" w:type="dxa"/>
            <w:vMerge w:val="continue"/>
          </w:tcPr>
          <w:p>
            <w:pPr>
              <w:widowControl/>
              <w:jc w:val="center"/>
              <w:rPr>
                <w:rFonts w:hint="eastAsia" w:ascii="Times New Roman" w:hAnsi="Times New Roman" w:cs="Times New Roman"/>
                <w:color w:val="000000" w:themeColor="text1"/>
                <w:szCs w:val="21"/>
                <w:lang w:val="en-US" w:eastAsia="zh-CN"/>
                <w14:textFill>
                  <w14:solidFill>
                    <w14:schemeClr w14:val="tx1"/>
                  </w14:solidFill>
                </w14:textFill>
              </w:rPr>
            </w:pPr>
          </w:p>
        </w:tc>
      </w:tr>
      <w:bookmarkEnd w:id="1"/>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trPr>
        <w:tc>
          <w:tcPr>
            <w:tcW w:w="2161" w:type="dxa"/>
            <w:tcBorders>
              <w:right w:val="nil"/>
            </w:tcBorders>
          </w:tcPr>
          <w:p>
            <w:pPr>
              <w:spacing w:line="360" w:lineRule="auto"/>
              <w:rPr>
                <w:rFonts w:hint="default" w:ascii="Times New Roman" w:hAnsi="Times New Roman" w:cs="Times New Roman" w:eastAsiaTheme="minorEastAsia"/>
                <w:color w:val="000000" w:themeColor="text1"/>
                <w:szCs w:val="21"/>
                <w:lang w:val="en-US" w:eastAsia="zh-CN"/>
                <w14:textFill>
                  <w14:solidFill>
                    <w14:schemeClr w14:val="tx1"/>
                  </w14:solidFill>
                </w14:textFill>
              </w:rPr>
            </w:pPr>
            <w:r>
              <w:rPr>
                <w:rFonts w:hint="eastAsia" w:ascii="Times New Roman" w:hAnsi="Times New Roman" w:cs="Times New Roman"/>
                <w:b/>
                <w:bCs/>
                <w:color w:val="000000" w:themeColor="text1"/>
                <w:szCs w:val="21"/>
                <w:lang w:val="en-US" w:eastAsia="zh-CN"/>
                <w14:textFill>
                  <w14:solidFill>
                    <w14:schemeClr w14:val="tx1"/>
                  </w14:solidFill>
                </w14:textFill>
              </w:rPr>
              <w:t>Tumor size</w:t>
            </w:r>
          </w:p>
        </w:tc>
        <w:tc>
          <w:tcPr>
            <w:tcW w:w="2127" w:type="dxa"/>
            <w:tcBorders>
              <w:left w:val="nil"/>
            </w:tcBorders>
          </w:tcPr>
          <w:p>
            <w:pPr>
              <w:spacing w:line="360" w:lineRule="auto"/>
              <w:jc w:val="center"/>
              <w:rPr>
                <w:rFonts w:hint="eastAsia" w:ascii="Times New Roman" w:hAnsi="Times New Roman" w:cs="Times New Roman"/>
                <w:color w:val="000000" w:themeColor="text1"/>
                <w:szCs w:val="21"/>
                <w:lang w:val="en-US" w:eastAsia="zh-CN"/>
                <w14:textFill>
                  <w14:solidFill>
                    <w14:schemeClr w14:val="tx1"/>
                  </w14:solidFill>
                </w14:textFill>
              </w:rPr>
            </w:pPr>
          </w:p>
        </w:tc>
        <w:tc>
          <w:tcPr>
            <w:tcW w:w="2280" w:type="dxa"/>
          </w:tcPr>
          <w:p>
            <w:pPr>
              <w:spacing w:line="360" w:lineRule="auto"/>
              <w:jc w:val="center"/>
              <w:rPr>
                <w:rFonts w:hint="eastAsia" w:ascii="Times New Roman" w:hAnsi="Times New Roman" w:cs="Times New Roman"/>
                <w:color w:val="000000" w:themeColor="text1"/>
                <w:szCs w:val="21"/>
                <w:lang w:val="en-US" w:eastAsia="zh-CN"/>
                <w14:textFill>
                  <w14:solidFill>
                    <w14:schemeClr w14:val="tx1"/>
                  </w14:solidFill>
                </w14:textFill>
              </w:rPr>
            </w:pPr>
          </w:p>
        </w:tc>
        <w:tc>
          <w:tcPr>
            <w:tcW w:w="2178" w:type="dxa"/>
          </w:tcPr>
          <w:p>
            <w:pPr>
              <w:widowControl/>
              <w:jc w:val="center"/>
              <w:rPr>
                <w:rFonts w:hint="eastAsia" w:ascii="Times New Roman" w:hAnsi="Times New Roman" w:cs="Times New Roman"/>
                <w:color w:val="000000" w:themeColor="text1"/>
                <w:szCs w:val="21"/>
                <w:lang w:val="en-US" w:eastAsia="zh-CN"/>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trPr>
        <w:tc>
          <w:tcPr>
            <w:tcW w:w="2161" w:type="dxa"/>
            <w:tcBorders>
              <w:right w:val="nil"/>
            </w:tcBorders>
          </w:tcPr>
          <w:p>
            <w:pPr>
              <w:spacing w:line="360" w:lineRule="auto"/>
              <w:rPr>
                <w:rFonts w:hint="default" w:ascii="Times New Roman" w:hAnsi="Times New Roman" w:cs="Times New Roman"/>
                <w:color w:val="000000" w:themeColor="text1"/>
                <w:szCs w:val="21"/>
                <w:lang w:val="en-US" w:eastAsia="zh-CN"/>
                <w14:textFill>
                  <w14:solidFill>
                    <w14:schemeClr w14:val="tx1"/>
                  </w14:solidFill>
                </w14:textFill>
              </w:rPr>
            </w:pPr>
            <w:bookmarkStart w:id="2" w:name="OLE_LINK160" w:colFirst="1" w:colLast="2"/>
            <w:r>
              <w:rPr>
                <w:rFonts w:hint="eastAsia" w:ascii="Times New Roman" w:hAnsi="Times New Roman" w:cs="Times New Roman"/>
                <w:color w:val="000000" w:themeColor="text1"/>
                <w:szCs w:val="21"/>
                <w:lang w:val="en-US" w:eastAsia="zh-CN"/>
                <w14:textFill>
                  <w14:solidFill>
                    <w14:schemeClr w14:val="tx1"/>
                  </w14:solidFill>
                </w14:textFill>
              </w:rPr>
              <w:t>≤3cm</w:t>
            </w:r>
          </w:p>
        </w:tc>
        <w:tc>
          <w:tcPr>
            <w:tcW w:w="2127" w:type="dxa"/>
            <w:tcBorders>
              <w:left w:val="nil"/>
            </w:tcBorders>
            <w:vAlign w:val="top"/>
          </w:tcPr>
          <w:p>
            <w:pPr>
              <w:spacing w:line="360" w:lineRule="auto"/>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28</w:t>
            </w:r>
          </w:p>
        </w:tc>
        <w:tc>
          <w:tcPr>
            <w:tcW w:w="2280" w:type="dxa"/>
          </w:tcPr>
          <w:p>
            <w:pPr>
              <w:spacing w:line="360" w:lineRule="auto"/>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9</w:t>
            </w:r>
          </w:p>
        </w:tc>
        <w:tc>
          <w:tcPr>
            <w:tcW w:w="2178" w:type="dxa"/>
            <w:vMerge w:val="restart"/>
            <w:vAlign w:val="center"/>
          </w:tcPr>
          <w:p>
            <w:pPr>
              <w:widowControl/>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0.127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trPr>
        <w:tc>
          <w:tcPr>
            <w:tcW w:w="2161" w:type="dxa"/>
            <w:tcBorders>
              <w:right w:val="nil"/>
            </w:tcBorders>
          </w:tcPr>
          <w:p>
            <w:pPr>
              <w:spacing w:line="360" w:lineRule="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＞3cm</w:t>
            </w:r>
          </w:p>
        </w:tc>
        <w:tc>
          <w:tcPr>
            <w:tcW w:w="2127" w:type="dxa"/>
            <w:tcBorders>
              <w:left w:val="nil"/>
            </w:tcBorders>
            <w:vAlign w:val="top"/>
          </w:tcPr>
          <w:p>
            <w:pPr>
              <w:spacing w:line="360" w:lineRule="auto"/>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38</w:t>
            </w:r>
          </w:p>
        </w:tc>
        <w:tc>
          <w:tcPr>
            <w:tcW w:w="2280" w:type="dxa"/>
          </w:tcPr>
          <w:p>
            <w:pPr>
              <w:spacing w:line="360" w:lineRule="auto"/>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w:t>
            </w:r>
          </w:p>
        </w:tc>
        <w:tc>
          <w:tcPr>
            <w:tcW w:w="2178" w:type="dxa"/>
            <w:vMerge w:val="continue"/>
          </w:tcPr>
          <w:p>
            <w:pPr>
              <w:widowControl/>
              <w:jc w:val="center"/>
              <w:rPr>
                <w:rFonts w:hint="eastAsia" w:ascii="Times New Roman" w:hAnsi="Times New Roman" w:cs="Times New Roman"/>
                <w:color w:val="000000" w:themeColor="text1"/>
                <w:szCs w:val="21"/>
                <w:lang w:val="en-US" w:eastAsia="zh-CN"/>
                <w14:textFill>
                  <w14:solidFill>
                    <w14:schemeClr w14:val="tx1"/>
                  </w14:solidFill>
                </w14:textFill>
              </w:rPr>
            </w:pPr>
          </w:p>
        </w:tc>
      </w:tr>
      <w:bookmarkEnd w:id="2"/>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trPr>
        <w:tc>
          <w:tcPr>
            <w:tcW w:w="2161" w:type="dxa"/>
            <w:tcBorders>
              <w:right w:val="nil"/>
            </w:tcBorders>
          </w:tcPr>
          <w:p>
            <w:pPr>
              <w:spacing w:line="360" w:lineRule="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b/>
                <w:bCs/>
                <w:color w:val="000000" w:themeColor="text1"/>
                <w:szCs w:val="21"/>
                <w:lang w:val="en-US" w:eastAsia="zh-CN"/>
                <w14:textFill>
                  <w14:solidFill>
                    <w14:schemeClr w14:val="tx1"/>
                  </w14:solidFill>
                </w14:textFill>
              </w:rPr>
              <w:t>Metastasis</w:t>
            </w:r>
          </w:p>
        </w:tc>
        <w:tc>
          <w:tcPr>
            <w:tcW w:w="2127" w:type="dxa"/>
            <w:tcBorders>
              <w:left w:val="nil"/>
            </w:tcBorders>
          </w:tcPr>
          <w:p>
            <w:pPr>
              <w:spacing w:line="360" w:lineRule="auto"/>
              <w:jc w:val="center"/>
              <w:rPr>
                <w:rFonts w:hint="eastAsia" w:ascii="Times New Roman" w:hAnsi="Times New Roman" w:cs="Times New Roman"/>
                <w:color w:val="000000" w:themeColor="text1"/>
                <w:szCs w:val="21"/>
                <w:lang w:val="en-US" w:eastAsia="zh-CN"/>
                <w14:textFill>
                  <w14:solidFill>
                    <w14:schemeClr w14:val="tx1"/>
                  </w14:solidFill>
                </w14:textFill>
              </w:rPr>
            </w:pPr>
          </w:p>
        </w:tc>
        <w:tc>
          <w:tcPr>
            <w:tcW w:w="2280" w:type="dxa"/>
          </w:tcPr>
          <w:p>
            <w:pPr>
              <w:spacing w:line="360" w:lineRule="auto"/>
              <w:jc w:val="center"/>
              <w:rPr>
                <w:rFonts w:hint="eastAsia" w:ascii="Times New Roman" w:hAnsi="Times New Roman" w:cs="Times New Roman"/>
                <w:color w:val="000000" w:themeColor="text1"/>
                <w:szCs w:val="21"/>
                <w:lang w:val="en-US" w:eastAsia="zh-CN"/>
                <w14:textFill>
                  <w14:solidFill>
                    <w14:schemeClr w14:val="tx1"/>
                  </w14:solidFill>
                </w14:textFill>
              </w:rPr>
            </w:pPr>
          </w:p>
        </w:tc>
        <w:tc>
          <w:tcPr>
            <w:tcW w:w="2178" w:type="dxa"/>
          </w:tcPr>
          <w:p>
            <w:pPr>
              <w:widowControl/>
              <w:jc w:val="center"/>
              <w:rPr>
                <w:rFonts w:hint="eastAsia" w:ascii="Times New Roman" w:hAnsi="Times New Roman" w:cs="Times New Roman"/>
                <w:color w:val="000000" w:themeColor="text1"/>
                <w:szCs w:val="21"/>
                <w:lang w:val="en-US" w:eastAsia="zh-CN"/>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trPr>
        <w:tc>
          <w:tcPr>
            <w:tcW w:w="2161" w:type="dxa"/>
            <w:tcBorders>
              <w:right w:val="nil"/>
            </w:tcBorders>
          </w:tcPr>
          <w:p>
            <w:pPr>
              <w:spacing w:line="360" w:lineRule="auto"/>
              <w:rPr>
                <w:rFonts w:hint="default" w:ascii="Times New Roman" w:hAnsi="Times New Roman" w:cs="Times New Roman"/>
                <w:color w:val="000000" w:themeColor="text1"/>
                <w:szCs w:val="21"/>
                <w:lang w:val="en-US" w:eastAsia="zh-CN"/>
                <w14:textFill>
                  <w14:solidFill>
                    <w14:schemeClr w14:val="tx1"/>
                  </w14:solidFill>
                </w14:textFill>
              </w:rPr>
            </w:pPr>
            <w:bookmarkStart w:id="3" w:name="OLE_LINK167" w:colFirst="1" w:colLast="2"/>
            <w:r>
              <w:rPr>
                <w:rFonts w:hint="eastAsia" w:ascii="Times New Roman" w:hAnsi="Times New Roman" w:cs="Times New Roman"/>
                <w:color w:val="000000" w:themeColor="text1"/>
                <w:szCs w:val="21"/>
                <w:lang w:val="en-US" w:eastAsia="zh-CN"/>
                <w14:textFill>
                  <w14:solidFill>
                    <w14:schemeClr w14:val="tx1"/>
                  </w14:solidFill>
                </w14:textFill>
              </w:rPr>
              <w:t>Negtive</w:t>
            </w:r>
          </w:p>
        </w:tc>
        <w:tc>
          <w:tcPr>
            <w:tcW w:w="2127" w:type="dxa"/>
            <w:tcBorders>
              <w:left w:val="nil"/>
            </w:tcBorders>
          </w:tcPr>
          <w:p>
            <w:pPr>
              <w:spacing w:line="360" w:lineRule="auto"/>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46</w:t>
            </w:r>
          </w:p>
        </w:tc>
        <w:tc>
          <w:tcPr>
            <w:tcW w:w="2280" w:type="dxa"/>
          </w:tcPr>
          <w:p>
            <w:pPr>
              <w:spacing w:line="360" w:lineRule="auto"/>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12</w:t>
            </w:r>
          </w:p>
        </w:tc>
        <w:tc>
          <w:tcPr>
            <w:tcW w:w="2178" w:type="dxa"/>
            <w:vMerge w:val="restart"/>
            <w:vAlign w:val="center"/>
          </w:tcPr>
          <w:p>
            <w:pPr>
              <w:widowControl/>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b/>
                <w:bCs/>
                <w:color w:val="000000" w:themeColor="text1"/>
                <w:szCs w:val="21"/>
                <w:lang w:val="en-US" w:eastAsia="zh-CN"/>
                <w14:textFill>
                  <w14:solidFill>
                    <w14:schemeClr w14:val="tx1"/>
                  </w14:solidFill>
                </w14:textFill>
              </w:rPr>
              <w:t>0.030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trPr>
        <w:tc>
          <w:tcPr>
            <w:tcW w:w="2161" w:type="dxa"/>
            <w:tcBorders>
              <w:right w:val="nil"/>
            </w:tcBorders>
          </w:tcPr>
          <w:p>
            <w:pPr>
              <w:spacing w:line="360" w:lineRule="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Positive</w:t>
            </w:r>
          </w:p>
        </w:tc>
        <w:tc>
          <w:tcPr>
            <w:tcW w:w="2127" w:type="dxa"/>
            <w:tcBorders>
              <w:left w:val="nil"/>
            </w:tcBorders>
          </w:tcPr>
          <w:p>
            <w:pPr>
              <w:spacing w:line="360" w:lineRule="auto"/>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20</w:t>
            </w:r>
          </w:p>
        </w:tc>
        <w:tc>
          <w:tcPr>
            <w:tcW w:w="2280" w:type="dxa"/>
          </w:tcPr>
          <w:p>
            <w:pPr>
              <w:spacing w:line="360" w:lineRule="auto"/>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w:t>
            </w:r>
          </w:p>
        </w:tc>
        <w:tc>
          <w:tcPr>
            <w:tcW w:w="2178" w:type="dxa"/>
            <w:vMerge w:val="continue"/>
          </w:tcPr>
          <w:p>
            <w:pPr>
              <w:widowControl/>
              <w:jc w:val="center"/>
              <w:rPr>
                <w:rFonts w:hint="eastAsia" w:ascii="Times New Roman" w:hAnsi="Times New Roman" w:cs="Times New Roman"/>
                <w:color w:val="000000" w:themeColor="text1"/>
                <w:szCs w:val="21"/>
                <w:lang w:val="en-US" w:eastAsia="zh-CN"/>
                <w14:textFill>
                  <w14:solidFill>
                    <w14:schemeClr w14:val="tx1"/>
                  </w14:solidFill>
                </w14:textFill>
              </w:rPr>
            </w:pPr>
          </w:p>
        </w:tc>
      </w:tr>
      <w:bookmarkEnd w:id="3"/>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trPr>
        <w:tc>
          <w:tcPr>
            <w:tcW w:w="2161" w:type="dxa"/>
            <w:tcBorders>
              <w:right w:val="nil"/>
            </w:tcBorders>
          </w:tcPr>
          <w:p>
            <w:pPr>
              <w:spacing w:line="360" w:lineRule="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b/>
                <w:bCs/>
                <w:color w:val="000000" w:themeColor="text1"/>
                <w:szCs w:val="21"/>
                <w:lang w:val="en-US" w:eastAsia="zh-CN"/>
                <w14:textFill>
                  <w14:solidFill>
                    <w14:schemeClr w14:val="tx1"/>
                  </w14:solidFill>
                </w14:textFill>
              </w:rPr>
              <w:t>Clinical stage</w:t>
            </w:r>
          </w:p>
        </w:tc>
        <w:tc>
          <w:tcPr>
            <w:tcW w:w="2127" w:type="dxa"/>
            <w:tcBorders>
              <w:left w:val="nil"/>
            </w:tcBorders>
          </w:tcPr>
          <w:p>
            <w:pPr>
              <w:spacing w:line="360" w:lineRule="auto"/>
              <w:jc w:val="center"/>
              <w:rPr>
                <w:rFonts w:hint="eastAsia" w:ascii="Times New Roman" w:hAnsi="Times New Roman" w:cs="Times New Roman"/>
                <w:color w:val="000000" w:themeColor="text1"/>
                <w:szCs w:val="21"/>
                <w:lang w:val="en-US" w:eastAsia="zh-CN"/>
                <w14:textFill>
                  <w14:solidFill>
                    <w14:schemeClr w14:val="tx1"/>
                  </w14:solidFill>
                </w14:textFill>
              </w:rPr>
            </w:pPr>
          </w:p>
        </w:tc>
        <w:tc>
          <w:tcPr>
            <w:tcW w:w="2280" w:type="dxa"/>
          </w:tcPr>
          <w:p>
            <w:pPr>
              <w:spacing w:line="360" w:lineRule="auto"/>
              <w:jc w:val="center"/>
              <w:rPr>
                <w:rFonts w:hint="eastAsia" w:ascii="Times New Roman" w:hAnsi="Times New Roman" w:cs="Times New Roman"/>
                <w:color w:val="000000" w:themeColor="text1"/>
                <w:szCs w:val="21"/>
                <w:lang w:val="en-US" w:eastAsia="zh-CN"/>
                <w14:textFill>
                  <w14:solidFill>
                    <w14:schemeClr w14:val="tx1"/>
                  </w14:solidFill>
                </w14:textFill>
              </w:rPr>
            </w:pPr>
          </w:p>
        </w:tc>
        <w:tc>
          <w:tcPr>
            <w:tcW w:w="2178" w:type="dxa"/>
          </w:tcPr>
          <w:p>
            <w:pPr>
              <w:widowControl/>
              <w:jc w:val="center"/>
              <w:rPr>
                <w:rFonts w:hint="eastAsia" w:ascii="Times New Roman" w:hAnsi="Times New Roman" w:cs="Times New Roman"/>
                <w:color w:val="000000" w:themeColor="text1"/>
                <w:szCs w:val="21"/>
                <w:lang w:val="en-US" w:eastAsia="zh-CN"/>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trPr>
        <w:tc>
          <w:tcPr>
            <w:tcW w:w="2161" w:type="dxa"/>
            <w:tcBorders>
              <w:right w:val="nil"/>
            </w:tcBorders>
          </w:tcPr>
          <w:p>
            <w:pPr>
              <w:spacing w:line="360" w:lineRule="auto"/>
              <w:rPr>
                <w:rFonts w:hint="default" w:ascii="Times New Roman" w:hAnsi="Times New Roman" w:cs="Times New Roman"/>
                <w:color w:val="000000" w:themeColor="text1"/>
                <w:szCs w:val="21"/>
                <w:lang w:val="en-US" w:eastAsia="zh-CN"/>
                <w14:textFill>
                  <w14:solidFill>
                    <w14:schemeClr w14:val="tx1"/>
                  </w14:solidFill>
                </w14:textFill>
              </w:rPr>
            </w:pPr>
            <w:bookmarkStart w:id="4" w:name="OLE_LINK173" w:colFirst="1" w:colLast="2"/>
            <w:r>
              <w:rPr>
                <w:rFonts w:hint="eastAsia" w:ascii="Times New Roman" w:hAnsi="Times New Roman" w:cs="Times New Roman"/>
                <w:color w:val="000000" w:themeColor="text1"/>
                <w:szCs w:val="21"/>
                <w:lang w:val="en-US" w:eastAsia="zh-CN"/>
                <w14:textFill>
                  <w14:solidFill>
                    <w14:schemeClr w14:val="tx1"/>
                  </w14:solidFill>
                </w14:textFill>
              </w:rPr>
              <w:t>0-II</w:t>
            </w:r>
          </w:p>
        </w:tc>
        <w:tc>
          <w:tcPr>
            <w:tcW w:w="2127" w:type="dxa"/>
            <w:tcBorders>
              <w:left w:val="nil"/>
            </w:tcBorders>
          </w:tcPr>
          <w:p>
            <w:pPr>
              <w:spacing w:line="360" w:lineRule="auto"/>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54</w:t>
            </w:r>
          </w:p>
        </w:tc>
        <w:tc>
          <w:tcPr>
            <w:tcW w:w="2280" w:type="dxa"/>
          </w:tcPr>
          <w:p>
            <w:pPr>
              <w:spacing w:line="360" w:lineRule="auto"/>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11</w:t>
            </w:r>
          </w:p>
        </w:tc>
        <w:tc>
          <w:tcPr>
            <w:tcW w:w="2178" w:type="dxa"/>
            <w:vMerge w:val="restart"/>
            <w:vAlign w:val="center"/>
          </w:tcPr>
          <w:p>
            <w:pPr>
              <w:widowControl/>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0.809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 w:hRule="atLeast"/>
        </w:trPr>
        <w:tc>
          <w:tcPr>
            <w:tcW w:w="2161" w:type="dxa"/>
            <w:tcBorders>
              <w:right w:val="nil"/>
            </w:tcBorders>
          </w:tcPr>
          <w:p>
            <w:pPr>
              <w:spacing w:line="360" w:lineRule="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III-IV</w:t>
            </w:r>
          </w:p>
        </w:tc>
        <w:tc>
          <w:tcPr>
            <w:tcW w:w="2127" w:type="dxa"/>
            <w:tcBorders>
              <w:left w:val="nil"/>
            </w:tcBorders>
          </w:tcPr>
          <w:p>
            <w:pPr>
              <w:spacing w:line="360" w:lineRule="auto"/>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12</w:t>
            </w:r>
          </w:p>
        </w:tc>
        <w:tc>
          <w:tcPr>
            <w:tcW w:w="2280" w:type="dxa"/>
          </w:tcPr>
          <w:p>
            <w:pPr>
              <w:spacing w:line="360" w:lineRule="auto"/>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2</w:t>
            </w:r>
          </w:p>
        </w:tc>
        <w:tc>
          <w:tcPr>
            <w:tcW w:w="2178" w:type="dxa"/>
            <w:vMerge w:val="continue"/>
          </w:tcPr>
          <w:p>
            <w:pPr>
              <w:spacing w:line="360" w:lineRule="auto"/>
              <w:rPr>
                <w:rFonts w:ascii="Times New Roman" w:hAnsi="Times New Roman" w:cs="Times New Roman"/>
                <w:color w:val="000000" w:themeColor="text1"/>
                <w:szCs w:val="21"/>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 w:hRule="atLeast"/>
        </w:trPr>
        <w:tc>
          <w:tcPr>
            <w:tcW w:w="2161" w:type="dxa"/>
            <w:tcBorders>
              <w:bottom w:val="single" w:color="auto" w:sz="4" w:space="0"/>
              <w:right w:val="nil"/>
            </w:tcBorders>
          </w:tcPr>
          <w:p>
            <w:pPr>
              <w:spacing w:line="360" w:lineRule="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b/>
                <w:bCs/>
                <w:color w:val="000000" w:themeColor="text1"/>
                <w:szCs w:val="21"/>
                <w:lang w:val="en-US" w:eastAsia="zh-CN"/>
                <w14:textFill>
                  <w14:solidFill>
                    <w14:schemeClr w14:val="tx1"/>
                  </w14:solidFill>
                </w14:textFill>
              </w:rPr>
              <w:t>IGF1R expression</w:t>
            </w:r>
          </w:p>
        </w:tc>
        <w:tc>
          <w:tcPr>
            <w:tcW w:w="2127" w:type="dxa"/>
            <w:tcBorders>
              <w:left w:val="nil"/>
              <w:bottom w:val="single" w:color="auto" w:sz="4" w:space="0"/>
            </w:tcBorders>
          </w:tcPr>
          <w:p>
            <w:pPr>
              <w:spacing w:line="360" w:lineRule="auto"/>
              <w:jc w:val="center"/>
              <w:rPr>
                <w:rFonts w:hint="eastAsia"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 xml:space="preserve">2.25 ± 0.12 </w:t>
            </w:r>
          </w:p>
        </w:tc>
        <w:tc>
          <w:tcPr>
            <w:tcW w:w="2280" w:type="dxa"/>
            <w:tcBorders>
              <w:bottom w:val="single" w:color="auto" w:sz="4" w:space="0"/>
            </w:tcBorders>
          </w:tcPr>
          <w:p>
            <w:pPr>
              <w:spacing w:line="360" w:lineRule="auto"/>
              <w:jc w:val="center"/>
              <w:rPr>
                <w:rFonts w:hint="eastAsia"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1.73 ± 0.17</w:t>
            </w:r>
          </w:p>
        </w:tc>
        <w:tc>
          <w:tcPr>
            <w:tcW w:w="2178" w:type="dxa"/>
            <w:tcBorders>
              <w:bottom w:val="single" w:color="auto" w:sz="4" w:space="0"/>
            </w:tcBorders>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b/>
                <w:bCs/>
                <w:color w:val="000000" w:themeColor="text1"/>
                <w:szCs w:val="21"/>
                <w:lang w:val="en-US" w:eastAsia="zh-CN"/>
                <w14:textFill>
                  <w14:solidFill>
                    <w14:schemeClr w14:val="tx1"/>
                  </w14:solidFill>
                </w14:textFill>
              </w:rPr>
              <w:t>0.045</w:t>
            </w:r>
          </w:p>
        </w:tc>
      </w:tr>
      <w:bookmarkEnd w:id="4"/>
    </w:tbl>
    <w:p>
      <w:pPr>
        <w:spacing w:line="360" w:lineRule="auto"/>
        <w:rPr>
          <w:rFonts w:hint="eastAsia" w:ascii="Times New Roman" w:hAnsi="Times New Roman"/>
          <w:bCs/>
          <w:sz w:val="21"/>
          <w:szCs w:val="21"/>
          <w:lang w:val="en-US" w:eastAsia="zh-CN"/>
        </w:rPr>
      </w:pPr>
      <w:r>
        <w:rPr>
          <w:rFonts w:hint="eastAsia" w:ascii="Times New Roman" w:hAnsi="Times New Roman"/>
          <w:b/>
          <w:bCs w:val="0"/>
          <w:sz w:val="30"/>
          <w:szCs w:val="30"/>
          <w:vertAlign w:val="superscript"/>
          <w:lang w:val="en-US" w:eastAsia="zh-CN"/>
        </w:rPr>
        <w:t>a</w:t>
      </w:r>
      <w:r>
        <w:rPr>
          <w:rFonts w:hint="eastAsia" w:ascii="Times New Roman" w:hAnsi="Times New Roman"/>
          <w:bCs/>
          <w:sz w:val="21"/>
          <w:szCs w:val="21"/>
          <w:lang w:val="en-US" w:eastAsia="zh-CN"/>
        </w:rPr>
        <w:t>Statistical significance is determined by the Chi-square test, Fisher</w:t>
      </w:r>
      <w:r>
        <w:rPr>
          <w:rFonts w:hint="default" w:ascii="Times New Roman" w:hAnsi="Times New Roman"/>
          <w:bCs/>
          <w:sz w:val="21"/>
          <w:szCs w:val="21"/>
          <w:lang w:val="en-US" w:eastAsia="zh-CN"/>
        </w:rPr>
        <w:t>’</w:t>
      </w:r>
      <w:r>
        <w:rPr>
          <w:rFonts w:hint="eastAsia" w:ascii="Times New Roman" w:hAnsi="Times New Roman"/>
          <w:bCs/>
          <w:sz w:val="21"/>
          <w:szCs w:val="21"/>
          <w:lang w:val="en-US" w:eastAsia="zh-CN"/>
        </w:rPr>
        <w:t xml:space="preserve">s exact test or Student’s </w:t>
      </w:r>
      <w:r>
        <w:rPr>
          <w:rFonts w:hint="eastAsia" w:ascii="Times New Roman" w:hAnsi="Times New Roman"/>
          <w:bCs/>
          <w:i/>
          <w:iCs/>
          <w:sz w:val="21"/>
          <w:szCs w:val="21"/>
          <w:lang w:val="en-US" w:eastAsia="zh-CN"/>
        </w:rPr>
        <w:t>t</w:t>
      </w:r>
      <w:r>
        <w:rPr>
          <w:rFonts w:hint="eastAsia" w:ascii="Times New Roman" w:hAnsi="Times New Roman"/>
          <w:bCs/>
          <w:sz w:val="21"/>
          <w:szCs w:val="21"/>
          <w:lang w:val="en-US" w:eastAsia="zh-CN"/>
        </w:rPr>
        <w:t xml:space="preserve"> test.</w:t>
      </w:r>
    </w:p>
    <w:p>
      <w:pPr>
        <w:spacing w:line="360" w:lineRule="auto"/>
        <w:rPr>
          <w:rFonts w:hint="eastAsia" w:ascii="Times New Roman" w:hAnsi="Times New Roman" w:cs="Times New Roman"/>
          <w:b/>
          <w:bCs/>
          <w:color w:val="000000" w:themeColor="text1"/>
          <w:sz w:val="24"/>
          <w:szCs w:val="24"/>
          <w14:textFill>
            <w14:solidFill>
              <w14:schemeClr w14:val="tx1"/>
            </w14:solidFill>
          </w14:textFill>
        </w:rPr>
      </w:pPr>
    </w:p>
    <w:p>
      <w:pPr>
        <w:spacing w:line="360" w:lineRule="auto"/>
        <w:rPr>
          <w:rFonts w:hint="eastAsia" w:ascii="Times New Roman" w:hAnsi="Times New Roman"/>
          <w:bCs/>
          <w:sz w:val="21"/>
          <w:szCs w:val="21"/>
          <w:lang w:val="en-US" w:eastAsia="zh-CN"/>
        </w:rPr>
      </w:pPr>
    </w:p>
    <w:p>
      <w:pPr>
        <w:spacing w:line="360" w:lineRule="auto"/>
        <w:rPr>
          <w:rFonts w:hint="eastAsia" w:ascii="Times New Roman" w:hAnsi="Times New Roman"/>
          <w:bCs/>
          <w:sz w:val="21"/>
          <w:szCs w:val="21"/>
          <w:lang w:val="en-US" w:eastAsia="zh-CN"/>
        </w:rPr>
      </w:pPr>
    </w:p>
    <w:p>
      <w:pPr>
        <w:spacing w:line="360" w:lineRule="auto"/>
        <w:rPr>
          <w:rFonts w:hint="eastAsia" w:ascii="Times New Roman" w:hAnsi="Times New Roman"/>
          <w:bCs/>
          <w:sz w:val="21"/>
          <w:szCs w:val="21"/>
          <w:lang w:val="en-US" w:eastAsia="zh-CN"/>
        </w:rPr>
      </w:pPr>
    </w:p>
    <w:p>
      <w:pPr>
        <w:spacing w:line="360" w:lineRule="auto"/>
        <w:rPr>
          <w:rFonts w:hint="eastAsia" w:ascii="Times New Roman" w:hAnsi="Times New Roman"/>
          <w:bCs/>
          <w:sz w:val="21"/>
          <w:szCs w:val="21"/>
          <w:lang w:val="en-US" w:eastAsia="zh-CN"/>
        </w:rPr>
      </w:pPr>
    </w:p>
    <w:p>
      <w:pPr>
        <w:spacing w:line="360" w:lineRule="auto"/>
        <w:rPr>
          <w:rFonts w:hint="eastAsia" w:ascii="Times New Roman" w:hAnsi="Times New Roman"/>
          <w:bCs/>
          <w:sz w:val="21"/>
          <w:szCs w:val="21"/>
          <w:lang w:val="en-US" w:eastAsia="zh-CN"/>
        </w:rPr>
      </w:pPr>
    </w:p>
    <w:p>
      <w:pPr>
        <w:spacing w:line="360" w:lineRule="auto"/>
        <w:rPr>
          <w:rFonts w:hint="eastAsia" w:ascii="Times New Roman" w:hAnsi="Times New Roman"/>
          <w:bCs/>
          <w:sz w:val="21"/>
          <w:szCs w:val="21"/>
          <w:lang w:val="en-US" w:eastAsia="zh-CN"/>
        </w:rPr>
      </w:pPr>
    </w:p>
    <w:p>
      <w:pPr>
        <w:spacing w:line="360" w:lineRule="auto"/>
        <w:rPr>
          <w:rFonts w:hint="eastAsia" w:ascii="Times New Roman" w:hAnsi="Times New Roman"/>
          <w:bCs/>
          <w:sz w:val="21"/>
          <w:szCs w:val="21"/>
          <w:lang w:val="en-US" w:eastAsia="zh-CN"/>
        </w:rPr>
      </w:pPr>
    </w:p>
    <w:p>
      <w:pPr>
        <w:rPr>
          <w:rFonts w:ascii="Times New Roman" w:hAnsi="Times New Roman" w:cs="Times New Roman"/>
          <w:color w:val="000000" w:themeColor="text1"/>
          <w:szCs w:val="21"/>
          <w14:textFill>
            <w14:solidFill>
              <w14:schemeClr w14:val="tx1"/>
            </w14:solidFill>
          </w14:textFill>
        </w:rPr>
      </w:pPr>
    </w:p>
    <w:sectPr>
      <w:footerReference r:id="rId3" w:type="default"/>
      <w:pgSz w:w="11906" w:h="16838"/>
      <w:pgMar w:top="1440" w:right="1800" w:bottom="1440" w:left="1800" w:header="851" w:footer="992" w:gutter="0"/>
      <w:lnNumType w:countBy="0"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w:t>
                          </w:r>
                          <w:r>
                            <w:rPr>
                              <w:rFonts w:hint="default"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w:t>
                    </w:r>
                    <w:r>
                      <w:rPr>
                        <w:rFonts w:hint="default" w:ascii="Times New Roman" w:hAnsi="Times New Roman" w:cs="Times New Roman"/>
                        <w:sz w:val="21"/>
                        <w:szCs w:val="21"/>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JiOTZlYzJiZTI4NGY2MzJiYTE0OTcwMmRiNjI1ZDEifQ=="/>
    <w:docVar w:name="NE.Ref{023FF850-0A17-4B72-9F50-4F4041B7FC8F}" w:val=" ADDIN NE.Ref.{023FF850-0A17-4B72-9F50-4F4041B7FC8F}&lt;Citation&gt;&lt;Group&gt;&lt;References&gt;&lt;Item&gt;&lt;ID&gt;635&lt;/ID&gt;&lt;UID&gt;{9F5967E9-32C6-4299-8F19-49DCBD33175B}&lt;/UID&gt;&lt;Title&gt;Role of insulin-like growth factor-binding proteins in the pathophysiology and  tumorigenesis of gastroesophageal cancers&lt;/Title&gt;&lt;Template&gt;Journal Article&lt;/Template&gt;&lt;Star&gt;0&lt;/Star&gt;&lt;Tag&gt;0&lt;/Tag&gt;&lt;Author&gt;Kashyap, M K&lt;/Author&gt;&lt;Year&gt;2015&lt;/Year&gt;&lt;Details&gt;&lt;_accession_num&gt;26369544&lt;/_accession_num&gt;&lt;_author_adr&gt;Moores Cancer Center, University of California San Diego, 3855 Health Science Drive,  La Jolla, CA, 92093-0820, USA. mkashyap@ucsd.edu.; Department of Biotechnology, Shoolini University of Biotechnology and Management  Sciences, Solan, Himachal Pradesh, India. mkashyap@ucsd.edu.&lt;/_author_adr&gt;&lt;_date_display&gt;2015 Nov&lt;/_date_display&gt;&lt;_date&gt;2015-11-01&lt;/_date&gt;&lt;_doi&gt;10.1007/s13277-015-3972-3&lt;/_doi&gt;&lt;_isbn&gt;1423-0380 (Electronic); 1010-4283 (Linking)&lt;/_isbn&gt;&lt;_issue&gt;11&lt;/_issue&gt;&lt;_journal&gt;Tumour Biol&lt;/_journal&gt;&lt;_keywords&gt;ESCC; Esophageal adenocarcinoma; Esophageal squamous cell carcinoma; Gastric adenocarcinoma; IGFBP7; IGFBPs / IGFBP-rP&lt;/_keywords&gt;&lt;_language&gt;eng&lt;/_language&gt;&lt;_pages&gt;8247-57&lt;/_pages&gt;&lt;_subject_headings&gt;Adenocarcinoma/*genetics; Carcinogenesis/genetics; Carcinoma, Squamous Cell/*genetics/pathology; Esophageal Neoplasms/*genetics/pathology; Esophageal Squamous Cell Carcinoma; Humans; Insulin-Like Growth Factor Binding Proteins/*genetics; Signal Transduction; Stomach Neoplasms/*genetics/pathology&lt;/_subject_headings&gt;&lt;_tertiary_title&gt;Tumour biology : the journal of the International Society for Oncodevelopmental _x000d__x000a_      Biology and Medicine&lt;/_tertiary_title&gt;&lt;_type_work&gt;Journal Article; Research Support, Non-U.S. Gov&amp;apos;t; Review&lt;/_type_work&gt;&lt;_url&gt;http://www.ncbi.nlm.nih.gov/entrez/query.fcgi?cmd=Retrieve&amp;amp;db=pubmed&amp;amp;dopt=Abstract&amp;amp;list_uids=26369544&amp;amp;query_hl=1&lt;/_url&gt;&lt;_volume&gt;36&lt;/_volume&gt;&lt;_created&gt;63818175&lt;/_created&gt;&lt;_modified&gt;63818175&lt;/_modified&gt;&lt;/Details&gt;&lt;Extra&gt;&lt;DBUID&gt;{F96A950B-833F-4880-A151-76DA2D6A2879}&lt;/DBUID&gt;&lt;/Extra&gt;&lt;/Item&gt;&lt;/References&gt;&lt;/Group&gt;&lt;/Citation&gt;_x000a_"/>
    <w:docVar w:name="NE.Ref{12ED36C9-8FAB-4355-BCDF-7D9FF915EEA7}" w:val=" ADDIN NE.Ref.{12ED36C9-8FAB-4355-BCDF-7D9FF915EEA7}&lt;Citation&gt;&lt;Group&gt;&lt;References&gt;&lt;Item&gt;&lt;ID&gt;629&lt;/ID&gt;&lt;UID&gt;{DB512BED-1217-419F-B0CF-1FAC51EE62AD}&lt;/UID&gt;&lt;Title&gt;Pyrroline-5-carboxylate reductase 1 (PYCR1) upregulation contributes to gastric  cancer progression and indicates poor survival outcome&lt;/Title&gt;&lt;Template&gt;Journal Article&lt;/Template&gt;&lt;Star&gt;0&lt;/Star&gt;&lt;Tag&gt;0&lt;/Tag&gt;&lt;Author&gt;Xiao, S; Li, S; Yuan, Z; Zhou, L&lt;/Author&gt;&lt;Year&gt;2020&lt;/Year&gt;&lt;Details&gt;&lt;_accession_num&gt;32953737&lt;/_accession_num&gt;&lt;_author_adr&gt;Department of Gastroenterology, Peking University Third Hospital, Beijing, China.; Beijing Key Laboratory of Helicobacter pylori Infection and Upper Gastrointestinal  Diseases, Peking University Third Hospital, Beijing, China.; Department of Gastroenterology, Peking University Third Hospital, Beijing, China.; Beijing Key Laboratory of Helicobacter pylori Infection and Upper Gastrointestinal  Diseases, Peking University Third Hospital, Beijing, China.; Department of Gastroenterology, Peking University Third Hospital, Beijing, China.; Beijing Key Laboratory of Helicobacter pylori Infection and Upper Gastrointestinal  Diseases, Peking University Third Hospital, Beijing, China.; Department of Gastroenterology, Peking University Third Hospital, Beijing, China.; Beijing Key Laboratory of Helicobacter pylori Infection and Upper Gastrointestinal  Diseases, Peking University Third Hospital, Beijing, China.&lt;/_author_adr&gt;&lt;_date_display&gt;2020 Aug&lt;/_date_display&gt;&lt;_date&gt;2020-08-01&lt;/_date&gt;&lt;_doi&gt;10.21037/atm-19-4402&lt;/_doi&gt;&lt;_isbn&gt;2305-5839 (Print); 2305-5847 (Electronic); 2305-5839 (Linking)&lt;/_isbn&gt;&lt;_issue&gt;15&lt;/_issue&gt;&lt;_journal&gt;Ann Transl Med&lt;/_journal&gt;&lt;_keywords&gt;Gastric cancer (GC); PI3K/Akt; Pyrroline-5-carboxylate reductase 1 (PYCR1); metabolic stress; proline metabolism&lt;/_keywords&gt;&lt;_language&gt;eng&lt;/_language&gt;&lt;_ori_publication&gt;2020 Annals of Translational Medicine. All rights reserved.&lt;/_ori_publication&gt;&lt;_pages&gt;937&lt;/_pages&gt;&lt;_tertiary_title&gt;Annals of translational medicine&lt;/_tertiary_title&gt;&lt;_type_work&gt;Journal Article&lt;/_type_work&gt;&lt;_url&gt;http://www.ncbi.nlm.nih.gov/entrez/query.fcgi?cmd=Retrieve&amp;amp;db=pubmed&amp;amp;dopt=Abstract&amp;amp;list_uids=32953737&amp;amp;query_hl=1&lt;/_url&gt;&lt;_volume&gt;8&lt;/_volume&gt;&lt;_created&gt;63818024&lt;/_created&gt;&lt;_modified&gt;63818024&lt;/_modified&gt;&lt;_impact_factor&gt;   3.297&lt;/_impact_factor&gt;&lt;/Details&gt;&lt;Extra&gt;&lt;DBUID&gt;{F96A950B-833F-4880-A151-76DA2D6A2879}&lt;/DBUID&gt;&lt;/Extra&gt;&lt;/Item&gt;&lt;/References&gt;&lt;/Group&gt;&lt;/Citation&gt;_x000a_"/>
    <w:docVar w:name="NE.Ref{15EB3C46-658A-4C4C-B422-146E7CB800C9}" w:val=" ADDIN NE.Ref.{15EB3C46-658A-4C4C-B422-146E7CB800C9}&lt;Citation&gt;&lt;Group&gt;&lt;References&gt;&lt;Item&gt;&lt;ID&gt;633&lt;/ID&gt;&lt;UID&gt;{2E6D54DF-D243-49E7-A868-787333963742}&lt;/UID&gt;&lt;Title&gt;JmjC-KDMs KDM3A and KDM6B modulate radioresistance under hypoxic conditions in  esophageal squamous cell carcinoma&lt;/Title&gt;&lt;Template&gt;Journal Article&lt;/Template&gt;&lt;Star&gt;0&lt;/Star&gt;&lt;Tag&gt;0&lt;/Tag&gt;&lt;Author&gt;Macedo-Silva, C; Miranda-Gon莽alves, V; Lameirinhas, A; Lencart, J; Pereira, A; Lobo, J; Guimar茫es, R; Martins, A T; Henrique, R; Bravo, I; Jer贸nimo, C&lt;/Author&gt;&lt;Year&gt;2020&lt;/Year&gt;&lt;Details&gt;&lt;_accession_num&gt;33318475&lt;/_accession_num&gt;&lt;_author_adr&gt;Cancer Biology &amp;amp; Epigenetics Group - Research Center, Portuguese Oncology Institute  of Porto (CI-IPOP), Porto, Portugal.; Cancer Biology &amp;amp; Epigenetics Group - Research Center, Portuguese Oncology Institute  of Porto (CI-IPOP), Porto, Portugal.; Cancer Biology &amp;amp; Epigenetics Group - Research Center, Portuguese Oncology Institute  of Porto (CI-IPOP), Porto, Portugal.; Medical Physics, Radiobiology and Radiation Protection Group - Research Center,  Portuguese Oncology Institute of Porto (CI-IPOP), Porto, Portugal.; Departments of Medical Physics, Portuguese Oncology Institute of Porto, Porto,  Portugal.; Medical Physics, Radiobiology and Radiation Protection Group - Research Center,  Portuguese Oncology Institute of Porto (CI-IPOP), Porto, Portugal.; Departments of Medical Physics, Portuguese Oncology Institute of Porto, Porto,  Portugal.; Cancer Biology &amp;amp; Epigenetics Group - Research Center, Portuguese Oncology Institute  of Porto (CI-IPOP), Porto, Portugal.; Departments of Pathology, Portuguese Oncology Institute of Porto, Porto, Portugal.; Department of Pathology and Molecular Immunology, Institute of Biomedical Sciences  Abel Salazar - University of Porto (ICBAS-UP), Porto, Portugal.; Departments of Pathology, Portuguese Oncology Institute of Porto, Porto, Portugal.; Departments of Pathology, Portuguese Oncology Institute of Porto, Porto, Portugal.; Cancer Biology &amp;amp; Epigenetics Group - Research Center, Portuguese Oncology Institute  of Porto (CI-IPOP), Porto, Portugal.; Departments of Pathology, Portuguese Oncology Institute of Porto, Porto, Portugal.; Department of Pathology and Molecular Immunology, Institute of Biomedical Sciences  Abel Salazar - University of Porto (ICBAS-UP), Porto, Portugal.; Medical Physics, Radiobiology and Radiation Protection Group - Research Center,  Portuguese Oncology Institute of Porto (CI-IPOP), Porto, Portugal.; Cancer Biology &amp;amp; Epigenetics Group - Research Center, Portuguese Oncology Institute  of Porto (CI-IPOP), Porto, Portugal. carmenjeronimo@ipoporto.min-saude.pt.; Department of Pathology and Molecular Immunology, Institute of Biomedical Sciences  Abel Salazar - University of Porto (ICBAS-UP), Porto, Portugal.  carmenjeronimo@ipoporto.min-saude.pt.&lt;/_author_adr&gt;&lt;_date_display&gt;2020 Dec 14&lt;/_date_display&gt;&lt;_date&gt;2020-12-14&lt;/_date&gt;&lt;_doi&gt;10.1038/s41419-020-03279-y&lt;/_doi&gt;&lt;_isbn&gt;2041-4889 (Electronic)&lt;/_isbn&gt;&lt;_issue&gt;12&lt;/_issue&gt;&lt;_journal&gt;Cell Death Dis&lt;/_journal&gt;&lt;_language&gt;eng&lt;/_language&gt;&lt;_pages&gt;1068&lt;/_pages&gt;&lt;_subject_headings&gt;Apoptosis/drug effects/genetics/radiation effects; Biomarkers, Tumor/metabolism; Cell Line, Tumor; Cell Movement/drug effects/genetics/radiation effects; Cell Proliferation/drug effects/radiation effects; DNA Damage; DNA Repair/drug effects; Esophageal Neoplasms/genetics/*metabolism/*pathology; Esophageal Squamous Cell Carcinoma/genetics/*metabolism/*pathology; Gene Expression Regulation, Neoplastic/drug effects/radiation effects; Humans; Hydroxyquinolines/pharmacology; Jumonji Domain-Containing Histone Demethylases/genetics/*metabolism; *Radiation Tolerance/drug effects; Radiation, Ionizing; *Tumor Hypoxia/drug effects/genetics/radiation effects&lt;/_subject_headings&gt;&lt;_tertiary_title&gt;Cell death &amp;amp; disease&lt;/_tertiary_title&gt;&lt;_type_work&gt;Journal Article; Research Support, Non-U.S. Gov&amp;apos;t&lt;/_type_work&gt;&lt;_url&gt;http://www.ncbi.nlm.nih.gov/entrez/query.fcgi?cmd=Retrieve&amp;amp;db=pubmed&amp;amp;dopt=Abstract&amp;amp;list_uids=33318475&amp;amp;query_hl=1&lt;/_url&gt;&lt;_volume&gt;11&lt;/_volume&gt;&lt;_created&gt;63818072&lt;/_created&gt;&lt;_modified&gt;63818072&lt;/_modified&gt;&lt;_impact_factor&gt;   6.304&lt;/_impact_factor&gt;&lt;_collection_scope&gt;SCIE&lt;/_collection_scope&gt;&lt;/Details&gt;&lt;Extra&gt;&lt;DBUID&gt;{F96A950B-833F-4880-A151-76DA2D6A2879}&lt;/DBUID&gt;&lt;/Extra&gt;&lt;/Item&gt;&lt;/References&gt;&lt;/Group&gt;&lt;/Citation&gt;_x000a_"/>
    <w:docVar w:name="NE.Ref{1E5C494F-5B49-49B6-A0D3-AAFB006DFE6F}" w:val=" ADDIN NE.Ref.{1E5C494F-5B49-49B6-A0D3-AAFB006DFE6F}&lt;Citation&gt;&lt;Group&gt;&lt;References&gt;&lt;Item&gt;&lt;ID&gt;626&lt;/ID&gt;&lt;UID&gt;{6CE50741-9C0C-4251-B8E2-19EDCB1E9601}&lt;/UID&gt;&lt;Title&gt;Investigating Novel Genes Potentially Involved in Endometrial Adenocarcinoma using  Next-Generation Sequencing and Bioinformatic Approaches&lt;/Title&gt;&lt;Template&gt;Journal Article&lt;/Template&gt;&lt;Star&gt;0&lt;/Star&gt;&lt;Tag&gt;0&lt;/Tag&gt;&lt;Author&gt;Tang, F H; Chang, W A; Tsai, E M; Tsai, M J; Kuo, P L&lt;/Author&gt;&lt;Year&gt;2019&lt;/Year&gt;&lt;Details&gt;&lt;_accession_num&gt;31692912&lt;/_accession_num&gt;&lt;_author_adr&gt;Graduate Institute of Clinical Medicine, College of Medicine, Kaohsiung Medical  University, Kaohsiung 807, Taiwan.; Department of Obstetrics and Gynecology, Kaohsiung Medical University Hospital,  Kaohsiung Medical University, Kaohsiung 807, Taiwan.; Department of Obstetrics and Gynecology, Kaohsiung Municipal Ta-Tung Hospital,  Kaohsiung Medical University, Kaohsiung 807, Taiwan.; Graduate Institute of Clinical Medicine, College of Medicine, Kaohsiung Medical  University, Kaohsiung 807, Taiwan.; Division of Pulmonary and Critical Care Medicine, Kaohsiung Medical University  Hospital, Kaohsiung 807, Taiwan.; Department of Internal Medicine, School of Medicine, College of Medicine, Kaohsiung  Medical University, Kaohsiung 807, Taiwan.; Department of Obstetrics and Gynecology, Kaohsiung Medical University Hospital,  Kaohsiung Medical University, Kaohsiung 807, Taiwan.; Graduate Institute of Medicine, College of Medicine, Kaohsiung Medical University,  Kaohsiung 807, Taiwan.; Graduate Institute of Clinical Medicine, College of Medicine, Kaohsiung Medical  University, Kaohsiung 807, Taiwan.; Division of Pulmonary and Critical Care Medicine, Kaohsiung Medical University  Hospital, Kaohsiung 807, Taiwan.; Department of Internal Medicine, School of Medicine, College of Medicine, Kaohsiung  Medical University, Kaohsiung 807, Taiwan.; Department of Respiratory Therapy, College of Medicine, Kaohsiung Medical  University, Kaohsiung 807, Taiwan.; Graduate Institute of Clinical Medicine, College of Medicine, Kaohsiung Medical  University, Kaohsiung 807, Taiwan.; Institute of Medical Science and Technology, National Sun Yat-Sen University,  Kaohsiung 804, Taiwan.&lt;/_author_adr&gt;&lt;_date_display&gt;2019&lt;/_date_display&gt;&lt;_date&gt;2019-01-20&lt;/_date&gt;&lt;_doi&gt;10.7150/ijms.38219&lt;/_doi&gt;&lt;_isbn&gt;1449-1907 (Electronic); 1449-1907 (Linking)&lt;/_isbn&gt;&lt;_issue&gt;10&lt;/_issue&gt;&lt;_journal&gt;Int J Med Sci&lt;/_journal&gt;&lt;_keywords&gt;CSTB; HPGD; bioinformatics; endometrial cancer; miR-127-5p; miR-218-5p; next generation sequencing; papillomavirus&lt;/_keywords&gt;&lt;_language&gt;eng&lt;/_language&gt;&lt;_ori_publication&gt;漏 The author(s).&lt;/_ori_publication&gt;&lt;_pages&gt;1338-1348&lt;/_pages&gt;&lt;_subject_headings&gt;Adenocarcinoma/*genetics/immunology/mortality/pathology; Aged; Biomarkers, Tumor/genetics/*metabolism; Computational Biology; Cystatin B/genetics; Down-Regulation; Endometrial Neoplasms/*genetics/immunology/mortality/pathology; Endometrium/pathology; Female; Follow-Up Studies; Gene Expression Profiling; *Gene Expression Regulation, Neoplastic; High-Throughput Nucleotide Sequencing; Humans; Hydroxyprostaglandin Dehydrogenases/genetics; Kaplan-Meier Estimate; MicroRNAs/metabolism; Middle Aged; Prognosis; Signal Transduction/genetics/immunology; Up-Regulation&lt;/_subject_headings&gt;&lt;_tertiary_title&gt;International journal of medical sciences&lt;/_tertiary_title&gt;&lt;_type_work&gt;Journal Article&lt;/_type_work&gt;&lt;_url&gt;http://www.ncbi.nlm.nih.gov/entrez/query.fcgi?cmd=Retrieve&amp;amp;db=pubmed&amp;amp;dopt=Abstract&amp;amp;list_uids=31692912&amp;amp;query_hl=1&lt;/_url&gt;&lt;_volume&gt;16&lt;/_volume&gt;&lt;_created&gt;63815940&lt;/_created&gt;&lt;_modified&gt;63815940&lt;/_modified&gt;&lt;_impact_factor&gt;   2.523&lt;/_impact_factor&gt;&lt;_collection_scope&gt;SCIE&lt;/_collection_scope&gt;&lt;/Details&gt;&lt;Extra&gt;&lt;DBUID&gt;{F96A950B-833F-4880-A151-76DA2D6A2879}&lt;/DBUID&gt;&lt;/Extra&gt;&lt;/Item&gt;&lt;/References&gt;&lt;/Group&gt;&lt;/Citation&gt;_x000a_"/>
    <w:docVar w:name="NE.Ref{24AB7375-031E-4E44-888A-DD9DD3421AFD}" w:val=" ADDIN NE.Ref.{24AB7375-031E-4E44-888A-DD9DD3421AFD}&lt;Citation&gt;&lt;Group&gt;&lt;References&gt;&lt;Item&gt;&lt;ID&gt;641&lt;/ID&gt;&lt;UID&gt;{E31EAD1C-75E4-48C8-8533-D21F6ADA214B}&lt;/UID&gt;&lt;Title&gt;Esophageal carcinoma&lt;/Title&gt;&lt;Template&gt;Journal Article&lt;/Template&gt;&lt;Star&gt;0&lt;/Star&gt;&lt;Tag&gt;0&lt;/Tag&gt;&lt;Author&gt;Rustgi, A K; El-Serag, H B&lt;/Author&gt;&lt;Year&gt;2014&lt;/Year&gt;&lt;Details&gt;&lt;_accession_num&gt;25539106&lt;/_accession_num&gt;&lt;_date_display&gt;2014 Dec 25&lt;/_date_display&gt;&lt;_date&gt;2014-12-25&lt;/_date&gt;&lt;_doi&gt;10.1056/NEJMra1314530&lt;/_doi&gt;&lt;_isbn&gt;1533-4406 (Electronic); 0028-4793 (Linking)&lt;/_isbn&gt;&lt;_issue&gt;26&lt;/_issue&gt;&lt;_journal&gt;N Engl J Med&lt;/_journal&gt;&lt;_language&gt;eng&lt;/_language&gt;&lt;_pages&gt;2499-509&lt;/_pages&gt;&lt;_subject_headings&gt;*Adenocarcinoma/diagnosis/epidemiology/etiology/therapy; Barrett Esophagus/complications/diagnosis; *Carcinoma, Squamous Cell/diagnosis/epidemiology/etiology/therapy; Combined Modality Therapy; *Esophageal Neoplasms/diagnosis/epidemiology/etiology/therapy; Esophagus/*pathology; Humans; Neoplasm Staging/methods; Risk Factors&lt;/_subject_headings&gt;&lt;_tertiary_title&gt;The New England journal of medicine&lt;/_tertiary_title&gt;&lt;_type_work&gt;Journal Article&lt;/_type_work&gt;&lt;_url&gt;http://www.ncbi.nlm.nih.gov/entrez/query.fcgi?cmd=Retrieve&amp;amp;db=pubmed&amp;amp;dopt=Abstract&amp;amp;list_uids=25539106&amp;amp;query_hl=1&lt;/_url&gt;&lt;_volume&gt;371&lt;/_volume&gt;&lt;_created&gt;63826489&lt;/_created&gt;&lt;_modified&gt;63826489&lt;/_modified&gt;&lt;_impact_factor&gt;  74.699&lt;/_impact_factor&gt;&lt;/Details&gt;&lt;Extra&gt;&lt;DBUID&gt;{F96A950B-833F-4880-A151-76DA2D6A2879}&lt;/DBUID&gt;&lt;/Extra&gt;&lt;/Item&gt;&lt;/References&gt;&lt;/Group&gt;&lt;/Citation&gt;_x000a_"/>
    <w:docVar w:name="NE.Ref{2E525A6D-20C6-4F24-ACC9-99C64CDAB69E}" w:val=" ADDIN NE.Ref.{2E525A6D-20C6-4F24-ACC9-99C64CDAB69E}&lt;Citation&gt;&lt;Group&gt;&lt;References&gt;&lt;Item&gt;&lt;ID&gt;641&lt;/ID&gt;&lt;UID&gt;{E31EAD1C-75E4-48C8-8533-D21F6ADA214B}&lt;/UID&gt;&lt;Title&gt;Esophageal carcinoma&lt;/Title&gt;&lt;Template&gt;Journal Article&lt;/Template&gt;&lt;Star&gt;0&lt;/Star&gt;&lt;Tag&gt;0&lt;/Tag&gt;&lt;Author&gt;Rustgi, A K; El-Serag, H B&lt;/Author&gt;&lt;Year&gt;2014&lt;/Year&gt;&lt;Details&gt;&lt;_accession_num&gt;25539106&lt;/_accession_num&gt;&lt;_date_display&gt;2014 Dec 25&lt;/_date_display&gt;&lt;_date&gt;2014-12-25&lt;/_date&gt;&lt;_doi&gt;10.1056/NEJMra1314530&lt;/_doi&gt;&lt;_isbn&gt;1533-4406 (Electronic); 0028-4793 (Linking)&lt;/_isbn&gt;&lt;_issue&gt;26&lt;/_issue&gt;&lt;_journal&gt;N Engl J Med&lt;/_journal&gt;&lt;_language&gt;eng&lt;/_language&gt;&lt;_pages&gt;2499-509&lt;/_pages&gt;&lt;_subject_headings&gt;*Adenocarcinoma/diagnosis/epidemiology/etiology/therapy; Barrett Esophagus/complications/diagnosis; *Carcinoma, Squamous Cell/diagnosis/epidemiology/etiology/therapy; Combined Modality Therapy; *Esophageal Neoplasms/diagnosis/epidemiology/etiology/therapy; Esophagus/*pathology; Humans; Neoplasm Staging/methods; Risk Factors&lt;/_subject_headings&gt;&lt;_tertiary_title&gt;The New England journal of medicine&lt;/_tertiary_title&gt;&lt;_type_work&gt;Journal Article&lt;/_type_work&gt;&lt;_url&gt;http://www.ncbi.nlm.nih.gov/entrez/query.fcgi?cmd=Retrieve&amp;amp;db=pubmed&amp;amp;dopt=Abstract&amp;amp;list_uids=25539106&amp;amp;query_hl=1&lt;/_url&gt;&lt;_volume&gt;371&lt;/_volume&gt;&lt;_created&gt;63826489&lt;/_created&gt;&lt;_modified&gt;63826489&lt;/_modified&gt;&lt;_impact_factor&gt;  74.699&lt;/_impact_factor&gt;&lt;/Details&gt;&lt;Extra&gt;&lt;DBUID&gt;{F96A950B-833F-4880-A151-76DA2D6A2879}&lt;/DBUID&gt;&lt;/Extra&gt;&lt;/Item&gt;&lt;/References&gt;&lt;/Group&gt;&lt;/Citation&gt;_x000a_"/>
    <w:docVar w:name="NE.Ref{327DC3AD-E7EA-4B4A-BC7B-7384ADB018F2}" w:val=" ADDIN NE.Ref.{327DC3AD-E7EA-4B4A-BC7B-7384ADB018F2}&lt;Citation&gt;&lt;Group&gt;&lt;References&gt;&lt;Item&gt;&lt;ID&gt;630&lt;/ID&gt;&lt;UID&gt;{CAB7F345-DC62-49A6-930F-0D3CB7A41F38}&lt;/UID&gt;&lt;Title&gt;Pyrroline-5-carboxylate reductase 1 (PYCR1) upregulation contributes to gastric  cancer progression and indicates poor survival outcome&lt;/Title&gt;&lt;Template&gt;Journal Article&lt;/Template&gt;&lt;Star&gt;0&lt;/Star&gt;&lt;Tag&gt;0&lt;/Tag&gt;&lt;Author&gt;Xiao, S; Li, S; Yuan, Z; Zhou, L&lt;/Author&gt;&lt;Year&gt;2020&lt;/Year&gt;&lt;Details&gt;&lt;_accession_num&gt;32953737&lt;/_accession_num&gt;&lt;_author_adr&gt;Department of Gastroenterology, Peking University Third Hospital, Beijing, China.; Beijing Key Laboratory of Helicobacter pylori Infection and Upper Gastrointestinal  Diseases, Peking University Third Hospital, Beijing, China.; Department of Gastroenterology, Peking University Third Hospital, Beijing, China.; Beijing Key Laboratory of Helicobacter pylori Infection and Upper Gastrointestinal  Diseases, Peking University Third Hospital, Beijing, China.; Department of Gastroenterology, Peking University Third Hospital, Beijing, China.; Beijing Key Laboratory of Helicobacter pylori Infection and Upper Gastrointestinal  Diseases, Peking University Third Hospital, Beijing, China.; Department of Gastroenterology, Peking University Third Hospital, Beijing, China.; Beijing Key Laboratory of Helicobacter pylori Infection and Upper Gastrointestinal  Diseases, Peking University Third Hospital, Beijing, China.&lt;/_author_adr&gt;&lt;_date_display&gt;2020 Aug&lt;/_date_display&gt;&lt;_date&gt;2020-08-01&lt;/_date&gt;&lt;_doi&gt;10.21037/atm-19-4402&lt;/_doi&gt;&lt;_isbn&gt;2305-5839 (Print); 2305-5847 (Electronic); 2305-5839 (Linking)&lt;/_isbn&gt;&lt;_issue&gt;15&lt;/_issue&gt;&lt;_journal&gt;Ann Transl Med&lt;/_journal&gt;&lt;_keywords&gt;Gastric cancer (GC); PI3K/Akt; Pyrroline-5-carboxylate reductase 1 (PYCR1); metabolic stress; proline metabolism&lt;/_keywords&gt;&lt;_language&gt;eng&lt;/_language&gt;&lt;_ori_publication&gt;2020 Annals of Translational Medicine. All rights reserved.&lt;/_ori_publication&gt;&lt;_pages&gt;937&lt;/_pages&gt;&lt;_tertiary_title&gt;Annals of translational medicine&lt;/_tertiary_title&gt;&lt;_type_work&gt;Journal Article&lt;/_type_work&gt;&lt;_url&gt;http://www.ncbi.nlm.nih.gov/entrez/query.fcgi?cmd=Retrieve&amp;amp;db=pubmed&amp;amp;dopt=Abstract&amp;amp;list_uids=32953737&amp;amp;query_hl=1&lt;/_url&gt;&lt;_volume&gt;8&lt;/_volume&gt;&lt;_created&gt;63818026&lt;/_created&gt;&lt;_modified&gt;63818026&lt;/_modified&gt;&lt;_impact_factor&gt;   3.297&lt;/_impact_factor&gt;&lt;/Details&gt;&lt;Extra&gt;&lt;DBUID&gt;{F96A950B-833F-4880-A151-76DA2D6A2879}&lt;/DBUID&gt;&lt;/Extra&gt;&lt;/Item&gt;&lt;/References&gt;&lt;/Group&gt;&lt;/Citation&gt;_x000a_"/>
    <w:docVar w:name="NE.Ref{3E87D3D9-F4EA-47CD-94B9-D7331BDE0664}" w:val=" ADDIN NE.Ref.{3E87D3D9-F4EA-47CD-94B9-D7331BDE0664}&lt;Citation&gt;&lt;Group&gt;&lt;References&gt;&lt;Item&gt;&lt;ID&gt;621&lt;/ID&gt;&lt;UID&gt;{AFD983AC-83E7-45D2-B4A2-69BF329A04B0}&lt;/UID&gt;&lt;Title&gt;Argininosuccinate synthase 1 suppresses tumor progression through activation of  PERK/eIF2伪/ATF4/CHOP axis in hepatocellular carcinoma&lt;/Title&gt;&lt;Template&gt;Journal Article&lt;/Template&gt;&lt;Star&gt;0&lt;/Star&gt;&lt;Tag&gt;0&lt;/Tag&gt;&lt;Author&gt;Kim, S; Lee, M; Song, Y; Lee, S Y; Choi, I; Park, I S; Kim, J; Kim, J S; Kim, K M; Seo, H R&lt;/Author&gt;&lt;Year&gt;2021&lt;/Year&gt;&lt;Details&gt;&lt;_accession_num&gt;33838671&lt;/_accession_num&gt;&lt;_author_adr&gt;Cancer Biology Research Laboratory, Institut Pasteur Korea, 16, Daewangpangyo-ro 712  beon-gil, Bundang-gu, Seongnam-si, Gyeonggi-do, 463-400, Republic of Korea.; Cancer Biology Research Laboratory, Institut Pasteur Korea, 16, Daewangpangyo-ro 712  beon-gil, Bundang-gu, Seongnam-si, Gyeonggi-do, 463-400, Republic of Korea.; Cancer Biology Research Laboratory, Institut Pasteur Korea, 16, Daewangpangyo-ro 712  beon-gil, Bundang-gu, Seongnam-si, Gyeonggi-do, 463-400, Republic of Korea.; Cancer Biology Research Laboratory, Institut Pasteur Korea, 16, Daewangpangyo-ro 712  beon-gil, Bundang-gu, Seongnam-si, Gyeonggi-do, 463-400, Republic of Korea.; Medicinal Chemistry, Institut Pasteur Korea, 16, Daewangpangyo-ro 712 beon-gil,  Bundang-gu, Seongnam-si, Gyeonggi-do, 13488, South Korea.; Screening Discovery Platform, Institut Pasteur Korea, 16, Daewangpangyo-ro 712  beon-gil, Bundang-gu, Seongnam-si, Gyeonggi-do, 13488, South Korea.; Screening Discovery Platform, Institut Pasteur Korea, 16, Daewangpangyo-ro 712  beon-gil, Bundang-gu, Seongnam-si, Gyeonggi-do, 13488, South Korea.; Department of Gastroenterology, Asan Liver Center, Asan Medical Center, University  of Ulsan College of Medicine, Olympic-ro 43-gil, Songpa-gu, Seoul, 05505, South  Korea.; Department of Gastroenterology, Asan Liver Center, Asan Medical Center, University  of Ulsan College of Medicine, Olympic-ro 43-gil, Songpa-gu, Seoul, 05505, South  Korea. kimkm70@amc.seoul.kr.; Cancer Biology Research Laboratory, Institut Pasteur Korea, 16, Daewangpangyo-ro 712  beon-gil, Bundang-gu, Seongnam-si, Gyeonggi-do, 463-400, Republic of Korea.  shr1261@ip-korea.org.&lt;/_author_adr&gt;&lt;_date_display&gt;2021 Apr 10&lt;/_date_display&gt;&lt;_date&gt;2021-04-10&lt;/_date&gt;&lt;_doi&gt;10.1186/s13046-021-01912-y&lt;/_doi&gt;&lt;_isbn&gt;1756-9966 (Electronic); 0392-9078 (Print); 0392-9078 (Linking)&lt;/_isbn&gt;&lt;_issue&gt;1&lt;/_issue&gt;&lt;_journal&gt;J Exp Clin Cancer Res&lt;/_journal&gt;&lt;_keywords&gt;Argininosuccinate synthase 1(ASS1); C/EBP homologous protein (CHOP); Endoplasmic reticulum (ER) stress; Hepatocellular carcinoma (HCC); Spheroids&lt;/_keywords&gt;&lt;_language&gt;eng&lt;/_language&gt;&lt;_pages&gt;127&lt;/_pages&gt;&lt;_tertiary_title&gt;Journal of experimental &amp;amp; clinical cancer research : CR&lt;/_tertiary_title&gt;&lt;_type_work&gt;Journal Article&lt;/_type_work&gt;&lt;_url&gt;http://www.ncbi.nlm.nih.gov/entrez/query.fcgi?cmd=Retrieve&amp;amp;db=pubmed&amp;amp;dopt=Abstract&amp;amp;list_uids=33838671&amp;amp;query_hl=1&lt;/_url&gt;&lt;_volume&gt;40&lt;/_volume&gt;&lt;_created&gt;63815830&lt;/_created&gt;&lt;_modified&gt;63815830&lt;/_modified&gt;&lt;/Details&gt;&lt;Extra&gt;&lt;DBUID&gt;{F96A950B-833F-4880-A151-76DA2D6A2879}&lt;/DBUID&gt;&lt;/Extra&gt;&lt;/Item&gt;&lt;/References&gt;&lt;/Group&gt;&lt;/Citation&gt;_x000a_"/>
    <w:docVar w:name="NE.Ref{46BEBD73-9F52-439C-BE60-0343C1430D4C}" w:val=" ADDIN NE.Ref.{46BEBD73-9F52-439C-BE60-0343C1430D4C}&lt;Citation&gt;&lt;Group&gt;&lt;References&gt;&lt;Item&gt;&lt;ID&gt;640&lt;/ID&gt;&lt;UID&gt;{5A8038D9-F7D2-4B59-A796-90BD9610754D}&lt;/UID&gt;&lt;Title&gt;Global burden of oesophageal and gastric cancer by histology and subsite in 2018&lt;/Title&gt;&lt;Template&gt;Journal Article&lt;/Template&gt;&lt;Star&gt;0&lt;/Star&gt;&lt;Tag&gt;0&lt;/Tag&gt;&lt;Author&gt;Arnold, M; Ferlay, J; van Berge, Henegouwen MI; Soerjomataram, I&lt;/Author&gt;&lt;Year&gt;2020&lt;/Year&gt;&lt;Details&gt;&lt;_accession_num&gt;32606208&lt;/_accession_num&gt;&lt;_author_adr&gt;Section of Cancer Surveillance, International Agency for Research on Cancer, Lyon,  France arnoldm@iarc.fr.; Section of Cancer Surveillance, International Agency for Research on Cancer, Lyon,  France.; Department of Surgery, Amsterdam UMC, University of Amsterdam, Cancer Center  Amsterdam, Amsterdam, Noord-Holland, The Netherlands.; Section of Cancer Surveillance, International Agency for Research on Cancer, Lyon,  France.&lt;/_author_adr&gt;&lt;_date_display&gt;2020 Sep&lt;/_date_display&gt;&lt;_date&gt;2020-09-01&lt;/_date&gt;&lt;_doi&gt;10.1136/gutjnl-2020-321600&lt;/_doi&gt;&lt;_isbn&gt;1468-3288 (Electronic); 0017-5749 (Linking)&lt;/_isbn&gt;&lt;_issue&gt;9&lt;/_issue&gt;&lt;_journal&gt;Gut&lt;/_journal&gt;&lt;_keywords&gt;*cancer prevention; *epidemiology; *gastric cancer; *histopathology; *oesophageal cancer&lt;/_keywords&gt;&lt;_language&gt;eng&lt;/_language&gt;&lt;_ori_publication&gt;漏 Author(s) (or their employer(s)) 2020. No commercial re-use. See rights and _x000d__x000a_      permissions. Published by BMJ.&lt;/_ori_publication&gt;&lt;_pages&gt;1564-1571&lt;/_pages&gt;&lt;_subject_headings&gt;*Adenocarcinoma/epidemiology/pathology; Age Distribution; *Carcinoma, Squamous Cell/epidemiology/pathology; *Esophageal Neoplasms/epidemiology/pathology; Female; Global Burden of Disease/*trends; Global Health/statistics &amp;amp; numerical data; Humans; Incidence; Male; Middle Aged; Preventive Health Services/methods/trends; Registries/statistics &amp;amp; numerical data; Sex Distribution; *Stomach Neoplasms/epidemiology/pathology&lt;/_subject_headings&gt;&lt;_tertiary_title&gt;Gut&lt;/_tertiary_title&gt;&lt;_type_work&gt;Journal Article&lt;/_type_work&gt;&lt;_url&gt;http://www.ncbi.nlm.nih.gov/entrez/query.fcgi?cmd=Retrieve&amp;amp;db=pubmed&amp;amp;dopt=Abstract&amp;amp;list_uids=32606208&amp;amp;query_hl=1&lt;/_url&gt;&lt;_volume&gt;69&lt;/_volume&gt;&lt;_created&gt;63826483&lt;/_created&gt;&lt;_modified&gt;63826483&lt;/_modified&gt;&lt;_impact_factor&gt;  19.819&lt;/_impact_factor&gt;&lt;_collection_scope&gt;SCI;SCIE&lt;/_collection_scope&gt;&lt;/Details&gt;&lt;Extra&gt;&lt;DBUID&gt;{F96A950B-833F-4880-A151-76DA2D6A2879}&lt;/DBUID&gt;&lt;/Extra&gt;&lt;/Item&gt;&lt;/References&gt;&lt;/Group&gt;&lt;/Citation&gt;_x000a_"/>
    <w:docVar w:name="NE.Ref{4910991C-83C0-413C-8DB3-496A03FA2DAE}" w:val=" ADDIN NE.Ref.{4910991C-83C0-413C-8DB3-496A03FA2DAE}&lt;Citation&gt;&lt;Group&gt;&lt;References&gt;&lt;Item&gt;&lt;ID&gt;648&lt;/ID&gt;&lt;UID&gt;{B5A1E40B-32EE-4C05-8C8F-2DB352286708}&lt;/UID&gt;&lt;Title&gt;PKC蔚 phosphorylates MIIP and promotes colorectal cancer metastasis through  inhibition of RelA deacetylation&lt;/Title&gt;&lt;Template&gt;Journal Article&lt;/Template&gt;&lt;Star&gt;0&lt;/Star&gt;&lt;Tag&gt;0&lt;/Tag&gt;&lt;Author&gt;Chen, T; Li, J; Xu, M; Zhao, Q; Hou, Y; Yao, L; Zhong, Y; Chou, P C; Zhang, W; Zhou, P; Jiang, Y&lt;/Author&gt;&lt;Year&gt;2017&lt;/Year&gt;&lt;Details&gt;&lt;_accession_num&gt;29038521&lt;/_accession_num&gt;&lt;_author_adr&gt;Endoscopy Center and Endoscopy Research Institute, Zhongshan Hospital, Fudan  University, Shanghai, 200032, China.; The Institute of Cell Metabolism, Shanghai Key Laboratory of Pancreatic disease,  Shanghai General Hospital, School of Medicine, Shanghai Jiaotong University,  Shanghai, 201620, China.; Endoscopy Center and Endoscopy Research Institute, Zhongshan Hospital, Fudan  University, Shanghai, 200032, China.; The Institute of Cell Metabolism, Shanghai Key Laboratory of Pancreatic disease,  Shanghai General Hospital, School of Medicine, Shanghai Jiaotong University,  Shanghai, 201620, China.; Department of Pathology, Zhongshan Hospital, Fudan University, Shanghai, 200032,  China.; Endoscopy Center and Endoscopy Research Institute, Zhongshan Hospital, Fudan  University, Shanghai, 200032, China.; Endoscopy Center and Endoscopy Research Institute, Zhongshan Hospital, Fudan  University, Shanghai, 200032, China.; Department of Cancer Biology, Comprehensive Cancer Center of Wake Forest Baptist  Medical Center, Winston-Salem, NC, 27157, USA.; Department of Cancer Biology, Comprehensive Cancer Center of Wake Forest Baptist  Medical Center, Winston-Salem, NC, 27157, USA. wezhang@wakehealth.edu.; Endoscopy Center and Endoscopy Research Institute, Zhongshan Hospital, Fudan  University, Shanghai, 200032, China. zhou.pinghong@zs-hospital.sh.cn.; The Institute of Cell Metabolism, Shanghai Key Laboratory of Pancreatic disease,  Shanghai General Hospital, School of Medicine, Shanghai Jiaotong University,  Shanghai, 201620, China. yhjiang@shsmu.edu.cn.&lt;/_author_adr&gt;&lt;_date_display&gt;2017 Oct 16&lt;/_date_display&gt;&lt;_date&gt;2017-10-16&lt;/_date&gt;&lt;_doi&gt;10.1038/s41467-017-01024-2&lt;/_doi&gt;&lt;_isbn&gt;2041-1723 (Electronic); 2041-1723 (Linking)&lt;/_isbn&gt;&lt;_issue&gt;1&lt;/_issue&gt;&lt;_journal&gt;Nat Commun&lt;/_journal&gt;&lt;_language&gt;eng&lt;/_language&gt;&lt;_pages&gt;939&lt;/_pages&gt;&lt;_subject_headings&gt;Acetylation; Animals; Caco-2 Cells; Carrier Proteins/genetics/*metabolism; Cell Line, Tumor; Colorectal Neoplasms/genetics/*metabolism/pathology; Epidermal Growth Factor/pharmacology; Female; HCT116 Cells; Humans; Intracellular Signaling Peptides and Proteins; Mice, Inbred BALB C; Mice, Nude; Neoplasm Metastasis; Phosphorylation/drug effects; Protein Binding; Protein Kinase C-epsilon/*metabolism; RNA Interference; Serine/metabolism; Transcription Factor RelA/*metabolism; Transplantation, Heterologous&lt;/_subject_headings&gt;&lt;_tertiary_title&gt;Nature communications&lt;/_tertiary_title&gt;&lt;_type_work&gt;Journal Article; Research Support, Non-U.S. Gov&amp;apos;t&lt;/_type_work&gt;&lt;_url&gt;http://www.ncbi.nlm.nih.gov/entrez/query.fcgi?cmd=Retrieve&amp;amp;db=pubmed&amp;amp;dopt=Abstract&amp;amp;list_uids=29038521&amp;amp;query_hl=1&lt;/_url&gt;&lt;_volume&gt;8&lt;/_volume&gt;&lt;_created&gt;63927489&lt;/_created&gt;&lt;_modified&gt;63927489&lt;/_modified&gt;&lt;_impact_factor&gt;  12.121&lt;/_impact_factor&gt;&lt;_collection_scope&gt;SCI;SCIE&lt;/_collection_scope&gt;&lt;/Details&gt;&lt;Extra&gt;&lt;DBUID&gt;{F96A950B-833F-4880-A151-76DA2D6A2879}&lt;/DBUID&gt;&lt;/Extra&gt;&lt;/Item&gt;&lt;/References&gt;&lt;/Group&gt;&lt;Group&gt;&lt;References&gt;&lt;Item&gt;&lt;ID&gt;649&lt;/ID&gt;&lt;UID&gt;{412EDE58-130D-4F63-9861-7518DCC28985}&lt;/UID&gt;&lt;Title&gt;PTPS Facilitates Compartmentalized LTBP1 S-Nitrosylation and Promotes Tumor Growth  under Hypoxia&lt;/Title&gt;&lt;Template&gt;Journal Article&lt;/Template&gt;&lt;Star&gt;0&lt;/Star&gt;&lt;Tag&gt;0&lt;/Tag&gt;&lt;Author&gt;Zhao, Q; Zheng, K; Ma, C; Li, J; Zhuo, L; Huang, W; Chen, T; Jiang, Y&lt;/Author&gt;&lt;Year&gt;2020&lt;/Year&gt;&lt;Details&gt;&lt;_accession_num&gt;31628042&lt;/_accession_num&gt;&lt;_author_adr&gt;State Key Laboratory of Oncogenes and Related Genes, Shanghai Key Laboratory of  Pancreatic Disease, Shanghai General Hospital, Shanghai Jiaotong University School  of Medicine, Shanghai 200127, China.; State Key Laboratory of Oncogenes and Related Genes, Shanghai Key Laboratory of  Pancreatic Disease, Shanghai General Hospital, Shanghai Jiaotong University School  of Medicine, Shanghai 200127, China.; State Key Laboratory of Oncogenes and Related Genes, Shanghai Key Laboratory of  Pancreatic Disease, Shanghai General Hospital, Shanghai Jiaotong University School  of Medicine, Shanghai 200127, China.; State Key Laboratory of Oncogenes and Related Genes, Shanghai Key Laboratory of  Pancreatic Disease, Shanghai General Hospital, Shanghai Jiaotong University School  of Medicine, Shanghai 200127, China.; State Key Laboratory of Oncogenes and Related Genes, Shanghai Key Laboratory of  Pancreatic Disease, Shanghai General Hospital, Shanghai Jiaotong University School  of Medicine, Shanghai 200127, China.; State Key Laboratory of Oncogenes and Related Genes, Shanghai Key Laboratory of  Pancreatic Disease, Shanghai General Hospital, Shanghai Jiaotong University School  of Medicine, Shanghai 200127, China.; Endoscopy Center and Endoscopy Research Institute, Zhongshan Hospital, Fudan  University, Shanghai 200032, China. Electronic address: chentao66@yahoo.com.; State Key Laboratory of Oncogenes and Related Genes, Shanghai Key Laboratory of  Pancreatic Disease, Shanghai General Hospital, Shanghai Jiaotong University School  of Medicine, Shanghai 200127, China. Electronic address: yhjiang@shsmu.edu.cn.&lt;/_author_adr&gt;&lt;_date_display&gt;2020 Jan 2&lt;/_date_display&gt;&lt;_date&gt;2020-01-02&lt;/_date&gt;&lt;_doi&gt;10.1016/j.molcel.2019.09.018&lt;/_doi&gt;&lt;_isbn&gt;1097-4164 (Electronic); 1097-2765 (Linking)&lt;/_isbn&gt;&lt;_issue&gt;1&lt;/_issue&gt;&lt;_journal&gt;Mol Cell&lt;/_journal&gt;&lt;_language&gt;eng&lt;/_language&gt;&lt;_ori_publication&gt;Copyright 漏 2019 Elsevier Inc. All rights reserved.&lt;/_ori_publication&gt;&lt;_pages&gt;95-107.e5&lt;/_pages&gt;&lt;_subject_headings&gt;Animals; Cell Line; Cell Line, Tumor; Cell Proliferation/*physiology; Colorectal Neoplasms/*metabolism/*pathology; HCT116 Cells; HEK293 Cells; HT29 Cells; Humans; Hypoxia/*metabolism; Latent TGF-beta Binding Proteins/*metabolism; Mice; Mice, Inbred BALB C; Mice, Nude; Nitric Oxide Synthase/metabolism; Phosphorus-Oxygen Lyases/*metabolism; Phosphorylation/physiology; Proteasome Endopeptidase Complex/metabolism; Proteolysis; Signal Transduction/physiology; Transforming Growth Factor beta/metabolism&lt;/_subject_headings&gt;&lt;_tertiary_title&gt;Molecular cell&lt;/_tertiary_title&gt;&lt;_type_work&gt;Journal Article; Research Support, Non-U.S. Gov&amp;apos;t&lt;/_type_work&gt;&lt;_url&gt;http://www.ncbi.nlm.nih.gov/entrez/query.fcgi?cmd=Retrieve&amp;amp;db=pubmed&amp;amp;dopt=Abstract&amp;amp;list_uids=31628042&amp;amp;query_hl=1&lt;/_url&gt;&lt;_volume&gt;77&lt;/_volume&gt;&lt;_created&gt;63927490&lt;/_created&gt;&lt;_modified&gt;63927490&lt;/_modified&gt;&lt;_impact_factor&gt;  15.584&lt;/_impact_factor&gt;&lt;_collection_scope&gt;SCI;SCIE&lt;/_collection_scope&gt;&lt;/Details&gt;&lt;Extra&gt;&lt;DBUID&gt;{F96A950B-833F-4880-A151-76DA2D6A2879}&lt;/DBUID&gt;&lt;/Extra&gt;&lt;/Item&gt;&lt;/References&gt;&lt;/Group&gt;&lt;/Citation&gt;_x000a_"/>
    <w:docVar w:name="NE.Ref{4F29C4C8-F16D-41C2-92D9-2B0DB3269050}" w:val=" ADDIN NE.Ref.{4F29C4C8-F16D-41C2-92D9-2B0DB3269050}&lt;Citation&gt;&lt;Group&gt;&lt;References&gt;&lt;Item&gt;&lt;ID&gt;665&lt;/ID&gt;&lt;UID&gt;{F0AABF6E-7CC8-4C37-A702-F9DCE916A34A}&lt;/UID&gt;&lt;Title&gt;Enhanced expression of asparagine synthetase under glucose-deprived conditions  protects pancreatic cancer cells from apoptosis induced by glucose deprivation and  cisplatin&lt;/Title&gt;&lt;Template&gt;Journal Article&lt;/Template&gt;&lt;Star&gt;0&lt;/Star&gt;&lt;Tag&gt;0&lt;/Tag&gt;&lt;Author&gt;Cui, H; Darmanin, S; Natsuisaka, M; Kondo, T; Asaka, M; Shindoh, M; Higashino, F; Hamuro, J; Okada, F; Kobayashi, M; Nakagawa, K; Koide, H; Kobayashi, M&lt;/Author&gt;&lt;Year&gt;2007&lt;/Year&gt;&lt;Details&gt;&lt;_accession_num&gt;17409444&lt;/_accession_num&gt;&lt;_author_adr&gt;Department of Pathological Oncology, Division of Cancer, Hokkaido University  Graduate School of Medicine, Hokkaido University, Sapporo, Japan.&lt;/_author_adr&gt;&lt;_date_display&gt;2007 Apr 1&lt;/_date_display&gt;&lt;_date&gt;2007-04-01&lt;/_date&gt;&lt;_doi&gt;10.1158/0008-5472.CAN-06-2519&lt;/_doi&gt;&lt;_isbn&gt;0008-5472 (Print); 0008-5472 (Linking)&lt;/_isbn&gt;&lt;_issue&gt;7&lt;/_issue&gt;&lt;_journal&gt;Cancer Res&lt;/_journal&gt;&lt;_language&gt;eng&lt;/_language&gt;&lt;_pages&gt;3345-55&lt;/_pages&gt;&lt;_subject_headings&gt;Apoptosis/drug effects/*physiology; Asparagine/metabolism/pharmacology; Aspartate-Ammonia Ligase/*biosynthesis/genetics/metabolism; Cell Line, Tumor; Cisplatin/*pharmacology; Fluorouracil/pharmacology; Gene Expression Regulation, Neoplastic; Glucose/*deficiency; Humans; JNK Mitogen-Activated Protein Kinases/metabolism; Pancreatic Neoplasms/drug therapy/*enzymology/genetics/*pathology; Phosphorylation; RNA, Small Interfering/genetics; Transfection&lt;/_subject_headings&gt;&lt;_tertiary_title&gt;Cancer research&lt;/_tertiary_title&gt;&lt;_type_work&gt;Journal Article; Research Support, Non-U.S. Gov&amp;apos;t&lt;/_type_work&gt;&lt;_url&gt;http://www.ncbi.nlm.nih.gov/entrez/query.fcgi?cmd=Retrieve&amp;amp;db=pubmed&amp;amp;dopt=Abstract&amp;amp;list_uids=17409444&amp;amp;query_hl=1&lt;/_url&gt;&lt;_volume&gt;67&lt;/_volume&gt;&lt;_created&gt;64020908&lt;/_created&gt;&lt;_modified&gt;64020908&lt;/_modified&gt;&lt;_impact_factor&gt;  12.701&lt;/_impact_factor&gt;&lt;_collection_scope&gt;SCI;SCIE&lt;/_collection_scope&gt;&lt;/Details&gt;&lt;Extra&gt;&lt;DBUID&gt;{F96A950B-833F-4880-A151-76DA2D6A2879}&lt;/DBUID&gt;&lt;/Extra&gt;&lt;/Item&gt;&lt;/References&gt;&lt;/Group&gt;&lt;/Citation&gt;_x000a_"/>
    <w:docVar w:name="NE.Ref{54C66114-8136-4A9F-8E96-85B8BDF37F2C}" w:val=" ADDIN NE.Ref.{54C66114-8136-4A9F-8E96-85B8BDF37F2C}&lt;Citation&gt;&lt;Group&gt;&lt;References&gt;&lt;Item&gt;&lt;ID&gt;620&lt;/ID&gt;&lt;UID&gt;{634094B2-EEA3-4D5B-B003-3F6FD8E8F713}&lt;/UID&gt;&lt;Title&gt;Naturally-occurring spinosyn A and its derivatives function as argininosuccinate  synthase activator and tumor inhibitor&lt;/Title&gt;&lt;Template&gt;Journal Article&lt;/Template&gt;&lt;Star&gt;0&lt;/Star&gt;&lt;Tag&gt;0&lt;/Tag&gt;&lt;Author&gt;Zou, Z; Hu, X; Luo, T; Ming, Z; Chen, X; Xia, L; Luo, W; Li, J; Xu, N; Chen, L; Cao, D; Wen, M; Kong, F; Peng, K; Xie, Y; Li, X; Ma, D; Yang, C; Chen, C; Yi, W; Liu, O; Liu, S; Luo, J; Luo, Z&lt;/Author&gt;&lt;Year&gt;2021&lt;/Year&gt;&lt;Details&gt;&lt;_accession_num&gt;33859183&lt;/_accession_num&gt;&lt;_author_adr&gt;Department of Biochemistry and Molecular Biology, Hunan Province Key Laboratory of  Basic and Applied Hematology, Hunan Key Laboratory of Animal Models for Human  Diseases, School of Life Sciences, Xiangya School of Medicine, Central South  University, Changsha, China.; Xiangya School of Pharmaceutical Sciences, Central South University, Changsha,  China.; The Hunan Provincial Key Laboratory of Precision Diagnosis and Treatment for  Gastrointestinal Tumor, Xiangya Hospital, Central South University, Changsha, China.; Department of Biochemistry and Molecular Biology, Yiyang Medical College, Yiyang,  China.; Department of Biochemistry and Molecular Biology, Hunan Province Key Laboratory of  Basic and Applied Hematology, Hunan Key Laboratory of Animal Models for Human  Diseases, School of Life Sciences, Xiangya School of Medicine, Central South  University, Changsha, China.; Hunan Key Laboratory of Oral Health Research &amp;amp; Xiangya Stomatological Hospital &amp;amp;  Xiangya School of Stomatology, Central South University, Changsha, China.; Department of Biochemistry and Molecular Biology, Hunan Province Key Laboratory of  Basic and Applied Hematology, Hunan Key Laboratory of Animal Models for Human  Diseases, School of Life Sciences, Xiangya School of Medicine, Central South  University, Changsha, China.; Department of Biochemistry and Molecular Biology, Hunan Province Key Laboratory of  Basic and Applied Hematology, Hunan Key Laboratory of Animal Models for Human  Diseases, School of Life Sciences, Xiangya School of Medicine, Central South  University, Changsha, China.; Core Facility of Basic Medical Sciences, Shanghai Jiao Tong University School of  Medicine, Shanghai, China.; Department of Biochemistry and Molecular Biology, Hunan Province Key Laboratory of  Basic and Applied Hematology, Hunan Key Laboratory of Animal Models for Human  Diseases, School of Life Sciences, Xiangya School of Medicine, Central South  University, Changsha, China.; The Hunan Provincial Key Laboratory of Precision Diagnosis and Treatment for  Gastrointestinal Tumor, Xiangya Hospital, Central South University, Changsha, China.; Xiangya School of Pharmaceutical Sciences, Central South University, Changsha,  China.; Xiangya School of Pharmaceutical Sciences, Central South University, Changsha,  China.; Xiangya School of Pharmaceutical Sciences, Central South University, Changsha,  China.; Department of Biochemistry and Molecular Biology, Hunan Province Key Laboratory of  Basic and Applied Hematology, Hunan Key Laboratory of Animal Models for Human  Diseases, School of Life Sciences, Xiangya School of Medicine, Central South  University, Changsha, China.; Department of Biochemistry and Molecular Biology, Hunan Province Key Laboratory of  Basic and Applied Hematology, Hunan Key Laboratory of Animal Models for Human  Diseases, School of Life Sciences, Xiangya School of Medicine, Central South  University, Changsha, China.; Department of Biochemistry and Molecular Biology, Hunan Province Key Laboratory of  Basic and Applied Hematology, Hunan Key Laboratory of Animal Models for Human  Diseases, School of Life Sciences, Xiangya School of Medicine, Central South  University, Changsha, China.; Department of Biochemistry and Molecular Biology, Hunan Province Key Laboratory of  Basic and Applied Hematology, Hunan Key Laboratory of Animal Models for Human  Diseases, School of Life Sciences, Xiangya School of Medicine, Central South  University, Changsha, China.; Department of Biochemistry and Molecular Biology, Hunan Province Key Laboratory of  Basic and Applied Hematology, Hunan Key Laboratory of Animal Models for Human  Diseases, School of Life Sciences, Xiangya School of Medicine, Central South  University, Changsha, China.; Xiangya School of Pharmaceutical Sciences, Central South University, Changsha,  China.; Key Laboratory of Animal Models and Human Disease Mechanisms of Chinese Academy of  Sciences &amp;amp; Yunnan Province, Kunming Institute of Zoology, Chinese Academy of  Sciences, Kunming, China.; Key Laboratory of Animal Models and Human Disease Mechanisms of Chinese Academy of  Sciences &amp;amp; Yunnan Province, Kunming Institute of Zoology, Chinese Academy of  Sciences, Kunming, China.; Department of General Surgery, The Second Xiangya Hospital, Central South  University, Changsha, China.; Hunan Key Laboratory of Oral Health Research &amp;amp; Xiangya Stomatological Hospital &amp;amp;  Xiangya School of Stomatology, Central South University, Changsha, China.; Xiangya School of Pharmaceutical Sciences, Central South University, Changsha,  China. liusuyou@hotmail.com.; The Hunan Provincial Key Laboratory of Precision Diagnosis and Treatment for  Gastrointestinal Tumor, Xiangya Hospital, Central South University, Changsha, China.  junlluo@163.com.; Department of Biochemistry and Molecular Biology, Hunan Province Key Laboratory of  Basic and Applied Hematology, Hunan Key Laboratory of Animal Models for Human  Diseases, School of Life Sciences, Xiangya School of Medicine, Central South  University, Changsha, China. luozhiyong@csu.edu.cn.&lt;/_author_adr&gt;&lt;_date_display&gt;2021 Apr 15&lt;/_date_display&gt;&lt;_date&gt;2021-04-15&lt;/_date&gt;&lt;_doi&gt;10.1038/s41467-021-22235-8&lt;/_doi&gt;&lt;_isbn&gt;2041-1723 (Electronic); 2041-1723 (Linking)&lt;/_isbn&gt;&lt;_issue&gt;1&lt;/_issue&gt;&lt;_journal&gt;Nat Commun&lt;/_journal&gt;&lt;_language&gt;eng&lt;/_language&gt;&lt;_pages&gt;2263&lt;/_pages&gt;&lt;_tertiary_title&gt;Nature communications&lt;/_tertiary_title&gt;&lt;_type_work&gt;Journal Article; Research Support, Non-U.S. Gov&amp;apos;t&lt;/_type_work&gt;&lt;_url&gt;http://www.ncbi.nlm.nih.gov/entrez/query.fcgi?cmd=Retrieve&amp;amp;db=pubmed&amp;amp;dopt=Abstract&amp;amp;list_uids=33859183&amp;amp;query_hl=1&lt;/_url&gt;&lt;_volume&gt;12&lt;/_volume&gt;&lt;_created&gt;63815808&lt;/_created&gt;&lt;_modified&gt;63815808&lt;/_modified&gt;&lt;_impact_factor&gt;  12.121&lt;/_impact_factor&gt;&lt;_collection_scope&gt;SCI;SCIE&lt;/_collection_scope&gt;&lt;/Details&gt;&lt;Extra&gt;&lt;DBUID&gt;{F96A950B-833F-4880-A151-76DA2D6A2879}&lt;/DBUID&gt;&lt;/Extra&gt;&lt;/Item&gt;&lt;/References&gt;&lt;/Group&gt;&lt;/Citation&gt;_x000a_"/>
    <w:docVar w:name="NE.Ref{558C61DA-E7DF-476C-83AB-6324753C88F0}" w:val=" ADDIN NE.Ref.{558C61DA-E7DF-476C-83AB-6324753C88F0}&lt;Citation&gt;&lt;Group&gt;&lt;References&gt;&lt;Item&gt;&lt;ID&gt;643&lt;/ID&gt;&lt;UID&gt;{4581F683-D8D5-4392-8AF7-1CCE7C382085}&lt;/UID&gt;&lt;Title&gt;Combined Metabolomic Analysis of Plasma and Tissue Reveals a Prognostic Risk Score  System and Metabolic Dysregulation in Esophageal Squamous Cell Carcinoma&lt;/Title&gt;&lt;Template&gt;Journal Article&lt;/Template&gt;&lt;Star&gt;0&lt;/Star&gt;&lt;Tag&gt;0&lt;/Tag&gt;&lt;Author&gt;Chen, Z; Dai, Y; Huang, X; Chen, K; Gao, Y; Li, N; Wang, D; Chen, A; Yang, Q; Hong, Y; Zeng, S; Mao, W&lt;/Author&gt;&lt;Year&gt;2020&lt;/Year&gt;&lt;Details&gt;&lt;_accession_num&gt;32984013&lt;/_accession_num&gt;&lt;_author_adr&gt;College of Pharmaceutical Sciences, Zhejiang University, Hangzhou, China.; Institute of Cancer and Basic Medicine (ICBM), Chinese Academy of Sciences,  Hangzhou, China.; Cancer Hospital of the University of Chinese Academy of Sciences, Hangzhou, China.; Zhejiang Cancer Hospital, Hangzhou, China.; Institute of Cancer and Basic Medicine (ICBM), Chinese Academy of Sciences,  Hangzhou, China.; Cancer Hospital of the University of Chinese Academy of Sciences, Hangzhou, China.; Zhejiang Cancer Hospital, Hangzhou, China.; Institute of Cancer and Basic Medicine (ICBM), Chinese Academy of Sciences,  Hangzhou, China.; Cancer Hospital of the University of Chinese Academy of Sciences, Hangzhou, China.; Zhejiang Cancer Hospital, Hangzhou, China.; Institute of Cancer and Basic Medicine (ICBM), Chinese Academy of Sciences,  Hangzhou, China.; Cancer Hospital of the University of Chinese Academy of Sciences, Hangzhou, China.; Zhejiang Cancer Hospital, Hangzhou, China.; School of Medicine, Imperial College London, London, United Kingdom.; Institute of Cancer and Basic Medicine (ICBM), Chinese Academy of Sciences,  Hangzhou, China.; Cancer Hospital of the University of Chinese Academy of Sciences, Hangzhou, China.; Zhejiang Cancer Hospital, Hangzhou, China.; Institute of Cancer and Basic Medicine (ICBM), Chinese Academy of Sciences,  Hangzhou, China.; Cancer Hospital of the University of Chinese Academy of Sciences, Hangzhou, China.; Zhejiang Cancer Hospital, Hangzhou, China.; Institute of Cancer and Basic Medicine (ICBM), Chinese Academy of Sciences,  Hangzhou, China.; Cancer Hospital of the University of Chinese Academy of Sciences, Hangzhou, China.; Zhejiang Cancer Hospital, Hangzhou, China.; Institute of Cancer and Basic Medicine (ICBM), Chinese Academy of Sciences,  Hangzhou, China.; Cancer Hospital of the University of Chinese Academy of Sciences, Hangzhou, China.; Zhejiang Cancer Hospital, Hangzhou, China.; College of Pharmaceutical Sciences, Zhejiang University, Hangzhou, China.; Department of Chemistry, Hong Kong Baptist University, Hong Kong, China.; College of Pharmaceutical Sciences, Zhejiang University, Hangzhou, China.; Institute of Cancer and Basic Medicine (ICBM), Chinese Academy of Sciences,  Hangzhou, China.; Cancer Hospital of the University of Chinese Academy of Sciences, Hangzhou, China.; Zhejiang Cancer Hospital, Hangzhou, China.&lt;/_author_adr&gt;&lt;_date_display&gt;2020&lt;/_date_display&gt;&lt;_date&gt;2020-01-20&lt;/_date&gt;&lt;_doi&gt;10.3389/fonc.2020.01545&lt;/_doi&gt;&lt;_isbn&gt;2234-943X (Print); 2234-943X (Electronic); 2234-943X (Linking)&lt;/_isbn&gt;&lt;_journal&gt;Front Oncol&lt;/_journal&gt;&lt;_keywords&gt;3-dioxygenase 1 (IDO1); artificial intelligence; diagnosis; esophageal squamous cell carcinoma (ESCC); indoleamine 2; metabolomics; prognosis; risk score&lt;/_keywords&gt;&lt;_language&gt;eng&lt;/_language&gt;&lt;_ori_publication&gt;Copyright 漏 2020 Chen, Dai, Huang, Chen, Gao, Li, Wang, Chen, Yang, Hong, Zeng and _x000d__x000a_      Mao.&lt;/_ori_publication&gt;&lt;_pages&gt;1545&lt;/_pages&gt;&lt;_tertiary_title&gt;Frontiers in oncology&lt;/_tertiary_title&gt;&lt;_type_work&gt;Journal Article&lt;/_type_work&gt;&lt;_url&gt;http://www.ncbi.nlm.nih.gov/entrez/query.fcgi?cmd=Retrieve&amp;amp;db=pubmed&amp;amp;dopt=Abstract&amp;amp;list_uids=32984013&amp;amp;query_hl=1&lt;/_url&gt;&lt;_volume&gt;10&lt;/_volume&gt;&lt;_created&gt;63826515&lt;/_created&gt;&lt;_modified&gt;63826515&lt;/_modified&gt;&lt;_impact_factor&gt;   4.848&lt;/_impact_factor&gt;&lt;_collection_scope&gt;SCIE&lt;/_collection_scope&gt;&lt;/Details&gt;&lt;Extra&gt;&lt;DBUID&gt;{F96A950B-833F-4880-A151-76DA2D6A2879}&lt;/DBUID&gt;&lt;/Extra&gt;&lt;/Item&gt;&lt;/References&gt;&lt;/Group&gt;&lt;/Citation&gt;_x000a_"/>
    <w:docVar w:name="NE.Ref{593B64D7-B8FA-4C12-9FEF-AEDDF4CCC973}" w:val=" ADDIN NE.Ref.{593B64D7-B8FA-4C12-9FEF-AEDDF4CCC973}&lt;Citation&gt;&lt;Group&gt;&lt;References&gt;&lt;Item&gt;&lt;ID&gt;623&lt;/ID&gt;&lt;UID&gt;{77EB71CD-7C19-447A-B310-F517C4D63FAF}&lt;/UID&gt;&lt;Title&gt;Activation of autophagy following [HuArgI (Co)-PEG5000]-induced arginine deprivation  mediates cell death in colon cancer cells&lt;/Title&gt;&lt;Template&gt;Journal Article&lt;/Template&gt;&lt;Star&gt;0&lt;/Star&gt;&lt;Tag&gt;0&lt;/Tag&gt;&lt;Author&gt;Swayden, M; Bekdash, A; Fakhoury, I; El-Atat, O; Borjac-Natour, J; El-Sibai, M; Abi-Habib, R J&lt;/Author&gt;&lt;Year&gt;2021&lt;/Year&gt;&lt;Details&gt;&lt;_accession_num&gt;32979152&lt;/_accession_num&gt;&lt;_author_adr&gt;Department of Biological and Environmental Sciences, School of Arts and Sciences,  Beirut Arab University, Beirut, Lebanon.; Department of Natural Sciences, School of Arts and Sciences, Lebanese American  University, Beirut, 1102 2801, Lebanon.; Department of Natural Sciences, School of Arts and Sciences, Lebanese American  University, Beirut, 1102 2801, Lebanon.; Department of Natural Sciences, School of Arts and Sciences, Lebanese American  University, Beirut, 1102 2801, Lebanon.; Department of Biological and Environmental Sciences, School of Arts and Sciences,  Beirut Arab University, Beirut, Lebanon.; Department of Natural Sciences, School of Arts and Sciences, Lebanese American  University, Beirut, 1102 2801, Lebanon.; Department of Natural Sciences, School of Arts and Sciences, Lebanese American  University, Beirut, 1102 2801, Lebanon. ralph.abihabib@lau.edu.lb.&lt;/_author_adr&gt;&lt;_date_display&gt;2021 Jan&lt;/_date_display&gt;&lt;_date&gt;2021-01-01&lt;/_date&gt;&lt;_doi&gt;10.1007/s13577-020-00437-4&lt;/_doi&gt;&lt;_isbn&gt;1749-0774 (Electronic); 0914-7470 (Linking)&lt;/_isbn&gt;&lt;_issue&gt;1&lt;/_issue&gt;&lt;_journal&gt;Hum Cell&lt;/_journal&gt;&lt;_keywords&gt;Arginine auxotrophy; Autophagy; Colorectal cancer; [HuArgI (co)-PEG5000]&lt;/_keywords&gt;&lt;_language&gt;eng&lt;/_language&gt;&lt;_pages&gt;152-164&lt;/_pages&gt;&lt;_tertiary_title&gt;Human cell&lt;/_tertiary_title&gt;&lt;_type_work&gt;Journal Article&lt;/_type_work&gt;&lt;_url&gt;http://www.ncbi.nlm.nih.gov/entrez/query.fcgi?cmd=Retrieve&amp;amp;db=pubmed&amp;amp;dopt=Abstract&amp;amp;list_uids=32979152&amp;amp;query_hl=1&lt;/_url&gt;&lt;_volume&gt;34&lt;/_volume&gt;&lt;_created&gt;63815843&lt;/_created&gt;&lt;_modified&gt;63815843&lt;/_modified&gt;&lt;_impact_factor&gt;   3.463&lt;/_impact_factor&gt;&lt;_collection_scope&gt;SCIE&lt;/_collection_scope&gt;&lt;/Details&gt;&lt;Extra&gt;&lt;DBUID&gt;{F96A950B-833F-4880-A151-76DA2D6A2879}&lt;/DBUID&gt;&lt;/Extra&gt;&lt;/Item&gt;&lt;/References&gt;&lt;/Group&gt;&lt;/Citation&gt;_x000a_"/>
    <w:docVar w:name="NE.Ref{661193E5-EE7E-46BD-B2CC-B0110137537C}" w:val=" ADDIN NE.Ref.{661193E5-EE7E-46BD-B2CC-B0110137537C}&lt;Citation&gt;&lt;Group&gt;&lt;References&gt;&lt;Item&gt;&lt;ID&gt;639&lt;/ID&gt;&lt;UID&gt;{C9F2F3DD-67F9-41E5-A4B6-6F8F03A4378E}&lt;/UID&gt;&lt;Title&gt;The global, regional, and national burden of oesophageal cancer and its attributable  risk factors in 195 countries and territories, 1990-2017: a systematic analysis for  the Global Burden of Disease Study 2017&lt;/Title&gt;&lt;Template&gt;Journal Article&lt;/Template&gt;&lt;Star&gt;0&lt;/Star&gt;&lt;Tag&gt;0&lt;/Tag&gt;&lt;Author/&gt;&lt;Year&gt;2020&lt;/Year&gt;&lt;Details&gt;&lt;_accession_num&gt;32246941&lt;/_accession_num&gt;&lt;_date_display&gt;2020 Jun&lt;/_date_display&gt;&lt;_date&gt;2020-06-01&lt;/_date&gt;&lt;_doi&gt;10.1016/S2468-1253(20)30007-8&lt;/_doi&gt;&lt;_isbn&gt;2468-1253 (Electronic)&lt;/_isbn&gt;&lt;_issue&gt;6&lt;/_issue&gt;&lt;_journal&gt;Lancet Gastroenterol Hepatol&lt;/_journal&gt;&lt;_language&gt;eng&lt;/_language&gt;&lt;_ori_publication&gt;Copyright 漏 2020 The Author(s). Published by Elsevier Ltd. This is an Open Access _x000d__x000a_      article under the CC BY 4.0 license. Published by Elsevier Ltd.. All rights _x000d__x000a_      reserved.&lt;/_ori_publication&gt;&lt;_pages&gt;582-597&lt;/_pages&gt;&lt;_subject_headings&gt;Adenocarcinoma/*epidemiology; Adolescent; Adult; Aged; Aged, 80 and over; Air Pollution, Indoor/statistics &amp;amp; numerical data; Alcohol Drinking/epidemiology; Carcinoma, Squamous Cell/*epidemiology; Diet; Esophageal Neoplasms/*epidemiology; Female; Gastroesophageal Reflux/epidemiology; *Global Burden of Disease; Humans; Male; Middle Aged; Overweight/epidemiology; Quality-Adjusted Life Years; Risk Factors; Tobacco Use/epidemiology; Young Adult&lt;/_subject_headings&gt;&lt;_tertiary_title&gt;The lancet. Gastroenterology &amp;amp; hepatology&lt;/_tertiary_title&gt;&lt;_type_work&gt;Journal Article; Research Support, Non-U.S. Gov&amp;apos;t&lt;/_type_work&gt;&lt;_url&gt;http://www.ncbi.nlm.nih.gov/entrez/query.fcgi?cmd=Retrieve&amp;amp;db=pubmed&amp;amp;dopt=Abstract&amp;amp;list_uids=32246941&amp;amp;query_hl=1&lt;/_url&gt;&lt;_volume&gt;5&lt;/_volume&gt;&lt;_created&gt;63826445&lt;/_created&gt;&lt;_modified&gt;63826445&lt;/_modified&gt;&lt;/Details&gt;&lt;Extra&gt;&lt;DBUID&gt;{F96A950B-833F-4880-A151-76DA2D6A2879}&lt;/DBUID&gt;&lt;/Extra&gt;&lt;/Item&gt;&lt;/References&gt;&lt;/Group&gt;&lt;/Citation&gt;_x000a_"/>
    <w:docVar w:name="NE.Ref{67C99BE7-EE50-4E08-A096-4EAC6FFFA280}" w:val=" ADDIN NE.Ref.{67C99BE7-EE50-4E08-A096-4EAC6FFFA280}&lt;Citation&gt;&lt;Group&gt;&lt;References&gt;&lt;Item&gt;&lt;ID&gt;634&lt;/ID&gt;&lt;UID&gt;{589951FD-33C6-4A8F-AD36-67C3DE9FB08C}&lt;/UID&gt;&lt;Title&gt;Hypoxia and hypoxia response-associated molecular markers in esophageal cancer: A  systematic review&lt;/Title&gt;&lt;Template&gt;Journal Article&lt;/Template&gt;&lt;Star&gt;0&lt;/Star&gt;&lt;Tag&gt;0&lt;/Tag&gt;&lt;Author&gt;Peerlings, J; Van De Voorde, L; Mitea, C; Larue, R; Yaromina, A; Sandeleanu, S; Spiegelberg, L; Dubois, L; Lambin, P; Mottaghy, F M&lt;/Author&gt;&lt;Year&gt;2017&lt;/Year&gt;&lt;Details&gt;&lt;_accession_num&gt;28705470&lt;/_accession_num&gt;&lt;_author_adr&gt;MAASTRO Clinic, Department of Radiation Oncology, GROW - School for Oncology and  Developmental Biology, Maastricht University Medical Centre+, Maastricht, The  Netherlands; Department of Radiology and Nuclear Medicine, Maastricht University  Medical Centre+, Maastricht, The Netherlands. Electronic address:  Jurgen.peerlings@maastro.nl.; MAASTRO Clinic, Department of Radiation Oncology, GROW - School for Oncology and  Developmental Biology, Maastricht University Medical Centre+, Maastricht, The  Netherlands.; Department of Radiology and Nuclear Medicine, Maastricht University Medical Centre+,  Maastricht, The Netherlands.; MAASTRO Clinic, Department of Radiation Oncology, GROW - School for Oncology and  Developmental Biology, Maastricht University Medical Centre+, Maastricht, The  Netherlands.; MAASTRO Clinic, Department of Radiation Oncology, GROW - School for Oncology and  Developmental Biology, Maastricht University Medical Centre+, Maastricht, The  Netherlands.; MAASTRO Clinic, Department of Radiation Oncology, GROW - School for Oncology and  Developmental Biology, Maastricht University Medical Centre+, Maastricht, The  Netherlands.; MAASTRO Clinic, Department of Radiation Oncology, GROW - School for Oncology and  Developmental Biology, Maastricht University Medical Centre+, Maastricht, The  Netherlands.; MAASTRO Clinic, Department of Radiation Oncology, GROW - School for Oncology and  Developmental Biology, Maastricht University Medical Centre+, Maastricht, The  Netherlands.; MAASTRO Clinic, Department of Radiation Oncology, GROW - School for Oncology and  Developmental Biology, Maastricht University Medical Centre+, Maastricht, The  Netherlands.; Department of Radiology and Nuclear Medicine, Maastricht University Medical Centre+,  Maastricht, The Netherlands; Department of Nuclear Medicine, University Hospital  RWTH Aachen University, Aachen, Germany.&lt;/_author_adr&gt;&lt;_date_display&gt;2017 Nov 1&lt;/_date_display&gt;&lt;_date&gt;2017-11-01&lt;/_date&gt;&lt;_doi&gt;10.1016/j.ymeth.2017.07.002&lt;/_doi&gt;&lt;_isbn&gt;1095-9130 (Electronic); 1046-2023 (Linking)&lt;/_isbn&gt;&lt;_journal&gt;Methods&lt;/_journal&gt;&lt;_keywords&gt;*Esophagus; *Hypoxia; *Oncology; *Survival; *Treatment outcome&lt;/_keywords&gt;&lt;_language&gt;eng&lt;/_language&gt;&lt;_ori_publication&gt;Copyright 漏 2017 Elsevier Inc. All rights reserved.&lt;/_ori_publication&gt;&lt;_pages&gt;51-62&lt;/_pages&gt;&lt;_subject_headings&gt;Animals; Biomarkers, Tumor/*biosynthesis; Carbonic Anhydrase IX/*biosynthesis; Esophageal Neoplasms/*diagnostic imaging/metabolism; Humans; Hypoxia/*diagnostic imaging/metabolism; Hypoxia-Inducible Factor 1, alpha Subunit/*biosynthesis&lt;/_subject_headings&gt;&lt;_tertiary_title&gt;Methods (San Diego, Calif.)&lt;/_tertiary_title&gt;&lt;_type_work&gt;Journal Article; Review; Systematic Review&lt;/_type_work&gt;&lt;_url&gt;http://www.ncbi.nlm.nih.gov/entrez/query.fcgi?cmd=Retrieve&amp;amp;db=pubmed&amp;amp;dopt=Abstract&amp;amp;list_uids=28705470&amp;amp;query_hl=1&lt;/_url&gt;&lt;_volume&gt;130&lt;/_volume&gt;&lt;_created&gt;63818079&lt;/_created&gt;&lt;_modified&gt;63818079&lt;/_modified&gt;&lt;_impact_factor&gt;   3.812&lt;/_impact_factor&gt;&lt;_collection_scope&gt;SCI;SCIE&lt;/_collection_scope&gt;&lt;/Details&gt;&lt;Extra&gt;&lt;DBUID&gt;{F96A950B-833F-4880-A151-76DA2D6A2879}&lt;/DBUID&gt;&lt;/Extra&gt;&lt;/Item&gt;&lt;/References&gt;&lt;/Group&gt;&lt;/Citation&gt;_x000a_"/>
    <w:docVar w:name="NE.Ref{7201E417-769E-43D5-AF4B-6218B79F147A}" w:val=" ADDIN NE.Ref.{7201E417-769E-43D5-AF4B-6218B79F147A}&lt;Citation&gt;&lt;Group&gt;&lt;References&gt;&lt;Item&gt;&lt;ID&gt;622&lt;/ID&gt;&lt;UID&gt;{5BC88391-AB98-465D-8F60-F67E87B69FFE}&lt;/UID&gt;&lt;Title&gt;A phase 1/1B trial of ADI-PEG 20 plus nab-paclitaxel and gemcitabine in patients  with advanced pancreatic adenocarcinoma&lt;/Title&gt;&lt;Template&gt;Journal Article&lt;/Template&gt;&lt;Star&gt;0&lt;/Star&gt;&lt;Tag&gt;0&lt;/Tag&gt;&lt;Author&gt;Lowery, M A; Yu, K H; Kelsen, D P; Harding, J J; Bomalaski, J S; Glassman, D C; Covington, C M; Brenner, R; Hollywood, E; Barba, A; Johnston, A; Liu, K C; Feng, X; Capanu, M; Abou-Alfa, G K; O&amp;apos;Reilly, E M&lt;/Author&gt;&lt;Year&gt;2017&lt;/Year&gt;&lt;Details&gt;&lt;_accession_num&gt;28832976&lt;/_accession_num&gt;&lt;_author_adr&gt;Memorial Sloan Kettering Cancer Center, New York, New York.; Weill Cornell Medical College, New York, New York.; Memorial Sloan Kettering Cancer Center, New York, New York.; Weill Cornell Medical College, New York, New York.; Memorial Sloan Kettering Cancer Center, New York, New York.; Weill Cornell Medical College, New York, New York.; Memorial Sloan Kettering Cancer Center, New York, New York.; Weill Cornell Medical College, New York, New York.; Polaris Pharmaceuticals, Inc, San Diego, California.; Memorial Sloan Kettering Cancer Center, New York, New York.; Memorial Sloan Kettering Cancer Center, New York, New York.; Memorial Sloan Kettering Cancer Center, New York, New York.; Memorial Sloan Kettering Cancer Center, New York, New York.; Polaris Pharmaceuticals, Inc, San Diego, California.; Polaris Pharmaceuticals, Inc, San Diego, California.; Polaris Pharmaceuticals, Inc, San Diego, California.; Polaris Pharmaceuticals, Inc, San Diego, California.; Memorial Sloan Kettering Cancer Center, New York, New York.; Weill Cornell Medical College, New York, New York.; Memorial Sloan Kettering Cancer Center, New York, New York.; Weill Cornell Medical College, New York, New York.; Memorial Sloan Kettering Cancer Center, New York, New York.; Weill Cornell Medical College, New York, New York.&lt;/_author_adr&gt;&lt;_date_display&gt;2017 Dec 1&lt;/_date_display&gt;&lt;_date&gt;2017-12-01&lt;/_date&gt;&lt;_doi&gt;10.1002/cncr.30897&lt;/_doi&gt;&lt;_isbn&gt;1097-0142 (Electronic); 0008-543X (Linking)&lt;/_isbn&gt;&lt;_issue&gt;23&lt;/_issue&gt;&lt;_journal&gt;Cancer&lt;/_journal&gt;&lt;_keywords&gt;ADI-PEG 20; gemcitabine; nab-paclitaxel; pancreatic cancer&lt;/_keywords&gt;&lt;_language&gt;eng&lt;/_language&gt;&lt;_ori_publication&gt;漏 2017 American Cancer Society.&lt;/_ori_publication&gt;&lt;_pages&gt;4556-4565&lt;/_pages&gt;&lt;_subject_headings&gt;Adenocarcinoma/*drug therapy/pathology; Adult; Aged; Albumins/administration &amp;amp; dosage; Antineoplastic Combined Chemotherapy Protocols/*therapeutic use; Deoxycytidine/administration &amp;amp; dosage/analogs &amp;amp; derivatives; Female; Follow-Up Studies; Humans; Hydrolases/administration &amp;amp; dosage; Male; Maximum Tolerated Dose; Middle Aged; Neoplasm Staging; Paclitaxel/administration &amp;amp; dosage; Pancreatic Neoplasms/*drug therapy/pathology; Polyethylene Glycols/administration &amp;amp; dosage; Prognosis; Survival Rate&lt;/_subject_headings&gt;&lt;_tertiary_title&gt;Cancer&lt;/_tertiary_title&gt;&lt;_type_work&gt;Clinical Trial, Phase I; Journal Article&lt;/_type_work&gt;&lt;_url&gt;http://www.ncbi.nlm.nih.gov/entrez/query.fcgi?cmd=Retrieve&amp;amp;db=pubmed&amp;amp;dopt=Abstract&amp;amp;list_uids=28832976&amp;amp;query_hl=1&lt;/_url&gt;&lt;_volume&gt;123&lt;/_volume&gt;&lt;_created&gt;63815840&lt;/_created&gt;&lt;_modified&gt;63815840&lt;/_modified&gt;&lt;_impact_factor&gt;   5.742&lt;/_impact_factor&gt;&lt;_collection_scope&gt;SCI;SCIE&lt;/_collection_scope&gt;&lt;/Details&gt;&lt;Extra&gt;&lt;DBUID&gt;{F96A950B-833F-4880-A151-76DA2D6A2879}&lt;/DBUID&gt;&lt;/Extra&gt;&lt;/Item&gt;&lt;/References&gt;&lt;/Group&gt;&lt;/Citation&gt;_x000a_"/>
    <w:docVar w:name="NE.Ref{75166E8F-BDE8-40C5-9984-0A84E38361B8}" w:val=" ADDIN NE.Ref.{75166E8F-BDE8-40C5-9984-0A84E38361B8}&lt;Citation&gt;&lt;Group&gt;&lt;References&gt;&lt;Item&gt;&lt;ID&gt;633&lt;/ID&gt;&lt;UID&gt;{2E6D54DF-D243-49E7-A868-787333963742}&lt;/UID&gt;&lt;Title&gt;JmjC-KDMs KDM3A and KDM6B modulate radioresistance under hypoxic conditions in  esophageal squamous cell carcinoma&lt;/Title&gt;&lt;Template&gt;Journal Article&lt;/Template&gt;&lt;Star&gt;0&lt;/Star&gt;&lt;Tag&gt;0&lt;/Tag&gt;&lt;Author&gt;Macedo-Silva, C; Miranda-Gon莽alves, V; Lameirinhas, A; Lencart, J; Pereira, A; Lobo, J; Guimar茫es, R; Martins, A T; Henrique, R; Bravo, I; Jer贸nimo, C&lt;/Author&gt;&lt;Year&gt;2020&lt;/Year&gt;&lt;Details&gt;&lt;_accession_num&gt;33318475&lt;/_accession_num&gt;&lt;_author_adr&gt;Cancer Biology &amp;amp; Epigenetics Group - Research Center, Portuguese Oncology Institute  of Porto (CI-IPOP), Porto, Portugal.; Cancer Biology &amp;amp; Epigenetics Group - Research Center, Portuguese Oncology Institute  of Porto (CI-IPOP), Porto, Portugal.; Cancer Biology &amp;amp; Epigenetics Group - Research Center, Portuguese Oncology Institute  of Porto (CI-IPOP), Porto, Portugal.; Medical Physics, Radiobiology and Radiation Protection Group - Research Center,  Portuguese Oncology Institute of Porto (CI-IPOP), Porto, Portugal.; Departments of Medical Physics, Portuguese Oncology Institute of Porto, Porto,  Portugal.; Medical Physics, Radiobiology and Radiation Protection Group - Research Center,  Portuguese Oncology Institute of Porto (CI-IPOP), Porto, Portugal.; Departments of Medical Physics, Portuguese Oncology Institute of Porto, Porto,  Portugal.; Cancer Biology &amp;amp; Epigenetics Group - Research Center, Portuguese Oncology Institute  of Porto (CI-IPOP), Porto, Portugal.; Departments of Pathology, Portuguese Oncology Institute of Porto, Porto, Portugal.; Department of Pathology and Molecular Immunology, Institute of Biomedical Sciences  Abel Salazar - University of Porto (ICBAS-UP), Porto, Portugal.; Departments of Pathology, Portuguese Oncology Institute of Porto, Porto, Portugal.; Departments of Pathology, Portuguese Oncology Institute of Porto, Porto, Portugal.; Cancer Biology &amp;amp; Epigenetics Group - Research Center, Portuguese Oncology Institute  of Porto (CI-IPOP), Porto, Portugal.; Departments of Pathology, Portuguese Oncology Institute of Porto, Porto, Portugal.; Department of Pathology and Molecular Immunology, Institute of Biomedical Sciences  Abel Salazar - University of Porto (ICBAS-UP), Porto, Portugal.; Medical Physics, Radiobiology and Radiation Protection Group - Research Center,  Portuguese Oncology Institute of Porto (CI-IPOP), Porto, Portugal.; Cancer Biology &amp;amp; Epigenetics Group - Research Center, Portuguese Oncology Institute  of Porto (CI-IPOP), Porto, Portugal. carmenjeronimo@ipoporto.min-saude.pt.; Department of Pathology and Molecular Immunology, Institute of Biomedical Sciences  Abel Salazar - University of Porto (ICBAS-UP), Porto, Portugal.  carmenjeronimo@ipoporto.min-saude.pt.&lt;/_author_adr&gt;&lt;_date_display&gt;2020 Dec 14&lt;/_date_display&gt;&lt;_date&gt;2020-12-14&lt;/_date&gt;&lt;_doi&gt;10.1038/s41419-020-03279-y&lt;/_doi&gt;&lt;_isbn&gt;2041-4889 (Electronic)&lt;/_isbn&gt;&lt;_issue&gt;12&lt;/_issue&gt;&lt;_journal&gt;Cell Death Dis&lt;/_journal&gt;&lt;_language&gt;eng&lt;/_language&gt;&lt;_pages&gt;1068&lt;/_pages&gt;&lt;_subject_headings&gt;Apoptosis/drug effects/genetics/radiation effects; Biomarkers, Tumor/metabolism; Cell Line, Tumor; Cell Movement/drug effects/genetics/radiation effects; Cell Proliferation/drug effects/radiation effects; DNA Damage; DNA Repair/drug effects; Esophageal Neoplasms/genetics/*metabolism/*pathology; Esophageal Squamous Cell Carcinoma/genetics/*metabolism/*pathology; Gene Expression Regulation, Neoplastic/drug effects/radiation effects; Humans; Hydroxyquinolines/pharmacology; Jumonji Domain-Containing Histone Demethylases/genetics/*metabolism; *Radiation Tolerance/drug effects; Radiation, Ionizing; *Tumor Hypoxia/drug effects/genetics/radiation effects&lt;/_subject_headings&gt;&lt;_tertiary_title&gt;Cell death &amp;amp; disease&lt;/_tertiary_title&gt;&lt;_type_work&gt;Journal Article; Research Support, Non-U.S. Gov&amp;apos;t&lt;/_type_work&gt;&lt;_url&gt;http://www.ncbi.nlm.nih.gov/entrez/query.fcgi?cmd=Retrieve&amp;amp;db=pubmed&amp;amp;dopt=Abstract&amp;amp;list_uids=33318475&amp;amp;query_hl=1&lt;/_url&gt;&lt;_volume&gt;11&lt;/_volume&gt;&lt;_created&gt;63818072&lt;/_created&gt;&lt;_modified&gt;63818072&lt;/_modified&gt;&lt;_impact_factor&gt;   6.304&lt;/_impact_factor&gt;&lt;_collection_scope&gt;SCIE&lt;/_collection_scope&gt;&lt;/Details&gt;&lt;Extra&gt;&lt;DBUID&gt;{F96A950B-833F-4880-A151-76DA2D6A2879}&lt;/DBUID&gt;&lt;/Extra&gt;&lt;/Item&gt;&lt;/References&gt;&lt;/Group&gt;&lt;/Citation&gt;_x000a_"/>
    <w:docVar w:name="NE.Ref{7A90BFCC-17F0-4739-A956-C302CA356743}" w:val=" ADDIN NE.Ref.{7A90BFCC-17F0-4739-A956-C302CA356743}&lt;Citation&gt;&lt;Group&gt;&lt;References&gt;&lt;Item&gt;&lt;ID&gt;638&lt;/ID&gt;&lt;UID&gt;{8FD0AD37-8561-4A2C-958F-CAA39D5C5780}&lt;/UID&gt;&lt;Title&gt;Receptor Tyrosine Kinases in Osteosarcoma Treatment: Which Is the Key Target?&lt;/Title&gt;&lt;Template&gt;Journal Article&lt;/Template&gt;&lt;Star&gt;0&lt;/Star&gt;&lt;Tag&gt;0&lt;/Tag&gt;&lt;Author&gt;Tian, Z; Niu, X; Yao, W&lt;/Author&gt;&lt;Year&gt;2020&lt;/Year&gt;&lt;Details&gt;&lt;_accession_num&gt;32984034&lt;/_accession_num&gt;&lt;_author_adr&gt;Department of Orthopedics, The Affiliated Cancer Hospital of Zhengzhou University,  Henan Cancer Hospital, Zhengzhou, China.; Department of Orthopedic Oncology, Beijing Jishuitan Hospital, Beijing, China.; Department of Orthopedics, The Affiliated Cancer Hospital of Zhengzhou University,  Henan Cancer Hospital, Zhengzhou, China.&lt;/_author_adr&gt;&lt;_date_display&gt;2020&lt;/_date_display&gt;&lt;_date&gt;2020-01-20&lt;/_date&gt;&lt;_doi&gt;10.3389/fonc.2020.01642&lt;/_doi&gt;&lt;_isbn&gt;2234-943X (Print); 2234-943X (Electronic); 2234-943X (Linking)&lt;/_isbn&gt;&lt;_journal&gt;Front Oncol&lt;/_journal&gt;&lt;_keywords&gt;RET; RTKs; TKIs; VEGFRs; osteosarcoma; target therapy&lt;/_keywords&gt;&lt;_language&gt;eng&lt;/_language&gt;&lt;_ori_publication&gt;Copyright 漏 2020 Tian, Niu and Yao.&lt;/_ori_publication&gt;&lt;_pages&gt;1642&lt;/_pages&gt;&lt;_tertiary_title&gt;Frontiers in oncology&lt;/_tertiary_title&gt;&lt;_type_work&gt;Journal Article; Review&lt;/_type_work&gt;&lt;_url&gt;http://www.ncbi.nlm.nih.gov/entrez/query.fcgi?cmd=Retrieve&amp;amp;db=pubmed&amp;amp;dopt=Abstract&amp;amp;list_uids=32984034&amp;amp;query_hl=1&lt;/_url&gt;&lt;_volume&gt;10&lt;/_volume&gt;&lt;_created&gt;63826442&lt;/_created&gt;&lt;_modified&gt;63826442&lt;/_modified&gt;&lt;_impact_factor&gt;   4.848&lt;/_impact_factor&gt;&lt;_collection_scope&gt;SCIE&lt;/_collection_scope&gt;&lt;/Details&gt;&lt;Extra&gt;&lt;DBUID&gt;{F96A950B-833F-4880-A151-76DA2D6A2879}&lt;/DBUID&gt;&lt;/Extra&gt;&lt;/Item&gt;&lt;/References&gt;&lt;/Group&gt;&lt;/Citation&gt;_x000a_"/>
    <w:docVar w:name="NE.Ref{7E2D5222-A1BE-441F-9DAF-CB1B0CD0C427}" w:val=" ADDIN NE.Ref.{7E2D5222-A1BE-441F-9DAF-CB1B0CD0C427}&lt;Citation&gt;&lt;Group&gt;&lt;References&gt;&lt;Item&gt;&lt;ID&gt;647&lt;/ID&gt;&lt;UID&gt;{079AF4EE-0AA5-4DB3-847D-A4EAF7E09815}&lt;/UID&gt;&lt;Title&gt;RAC1 inhibition reverses cisplatin resistance in esophageal squamous cell carcinoma  and induces downregulation of glycolytic enzymes&lt;/Title&gt;&lt;Template&gt;Journal Article&lt;/Template&gt;&lt;Star&gt;0&lt;/Star&gt;&lt;Tag&gt;0&lt;/Tag&gt;&lt;Author&gt;Zeng, R J; Zheng, C W; Gu, J E; Zhang, H X; Xie, L; Xu, L Y; Li, E M&lt;/Author&gt;&lt;Year&gt;2019&lt;/Year&gt;&lt;Details&gt;&lt;_accession_num&gt;31314174&lt;/_accession_num&gt;&lt;_author_adr&gt;Department of Biochemistry and Molecular Biology, Shantou University Medical  College, China.; The Key Laboratory of Molecular Biology for High Cancer Incidence Coastal Chaoshan  Area, Shantou University Medical College, China.; Department of Biochemistry and Molecular Biology, Shantou University Medical  College, China.; The Key Laboratory of Molecular Biology for High Cancer Incidence Coastal Chaoshan  Area, Shantou University Medical College, China.; Department of Biochemistry and Molecular Biology, Shantou University Medical  College, China.; The Key Laboratory of Molecular Biology for High Cancer Incidence Coastal Chaoshan  Area, Shantou University Medical College, China.; Department of Biochemistry and Molecular Biology, Shantou University Medical  College, China.; The Key Laboratory of Molecular Biology for High Cancer Incidence Coastal Chaoshan  Area, Shantou University Medical College, China.; Department of Biochemistry and Molecular Biology, Shantou University Medical  College, China.; The Key Laboratory of Molecular Biology for High Cancer Incidence Coastal Chaoshan  Area, Shantou University Medical College, China.; The Key Laboratory of Molecular Biology for High Cancer Incidence Coastal Chaoshan  Area, Shantou University Medical College, China.; Institute of Oncologic Pathology, Shantou University Medical College, China.; Department of Biochemistry and Molecular Biology, Shantou University Medical  College, China.; The Key Laboratory of Molecular Biology for High Cancer Incidence Coastal Chaoshan  Area, Shantou University Medical College, China.&lt;/_author_adr&gt;&lt;_date_display&gt;2019 Sep&lt;/_date_display&gt;&lt;_date&gt;2019-09-01&lt;/_date&gt;&lt;_doi&gt;10.1002/1878-0261.12548&lt;/_doi&gt;&lt;_isbn&gt;1878-0261 (Electronic); 1574-7891 (Print); 1574-7891 (Linking)&lt;/_isbn&gt;&lt;_issue&gt;9&lt;/_issue&gt;&lt;_journal&gt;Mol Oncol&lt;/_journal&gt;&lt;_keywords&gt;*RAC1; *chemoresistance; *cisplatin; *esophageal squamous cell carcinoma; *glycolysis&lt;/_keywords&gt;&lt;_language&gt;eng&lt;/_language&gt;&lt;_ori_publication&gt;漏 2019 The Authors. Published by FEBS Press and John Wiley &amp;amp; Sons Ltd.&lt;/_ori_publication&gt;&lt;_pages&gt;2010-2030&lt;/_pages&gt;&lt;_subject_headings&gt;Animals; Cell Line, Tumor; Cisplatin/*pharmacology; *Drug Resistance, Neoplasm; *Esophageal Neoplasms/drug therapy/genetics/metabolism/pathology; *Esophageal Squamous Cell Carcinoma/drug therapy/genetics/metabolism/pathology; Female; Gene Expression Regulation, Neoplastic/*drug effects; Gene Silencing; Glycolysis/*drug effects/genetics; Humans; Male; Mice; Mice, Nude; Middle Aged; Neoplasm Proteins/*biosynthesis/genetics; Xenograft Model Antitumor Assays; rac1 GTP-Binding Protein/*biosynthesis/genetics&lt;/_subject_headings&gt;&lt;_tertiary_title&gt;Molecular oncology&lt;/_tertiary_title&gt;&lt;_type_work&gt;Journal Article; Research Support, Non-U.S. Gov&amp;apos;t&lt;/_type_work&gt;&lt;_url&gt;http://www.ncbi.nlm.nih.gov/entrez/query.fcgi?cmd=Retrieve&amp;amp;db=pubmed&amp;amp;dopt=Abstract&amp;amp;list_uids=31314174&amp;amp;query_hl=1&lt;/_url&gt;&lt;_volume&gt;13&lt;/_volume&gt;&lt;_created&gt;63826602&lt;/_created&gt;&lt;_modified&gt;63826602&lt;/_modified&gt;&lt;_impact_factor&gt;   6.574&lt;/_impact_factor&gt;&lt;_collection_scope&gt;SCIE&lt;/_collection_scope&gt;&lt;/Details&gt;&lt;Extra&gt;&lt;DBUID&gt;{F96A950B-833F-4880-A151-76DA2D6A2879}&lt;/DBUID&gt;&lt;/Extra&gt;&lt;/Item&gt;&lt;/References&gt;&lt;/Group&gt;&lt;/Citation&gt;_x000a_"/>
    <w:docVar w:name="NE.Ref{92AE67CF-4469-4CF4-9D5B-99868522A49F}" w:val=" ADDIN NE.Ref.{92AE67CF-4469-4CF4-9D5B-99868522A49F}&lt;Citation&gt;&lt;Group&gt;&lt;References&gt;&lt;Item&gt;&lt;ID&gt;645&lt;/ID&gt;&lt;UID&gt;{F80934B2-F0EE-4873-B0EB-9A0050A55C54}&lt;/UID&gt;&lt;Title&gt;LncRNA GLCC1 promotes colorectal carcinogenesis and glucose metabolism by  stabilizing c-Myc&lt;/Title&gt;&lt;Template&gt;Journal Article&lt;/Template&gt;&lt;Star&gt;0&lt;/Star&gt;&lt;Tag&gt;0&lt;/Tag&gt;&lt;Author&gt;Tang, J; Yan, T; Bao, Y; Shen, C; Yu, C; Zhu, X; Tian, X; Guo, F; Liang, Q; Liu, Q; Zhong, M; Chen, J; Ge, Z; Li, X; Chen, X; Cui, Y; Chen, Y; Zou, W; Chen, H; Hong, J; Fang, J Y&lt;/Author&gt;&lt;Year&gt;2019&lt;/Year&gt;&lt;Details&gt;&lt;_accession_num&gt;31375671&lt;/_accession_num&gt;&lt;_author_adr&gt;State Key Laboratory for Oncogenes and Related Genes, Key Laboratory of  Gastroenterology &amp;amp; Hepatology, Ministry of Health, Division of Gastroenterology and  Hepatology, Shanghai Institute of Digestive Disease, Renji Hospital, School of  Medicine, Shanghai Jiao Tong University, 145 Middle Shandong Road, 200001, Shanghai,  China.; Department of Gastrointestinal Surgery, Renji Hospital, School of Medicine, Shanghai  Jiao Tong University, 200127, Shanghai, China.; State Key Laboratory for Oncogenes and Related Genes, Key Laboratory of  Gastroenterology &amp;amp; Hepatology, Ministry of Health, Division of Gastroenterology and  Hepatology, Shanghai Institute of Digestive Disease, Renji Hospital, School of  Medicine, Shanghai Jiao Tong University, 145 Middle Shandong Road, 200001, Shanghai,  China.; State Key Laboratory for Oncogenes and Related Genes, Key Laboratory of  Gastroenterology &amp;amp; Hepatology, Ministry of Health, Division of Gastroenterology and  Hepatology, Shanghai Institute of Digestive Disease, Renji Hospital, School of  Medicine, Shanghai Jiao Tong University, 145 Middle Shandong Road, 200001, Shanghai,  China.; Department of Infectious Disease, Shanghai Ninth People&amp;apos;s Hospital, Shanghai Jiao  Tong University School of Medicine, Shanghai, 210999, China.; State Key Laboratory for Oncogenes and Related Genes, Key Laboratory of  Gastroenterology &amp;amp; Hepatology, Ministry of Health, Division of Gastroenterology and  Hepatology, Shanghai Institute of Digestive Disease, Renji Hospital, School of  Medicine, Shanghai Jiao Tong University, 145 Middle Shandong Road, 200001, Shanghai,  China.; State Key Laboratory for Oncogenes and Related Genes, Key Laboratory of  Gastroenterology &amp;amp; Hepatology, Ministry of Health, Division of Gastroenterology and  Hepatology, Shanghai Institute of Digestive Disease, Renji Hospital, School of  Medicine, Shanghai Jiao Tong University, 145 Middle Shandong Road, 200001, Shanghai,  China.; State Key Laboratory for Oncogenes and Related Genes, Key Laboratory of  Gastroenterology &amp;amp; Hepatology, Ministry of Health, Division of Gastroenterology and  Hepatology, Shanghai Institute of Digestive Disease, Renji Hospital, School of  Medicine, Shanghai Jiao Tong University, 145 Middle Shandong Road, 200001, Shanghai,  China.; State Key Laboratory for Oncogenes and Related Genes, Key Laboratory of  Gastroenterology &amp;amp; Hepatology, Ministry of Health, Division of Gastroenterology and  Hepatology, Shanghai Institute of Digestive Disease, Renji Hospital, School of  Medicine, Shanghai Jiao Tong University, 145 Middle Shandong Road, 200001, Shanghai,  China.; State Key Laboratory for Oncogenes and Related Genes, Key Laboratory of  Gastroenterology &amp;amp; Hepatology, Ministry of Health, Division of Gastroenterology and  Hepatology, Shanghai Institute of Digestive Disease, Renji Hospital, School of  Medicine, Shanghai Jiao Tong University, 145 Middle Shandong Road, 200001, Shanghai,  China.; State Key Laboratory for Oncogenes and Related Genes, Key Laboratory of  Gastroenterology &amp;amp; Hepatology, Ministry of Health, Division of Gastroenterology and  Hepatology, Shanghai Institute of Digestive Disease, Renji Hospital, School of  Medicine, Shanghai Jiao Tong University, 145 Middle Shandong Road, 200001, Shanghai,  China.; Department of Pathology, Renji Hospital, Shanghai Jiao Tong University School of  Medicine, Shanghai, 200127, China.; Department of Gastrointestinal Surgery, Renji Hospital, School of Medicine, Shanghai  Jiao Tong University, 200127, Shanghai, China.; Department of Gastrointestinal Surgery, Renji Hospital, School of Medicine, Shanghai  Jiao Tong University, 200127, Shanghai, China.; State Key Laboratory for Oncogenes and Related Genes, Key Laboratory of  Gastroenterology &amp;amp; Hepatology, Ministry of Health, Division of Gastroenterology and  Hepatology, Shanghai Institute of Digestive Disease, Renji Hospital, School of  Medicine, Shanghai Jiao Tong University, 145 Middle Shandong Road, 200001, Shanghai,  China.; State Key Laboratory for Oncogenes and Related Genes, Key Laboratory of  Gastroenterology &amp;amp; Hepatology, Ministry of Health, Division of Gastroenterology and  Hepatology, Shanghai Institute of Digestive Disease, Renji Hospital, School of  Medicine, Shanghai Jiao Tong University, 145 Middle Shandong Road, 200001, Shanghai,  China.; State Key Laboratory for Oncogenes and Related Genes, Key Laboratory of  Gastroenterology &amp;amp; Hepatology, Ministry of Health, Division of Gastroenterology and  Hepatology, Shanghai Institute of Digestive Disease, Renji Hospital, School of  Medicine, Shanghai Jiao Tong University, 145 Middle Shandong Road, 200001, Shanghai,  China.; State Key Laboratory for Oncogenes and Related Genes, Key Laboratory of  Gastroenterology &amp;amp; Hepatology, Ministry of Health, Division of Gastroenterology and  Hepatology, Shanghai Institute of Digestive Disease, Renji Hospital, School of  Medicine, Shanghai Jiao Tong University, 145 Middle Shandong Road, 200001, Shanghai,  China.; State Key Laboratory for Oncogenes and Related Genes, Key Laboratory of  Gastroenterology &amp;amp; Hepatology, Ministry of Health, Division of Gastroenterology and  Hepatology, Shanghai Institute of Digestive Disease, Renji Hospital, School of  Medicine, Shanghai Jiao Tong University, 145 Middle Shandong Road, 200001, Shanghai,  China.; Department of Surgery, The University of Michigan Comprehensive Cancer Center,  Graduate programs in Immunology and Cancer Biology, University of Michigan School of  Medicine, Ann Arbor, MI, 48109, USA.; State Key Laboratory for Oncogenes and Related Genes, Key Laboratory of  Gastroenterology &amp;amp; Hepatology, Ministry of Health, Division of Gastroenterology and  Hepatology, Shanghai Institute of Digestive Disease, Renji Hospital, School of  Medicine, Shanghai Jiao Tong University, 145 Middle Shandong Road, 200001, Shanghai,  China. haoyanchen@sjtu.edu.cn.; State Key Laboratory for Oncogenes and Related Genes, Key Laboratory of  Gastroenterology &amp;amp; Hepatology, Ministry of Health, Division of Gastroenterology and  Hepatology, Shanghai Institute of Digestive Disease, Renji Hospital, School of  Medicine, Shanghai Jiao Tong University, 145 Middle Shandong Road, 200001, Shanghai,  China. jiehong97@sjtu.edu.cn.; State Key Laboratory for Oncogenes and Related Genes, Key Laboratory of  Gastroenterology &amp;amp; Hepatology, Ministry of Health, Division of Gastroenterology and  Hepatology, Shanghai Institute of Digestive Disease, Renji Hospital, School of  Medicine, Shanghai Jiao Tong University, 145 Middle Shandong Road, 200001, Shanghai,  China. jingyuanfang@sjtu.edu.cn.&lt;/_author_adr&gt;&lt;_date_display&gt;2019 Aug 2&lt;/_date_display&gt;&lt;_date&gt;2019-08-02&lt;/_date&gt;&lt;_doi&gt;10.1038/s41467-019-11447-8&lt;/_doi&gt;&lt;_isbn&gt;2041-1723 (Electronic); 2041-1723 (Linking)&lt;/_isbn&gt;&lt;_issue&gt;1&lt;/_issue&gt;&lt;_journal&gt;Nat Commun&lt;/_journal&gt;&lt;_language&gt;eng&lt;/_language&gt;&lt;_pages&gt;3499&lt;/_pages&gt;&lt;_subject_headings&gt;Aged; Animals; Carcinogenesis/genetics/metabolism; Cell Line, Tumor; Cell Proliferation; Colorectal Neoplasms/*genetics/metabolism/mortality; Female; *Gene Expression Regulation, Neoplastic; Glucose/*metabolism; Glycolysis/genetics; HSP90 Heat-Shock Proteins/genetics; Humans; Kaplan-Meier Estimate; L-Lactate Dehydrogenase/genetics/metabolism; Male; Mice; Middle Aged; Prognosis; Proto-Oncogene Proteins c-myc/*metabolism; RNA, Long Noncoding/*metabolism; Ubiquitination/genetics; Up-Regulation; Xenograft Model Antitumor Assays&lt;/_subject_headings&gt;&lt;_tertiary_title&gt;Nature communications&lt;/_tertiary_title&gt;&lt;_type_work&gt;Journal Article; Research Support, Non-U.S. Gov&amp;apos;t&lt;/_type_work&gt;&lt;_url&gt;http://www.ncbi.nlm.nih.gov/entrez/query.fcgi?cmd=Retrieve&amp;amp;db=pubmed&amp;amp;dopt=Abstract&amp;amp;list_uids=31375671&amp;amp;query_hl=1&lt;/_url&gt;&lt;_volume&gt;10&lt;/_volume&gt;&lt;_created&gt;63826547&lt;/_created&gt;&lt;_modified&gt;63826547&lt;/_modified&gt;&lt;_impact_factor&gt;  12.121&lt;/_impact_factor&gt;&lt;_collection_scope&gt;SCI;SCIE&lt;/_collection_scope&gt;&lt;/Details&gt;&lt;Extra&gt;&lt;DBUID&gt;{F96A950B-833F-4880-A151-76DA2D6A2879}&lt;/DBUID&gt;&lt;/Extra&gt;&lt;/Item&gt;&lt;/References&gt;&lt;/Group&gt;&lt;/Citation&gt;_x000a_"/>
    <w:docVar w:name="NE.Ref{92D40CE7-4B8F-4D77-A911-AC9DD8892DBB}" w:val=" ADDIN NE.Ref.{92D40CE7-4B8F-4D77-A911-AC9DD8892DBB}&lt;Citation&gt;&lt;Group&gt;&lt;References&gt;&lt;Item&gt;&lt;ID&gt;664&lt;/ID&gt;&lt;UID&gt;{B2334887-3CB9-4A4E-B1C7-28F85BC78A37}&lt;/UID&gt;&lt;Title&gt;A Metabolite Array Technology for Precision Medicine&lt;/Title&gt;&lt;Template&gt;Journal Article&lt;/Template&gt;&lt;Star&gt;0&lt;/Star&gt;&lt;Tag&gt;0&lt;/Tag&gt;&lt;Author&gt;Xie, G; Wang, L; Chen, T; Zhou, K; Zhang, Z; Li, J; Sun, B; Guo, Y; Wang, X; Wang, Y; Zhang, H; Liu, P; Nicholson, J K; Ge, W; Jia, W&lt;/Author&gt;&lt;Year&gt;2021&lt;/Year&gt;&lt;Details&gt;&lt;_accession_num&gt;33797874&lt;/_accession_num&gt;&lt;_author_adr&gt;Shanghai Key Laboratory of Diabetes Mellitus and Center for Translational Medicine,  Shanghai Jiao Tong University Affiliated Sixth People&amp;apos;s Hospital, Shanghai 200233,  China.; Human Metabolomics Institute, Inc., Shenzhen, Guangdong 518109, China.; Human Metabolomics Institute, Inc., Shenzhen, Guangdong 518109, China.; Shanghai Key Laboratory of Diabetes Mellitus and Center for Translational Medicine,  Shanghai Jiao Tong University Affiliated Sixth People&amp;apos;s Hospital, Shanghai 200233,  China.; Human Metabolomics Institute, Inc., Shenzhen, Guangdong 518109, China.; Department of Hepatobiliary Surgery, The Nanjing Drum Tower Hospital Affiliated to  Nanjing University Medical School, Nanjing, Jiangsu 210009, China.; Hong Kong Traditional Chinese Medicine Phenome Research Centre, School of Chinese  Medicine, Hong Kong Baptist University, Kowloon Tong, Hong Kong 999077, China.; Department of Hepatobiliary Surgery, The Nanjing Drum Tower Hospital Affiliated to  Nanjing University Medical School, Nanjing, Jiangsu 210009, China.; Hong Kong Traditional Chinese Medicine Phenome Research Centre, School of Chinese  Medicine, Hong Kong Baptist University, Kowloon Tong, Hong Kong 999077, China.; E-Institute of Shanghai Municipal Education Committee, Institute of  Interdisciplinary Integrative Medicine Research, Shanghai University of Traditional  Chinese Medicine, Shanghai 201203, China.; E-Institute of Shanghai Municipal Education Committee, Institute of  Interdisciplinary Integrative Medicine Research, Shanghai University of Traditional  Chinese Medicine, Shanghai 201203, China.; E-Institute of Shanghai Municipal Education Committee, Institute of  Interdisciplinary Integrative Medicine Research, Shanghai University of Traditional  Chinese Medicine, Shanghai 201203, China.; E-Institute of Shanghai Municipal Education Committee, Institute of  Interdisciplinary Integrative Medicine Research, Shanghai University of Traditional  Chinese Medicine, Shanghai 201203, China.; Australian National Phenome Center, Health Futures Institute, Murdoch University,  Perth, WA 6150, Australia.; Department of Pharmacy, The Nanjing Drum Tower Hospital Affiliated to Nanjing  University Medical School, Nanjing, Jiangsu 210009, China.; Shanghai Key Laboratory of Diabetes Mellitus and Center for Translational Medicine,  Shanghai Jiao Tong University Affiliated Sixth People&amp;apos;s Hospital, Shanghai 200233,  China.; Hong Kong Traditional Chinese Medicine Phenome Research Centre, School of Chinese  Medicine, Hong Kong Baptist University, Kowloon Tong, Hong Kong 999077, China.&lt;/_author_adr&gt;&lt;_date_display&gt;2021 Apr 13&lt;/_date_display&gt;&lt;_date&gt;2021-04-13&lt;/_date&gt;&lt;_doi&gt;10.1021/acs.analchem.0c04686&lt;/_doi&gt;&lt;_isbn&gt;1520-6882 (Electronic); 0003-2700 (Linking)&lt;/_isbn&gt;&lt;_issue&gt;14&lt;/_issue&gt;&lt;_journal&gt;Anal Chem&lt;/_journal&gt;&lt;_language&gt;eng&lt;/_language&gt;&lt;_pages&gt;5709-5717&lt;/_pages&gt;&lt;_subject_headings&gt;Humans; *Metabolome; Metabolomics; *Precision Medicine; Reproducibility of Results; Technology&lt;/_subject_headings&gt;&lt;_tertiary_title&gt;Analytical chemistry&lt;/_tertiary_title&gt;&lt;_type_work&gt;Journal Article; Research Support, Non-U.S. Gov&amp;apos;t&lt;/_type_work&gt;&lt;_url&gt;http://www.ncbi.nlm.nih.gov/entrez/query.fcgi?cmd=Retrieve&amp;amp;db=pubmed&amp;amp;dopt=Abstract&amp;amp;list_uids=33797874&amp;amp;query_hl=1&lt;/_url&gt;&lt;_volume&gt;93&lt;/_volume&gt;&lt;_created&gt;63999160&lt;/_created&gt;&lt;_modified&gt;63999160&lt;/_modified&gt;&lt;_impact_factor&gt;   6.986&lt;/_impact_factor&gt;&lt;_collection_scope&gt;SCI;SCIE;EI&lt;/_collection_scope&gt;&lt;/Details&gt;&lt;Extra&gt;&lt;DBUID&gt;{F96A950B-833F-4880-A151-76DA2D6A2879}&lt;/DBUID&gt;&lt;/Extra&gt;&lt;/Item&gt;&lt;/References&gt;&lt;/Group&gt;&lt;/Citation&gt;_x000a_"/>
    <w:docVar w:name="NE.Ref{963BFE68-91E4-4B8B-B48F-AA613F1FFBDA}" w:val=" ADDIN NE.Ref.{963BFE68-91E4-4B8B-B48F-AA613F1FFBDA}&lt;Citation&gt;&lt;Group&gt;&lt;References&gt;&lt;Item&gt;&lt;ID&gt;636&lt;/ID&gt;&lt;UID&gt;{5312EDAB-6A6B-4313-845F-F881B385F2C8}&lt;/UID&gt;&lt;Title&gt;Pathway-Directed Therapy in Multiple Myeloma&lt;/Title&gt;&lt;Template&gt;Journal Article&lt;/Template&gt;&lt;Star&gt;0&lt;/Star&gt;&lt;Tag&gt;0&lt;/Tag&gt;&lt;Author&gt;John, L; Krauth, M T; Podar, K; Raab, M S&lt;/Author&gt;&lt;Year&gt;2021&lt;/Year&gt;&lt;Details&gt;&lt;_accession_num&gt;33916289&lt;/_accession_num&gt;&lt;_author_adr&gt;Department of Internal Medicine V, University Hospital Heidelberg, Im Neuenheimer  Feld 410, 69120 Heidelberg, Germany.; CCU Molecular Hematology/Oncology, German Cancer Research Center (DKFZ), Im  Neuenheimer Feld 280, 69120 Heidelberg, Germany.; Department of Internal Medicine I, Division of Hematology and Hemostaseology,  Medical University of Vienna, W盲hringer G眉rtel 18-20, 1090 Vienna, Austria.; Department of Internal Medicine, Karl Landsteiner University of Health Sciences,  Mitterweg 10, 3500 Krems an der Donau, Austria.; Department of Internal Medicine V, University Hospital Heidelberg, Im Neuenheimer  Feld 410, 69120 Heidelberg, Germany.; CCU Molecular Hematology/Oncology, German Cancer Research Center (DKFZ), Im  Neuenheimer Feld 280, 69120 Heidelberg, Germany.&lt;/_author_adr&gt;&lt;_date_display&gt;2021 Apr 1&lt;/_date_display&gt;&lt;_date&gt;2021-04-01&lt;/_date&gt;&lt;_doi&gt;10.3390/cancers13071668&lt;/_doi&gt;&lt;_isbn&gt;2072-6694 (Print); 2072-6694 (Electronic); 2072-6694 (Linking)&lt;/_isbn&gt;&lt;_issue&gt;7&lt;/_issue&gt;&lt;_journal&gt;Cancers (Basel)&lt;/_journal&gt;&lt;_keywords&gt;BRAF; PI3K/AKT-pathway; PIM; RAS/RAF/MEK/ERK-pathway; c-MYC; mTOR; multiple myeloma; p53; signaling pathways&lt;/_keywords&gt;&lt;_language&gt;eng&lt;/_language&gt;&lt;_tertiary_title&gt;Cancers&lt;/_tertiary_title&gt;&lt;_type_work&gt;Journal Article; Review&lt;/_type_work&gt;&lt;_url&gt;http://www.ncbi.nlm.nih.gov/entrez/query.fcgi?cmd=Retrieve&amp;amp;db=pubmed&amp;amp;dopt=Abstract&amp;amp;list_uids=33916289&amp;amp;query_hl=1&lt;/_url&gt;&lt;_volume&gt;13&lt;/_volume&gt;&lt;_created&gt;63818196&lt;/_created&gt;&lt;_modified&gt;63818196&lt;/_modified&gt;&lt;/Details&gt;&lt;Extra&gt;&lt;DBUID&gt;{F96A950B-833F-4880-A151-76DA2D6A2879}&lt;/DBUID&gt;&lt;/Extra&gt;&lt;/Item&gt;&lt;/References&gt;&lt;/Group&gt;&lt;/Citation&gt;_x000a_"/>
    <w:docVar w:name="NE.Ref{A0598CB0-CEEB-4944-BC09-1C1C6A851945}" w:val=" ADDIN NE.Ref.{A0598CB0-CEEB-4944-BC09-1C1C6A851945}&lt;Citation&gt;&lt;Group&gt;&lt;References&gt;&lt;Item&gt;&lt;ID&gt;628&lt;/ID&gt;&lt;UID&gt;{6008ED0B-656B-4CAB-8D72-1FA459CE6189}&lt;/UID&gt;&lt;Title&gt;PYCR1 promotes bladder cancer by affecting the Akt/Wnt/尾-catenin signaling&lt;/Title&gt;&lt;Template&gt;Journal Article&lt;/Template&gt;&lt;Star&gt;0&lt;/Star&gt;&lt;Tag&gt;0&lt;/Tag&gt;&lt;Author&gt;&amp;quot;Du S&amp;quot;; Sui, Y; Ren, W; Zhou, J; &amp;quot;Du C&amp;quot;&lt;/Author&gt;&lt;Year&gt;2021&lt;/Year&gt;&lt;Details&gt;&lt;_accession_num&gt;33689096&lt;/_accession_num&gt;&lt;_author_adr&gt;Department of Urology, Shaanxi Provincial People&amp;apos;s Hospital, Xi&amp;apos;an, 710068, China.; Department of Physical Examination, Shaanxi Provincial People&amp;apos;s Hospital, No.256  Youyi West Road, Xi&amp;apos;an, 710068, China. sui_yongjie@163.com.; Department of Urology, Shaanxi Provincial People&amp;apos;s Hospital, Xi&amp;apos;an, 710068, China.; Department of Urology, Shaanxi Provincial People&amp;apos;s Hospital, Xi&amp;apos;an, 710068, China.; Department of Urology, Shaanxi Provincial People&amp;apos;s Hospital, Xi&amp;apos;an, 710068, China.&lt;/_author_adr&gt;&lt;_date_display&gt;2021 Apr&lt;/_date_display&gt;&lt;_date&gt;2021-04-01&lt;/_date&gt;&lt;_doi&gt;10.1007/s10863-021-09887-3&lt;/_doi&gt;&lt;_isbn&gt;1573-6881 (Electronic); 0145-479X (Linking)&lt;/_isbn&gt;&lt;_issue&gt;2&lt;/_issue&gt;&lt;_journal&gt;J Bioenerg Biomembr&lt;/_journal&gt;&lt;_keywords&gt;Akt; Bladder cancer; PYCR1; Wnt; 尾-Catenin&lt;/_keywords&gt;&lt;_language&gt;eng&lt;/_language&gt;&lt;_pages&gt;247-258&lt;/_pages&gt;&lt;_tertiary_title&gt;Journal of bioenergetics and biomembranes&lt;/_tertiary_title&gt;&lt;_type_work&gt;Journal Article&lt;/_type_work&gt;&lt;_url&gt;http://www.ncbi.nlm.nih.gov/entrez/query.fcgi?cmd=Retrieve&amp;amp;db=pubmed&amp;amp;dopt=Abstract&amp;amp;list_uids=33689096&amp;amp;query_hl=1&lt;/_url&gt;&lt;_volume&gt;53&lt;/_volume&gt;&lt;_created&gt;63817993&lt;/_created&gt;&lt;_modified&gt;63817993&lt;/_modified&gt;&lt;_impact_factor&gt;   2.524&lt;/_impact_factor&gt;&lt;_collection_scope&gt;SCI;SCIE&lt;/_collection_scope&gt;&lt;/Details&gt;&lt;Extra&gt;&lt;DBUID&gt;{F96A950B-833F-4880-A151-76DA2D6A2879}&lt;/DBUID&gt;&lt;/Extra&gt;&lt;/Item&gt;&lt;/References&gt;&lt;/Group&gt;&lt;/Citation&gt;_x000a_"/>
    <w:docVar w:name="NE.Ref{A6B1CC44-2964-40EF-BDBF-277146FDD9CC}" w:val=" ADDIN NE.Ref.{A6B1CC44-2964-40EF-BDBF-277146FDD9CC}&lt;Citation&gt;&lt;Group&gt;&lt;References&gt;&lt;Item&gt;&lt;ID&gt;652&lt;/ID&gt;&lt;UID&gt;{F288ABA2-D1ED-4278-A792-29886D4BBD6C}&lt;/UID&gt;&lt;Title&gt;Unraveling the Resistance of IGF-Pathway Inhibition in Ewing Sarcoma&lt;/Title&gt;&lt;Template&gt;Journal Article&lt;/Template&gt;&lt;Star&gt;0&lt;/Star&gt;&lt;Tag&gt;0&lt;/Tag&gt;&lt;Author&gt;de Groot, S; R枚ttgering, B; Gelderblom, H; Pijl, H; Szuhai, K; Kroep, J R&lt;/Author&gt;&lt;Year&gt;2020&lt;/Year&gt;&lt;Details&gt;&lt;_accession_num&gt;33260481&lt;/_accession_num&gt;&lt;_author_adr&gt;Department of Medical Oncology, Leiden University Medical Center, P.O. Box 9600,  2300 RC Leiden, The Netherlands.; Department of Cell and Chemical Biology, Leiden University Medical Center, P.O. Box  9600, 2300 RC Leiden, The Netherlands.; Department of Medical Oncology, Leiden University Medical Center, P.O. Box 9600,  2300 RC Leiden, The Netherlands.; Department of Endocrinology, Leiden University Medical Center, P.O. Box 9600, 2300  RC Leiden, The Netherlands.; Department of Cell and Chemical Biology, Leiden University Medical Center, P.O. Box  9600, 2300 RC Leiden, The Netherlands.; Department of Medical Oncology, Leiden University Medical Center, P.O. Box 9600,  2300 RC Leiden, The Netherlands.&lt;/_author_adr&gt;&lt;_date_display&gt;2020 Nov 29&lt;/_date_display&gt;&lt;_date&gt;2020-11-29&lt;/_date&gt;&lt;_doi&gt;10.3390/cancers12123568&lt;/_doi&gt;&lt;_isbn&gt;2072-6694 (Print); 2072-6694 (Electronic); 2072-6694 (Linking)&lt;/_isbn&gt;&lt;_issue&gt;12&lt;/_issue&gt;&lt;_journal&gt;Cancers (Basel)&lt;/_journal&gt;&lt;_keywords&gt;Ewing sarcoma; GH; IGF1; IGF1R; IGF2; INSR; IRA; IRB; insulin; resistance&lt;/_keywords&gt;&lt;_language&gt;eng&lt;/_language&gt;&lt;_tertiary_title&gt;Cancers&lt;/_tertiary_title&gt;&lt;_type_work&gt;Journal Article; Review&lt;/_type_work&gt;&lt;_url&gt;http://www.ncbi.nlm.nih.gov/entrez/query.fcgi?cmd=Retrieve&amp;amp;db=pubmed&amp;amp;dopt=Abstract&amp;amp;list_uids=33260481&amp;amp;query_hl=1&lt;/_url&gt;&lt;_volume&gt;12&lt;/_volume&gt;&lt;_created&gt;63927580&lt;/_created&gt;&lt;_modified&gt;63927580&lt;/_modified&gt;&lt;/Details&gt;&lt;Extra&gt;&lt;DBUID&gt;{F96A950B-833F-4880-A151-76DA2D6A2879}&lt;/DBUID&gt;&lt;/Extra&gt;&lt;/Item&gt;&lt;/References&gt;&lt;/Group&gt;&lt;/Citation&gt;_x000a_"/>
    <w:docVar w:name="NE.Ref{A92D102F-41F8-4D48-A49B-206E62ADE4E0}" w:val=" ADDIN NE.Ref.{A92D102F-41F8-4D48-A49B-206E62ADE4E0}&lt;Citation&gt;&lt;Group&gt;&lt;References&gt;&lt;Item&gt;&lt;ID&gt;624&lt;/ID&gt;&lt;UID&gt;{5763517B-6A4A-4290-8662-B3B88618CA93}&lt;/UID&gt;&lt;Title&gt;Argininosuccinate Synthase 1 is a Metabolic Regulator of Colorectal Cancer  Pathogenicity&lt;/Title&gt;&lt;Template&gt;Journal Article&lt;/Template&gt;&lt;Star&gt;0&lt;/Star&gt;&lt;Tag&gt;0&lt;/Tag&gt;&lt;Author&gt;Bateman, L A; Ku, W M; Heslin, M J; Contreras, C M; Skibola, C F; Nomura, D K&lt;/Author&gt;&lt;Year&gt;2017&lt;/Year&gt;&lt;Details&gt;&lt;_accession_num&gt;28229591&lt;/_accession_num&gt;&lt;_author_adr&gt;Departments of Chemistry, Molecular and Cell Biology, and Nutritional Sciences and  Toxicology, University of California, Berkeley , Berkeley, California 94720, United  States.; The University of Alabama at Birmingham , Birmingham, Alabama 35233, United States.; The University of Alabama at Birmingham , Birmingham, Alabama 35233, United States.; The University of Alabama at Birmingham , Birmingham, Alabama 35233, United States.; Departments of Chemistry, Molecular and Cell Biology, and Nutritional Sciences and  Toxicology, University of California, Berkeley , Berkeley, California 94720, United  States.&lt;/_author_adr&gt;&lt;_date_display&gt;2017 Apr 21&lt;/_date_display&gt;&lt;_date&gt;2017-04-21&lt;/_date&gt;&lt;_doi&gt;10.1021/acschembio.6b01158&lt;/_doi&gt;&lt;_isbn&gt;1554-8937 (Electronic); 1554-8929 (Linking)&lt;/_isbn&gt;&lt;_issue&gt;4&lt;/_issue&gt;&lt;_journal&gt;ACS Chem Biol&lt;/_journal&gt;&lt;_language&gt;eng&lt;/_language&gt;&lt;_pages&gt;905-911&lt;/_pages&gt;&lt;_subject_headings&gt;Argininosuccinate Synthase/antagonists &amp;amp; inhibitors/*metabolism; Colorectal Neoplasms/enzymology/metabolism/*pathology; Enzyme Inhibitors/pharmacology; Humans; Metabolome; Signal Transduction&lt;/_subject_headings&gt;&lt;_tertiary_title&gt;ACS chemical biology&lt;/_tertiary_title&gt;&lt;_type_work&gt;Journal Article; Research Support, N.I.H., Extramural; Research Support, Non-U.S. Gov&amp;apos;t; Research Support, U.S. Gov&amp;apos;t, Non-P.H.S.&lt;/_type_work&gt;&lt;_url&gt;http://www.ncbi.nlm.nih.gov/entrez/query.fcgi?cmd=Retrieve&amp;amp;db=pubmed&amp;amp;dopt=Abstract&amp;amp;list_uids=28229591&amp;amp;query_hl=1&lt;/_url&gt;&lt;_volume&gt;12&lt;/_volume&gt;&lt;_created&gt;63815853&lt;/_created&gt;&lt;_modified&gt;63815853&lt;/_modified&gt;&lt;_impact_factor&gt;   4.434&lt;/_impact_factor&gt;&lt;_collection_scope&gt;SCIE&lt;/_collection_scope&gt;&lt;/Details&gt;&lt;Extra&gt;&lt;DBUID&gt;{F96A950B-833F-4880-A151-76DA2D6A2879}&lt;/DBUID&gt;&lt;/Extra&gt;&lt;/Item&gt;&lt;/References&gt;&lt;/Group&gt;&lt;Group&gt;&lt;References&gt;&lt;Item&gt;&lt;ID&gt;625&lt;/ID&gt;&lt;UID&gt;{CBE9052A-F792-45C5-9328-1064431516E5}&lt;/UID&gt;&lt;Title&gt;Increased expression of argininosuccinate synthetase protein predicts poor prognosis  in human gastric cancer&lt;/Title&gt;&lt;Template&gt;Journal Article&lt;/Template&gt;&lt;Star&gt;0&lt;/Star&gt;&lt;Tag&gt;0&lt;/Tag&gt;&lt;Author&gt;Shan, Y S; Hsu, H P; Lai, M D; Yen, M C; Luo, Y P; Chen, Y L&lt;/Author&gt;&lt;Year&gt;2015&lt;/Year&gt;&lt;Details&gt;&lt;_accession_num&gt;25333458&lt;/_accession_num&gt;&lt;_author_adr&gt;Department of Surgery, National Cheng Kung University Hospital, College of Medicine,  National Cheng Kung University, Tainan, Taiwan, R.O.C.; Department of Surgery, National Cheng Kung University Hospital, College of Medicine,  National Cheng Kung University, Tainan, Taiwan, R.O.C.; Department of Biochemistry and Molecular Biology, College of Medicine, National  Cheng Kung University, Tainan, Taiwan, R.O.C.; Department of Biochemistry and Molecular Biology, College of Medicine, National  Cheng Kung University, Tainan, Taiwan, R.O.C.; Department of Biotechnology, Chia Nan University of Pharmacy and Science, Tainan,  Taiwan, R.O.C.; Department of Senior Citizen Service Management, Chia Nan University of Pharmacy and  Science, Tainan, Taiwan, R.O.C.&lt;/_author_adr&gt;&lt;_date_display&gt;2015 Jan&lt;/_date_display&gt;&lt;_date&gt;2015-01-01&lt;/_date&gt;&lt;_doi&gt;10.3892/or.2014.3556&lt;/_doi&gt;&lt;_isbn&gt;1791-2431 (Electronic); 1021-335X (Print); 1021-335X (Linking)&lt;/_isbn&gt;&lt;_issue&gt;1&lt;/_issue&gt;&lt;_journal&gt;Oncol Rep&lt;/_journal&gt;&lt;_language&gt;eng&lt;/_language&gt;&lt;_pages&gt;49-57&lt;/_pages&gt;&lt;_subject_headings&gt;Adenocarcinoma/*enzymology/mortality/secondary; Aged; Argininosuccinate Synthase/*metabolism; Biomarkers, Tumor/metabolism; Disease-Free Survival; Female; Humans; Kaplan-Meier Estimate; Lymphatic Metastasis; Male; Middle Aged; Prognosis; Stomach Neoplasms/*enzymology/mortality/pathology&lt;/_subject_headings&gt;&lt;_tertiary_title&gt;Oncology reports&lt;/_tertiary_title&gt;&lt;_type_work&gt;Journal Article; Research Support, Non-U.S. Gov&amp;apos;t&lt;/_type_work&gt;&lt;_url&gt;http://www.ncbi.nlm.nih.gov/entrez/query.fcgi?cmd=Retrieve&amp;amp;db=pubmed&amp;amp;dopt=Abstract&amp;amp;list_uids=25333458&amp;amp;query_hl=1&lt;/_url&gt;&lt;_volume&gt;33&lt;/_volume&gt;&lt;_created&gt;63815856&lt;/_created&gt;&lt;_modified&gt;63815856&lt;/_modified&gt;&lt;_impact_factor&gt;   3.417&lt;/_impact_factor&gt;&lt;_collection_scope&gt;SCI;SCIE&lt;/_collection_scope&gt;&lt;/Details&gt;&lt;Extra&gt;&lt;DBUID&gt;{F96A950B-833F-4880-A151-76DA2D6A2879}&lt;/DBUID&gt;&lt;/Extra&gt;&lt;/Item&gt;&lt;/References&gt;&lt;/Group&gt;&lt;/Citation&gt;_x000a_"/>
    <w:docVar w:name="NE.Ref{B3E4524D-DB2B-4A31-94FC-D1B45B18C6F0}" w:val=" ADDIN NE.Ref.{B3E4524D-DB2B-4A31-94FC-D1B45B18C6F0}&lt;Citation&gt;&lt;Group&gt;&lt;References&gt;&lt;Item&gt;&lt;ID&gt;642&lt;/ID&gt;&lt;UID&gt;{38D9F966-6270-4E96-81B9-70E1C45D15F8}&lt;/UID&gt;&lt;Title&gt;Hallmarks of cancer: the next generation&lt;/Title&gt;&lt;Template&gt;Journal Article&lt;/Template&gt;&lt;Star&gt;0&lt;/Star&gt;&lt;Tag&gt;0&lt;/Tag&gt;&lt;Author&gt;Hanahan, D; Weinberg, R A&lt;/Author&gt;&lt;Year&gt;2011&lt;/Year&gt;&lt;Details&gt;&lt;_accession_num&gt;21376230&lt;/_accession_num&gt;&lt;_author_adr&gt;The Swiss Institute for Experimental Cancer Research (ISREC), School of Life  Sciences, EPFL, Lausanne CH-1015, Switzerland. dh@epfl.ch&lt;/_author_adr&gt;&lt;_date_display&gt;2011 Mar 4&lt;/_date_display&gt;&lt;_date&gt;2011-03-04&lt;/_date&gt;&lt;_doi&gt;10.1016/j.cell.2011.02.013&lt;/_doi&gt;&lt;_isbn&gt;1097-4172 (Electronic); 0092-8674 (Linking)&lt;/_isbn&gt;&lt;_issue&gt;5&lt;/_issue&gt;&lt;_journal&gt;Cell&lt;/_journal&gt;&lt;_language&gt;eng&lt;/_language&gt;&lt;_ori_publication&gt;Copyright 漏 2011 Elsevier Inc. All rights reserved.&lt;/_ori_publication&gt;&lt;_pages&gt;646-74&lt;/_pages&gt;&lt;_subject_headings&gt;Animals; Genomic Instability; Humans; Neoplasm Invasiveness; Neoplasms/metabolism/*pathology/*physiopathology; Signal Transduction; Stromal Cells/pathology&lt;/_subject_headings&gt;&lt;_tertiary_title&gt;Cell&lt;/_tertiary_title&gt;&lt;_type_work&gt;Journal Article; Research Support, N.I.H., Extramural; Review&lt;/_type_work&gt;&lt;_url&gt;http://www.ncbi.nlm.nih.gov/entrez/query.fcgi?cmd=Retrieve&amp;amp;db=pubmed&amp;amp;dopt=Abstract&amp;amp;list_uids=21376230&amp;amp;query_hl=1&lt;/_url&gt;&lt;_volume&gt;144&lt;/_volume&gt;&lt;_created&gt;63826491&lt;/_created&gt;&lt;_modified&gt;63826491&lt;/_modified&gt;&lt;_impact_factor&gt;  38.637&lt;/_impact_factor&gt;&lt;_collection_scope&gt;SCI;SCIE&lt;/_collection_scope&gt;&lt;/Details&gt;&lt;Extra&gt;&lt;DBUID&gt;{F96A950B-833F-4880-A151-76DA2D6A2879}&lt;/DBUID&gt;&lt;/Extra&gt;&lt;/Item&gt;&lt;/References&gt;&lt;/Group&gt;&lt;/Citation&gt;_x000a_"/>
    <w:docVar w:name="NE.Ref{B92F680B-488C-4E6B-8F6F-D88C64A3B995}" w:val=" ADDIN NE.Ref.{B92F680B-488C-4E6B-8F6F-D88C64A3B995}&lt;Citation&gt;&lt;Group&gt;&lt;References&gt;&lt;Item&gt;&lt;ID&gt;646&lt;/ID&gt;&lt;UID&gt;{536CB7F3-9008-4B70-AD0B-DE77A2853360}&lt;/UID&gt;&lt;Title&gt;MYC and tumor metabolism: chicken and egg&lt;/Title&gt;&lt;Template&gt;Journal Article&lt;/Template&gt;&lt;Star&gt;0&lt;/Star&gt;&lt;Tag&gt;0&lt;/Tag&gt;&lt;Author&gt;Dejure, F R; Eilers, M&lt;/Author&gt;&lt;Year&gt;2017&lt;/Year&gt;&lt;Details&gt;&lt;_accession_num&gt;29127156&lt;/_accession_num&gt;&lt;_author_adr&gt;Theodor Boveri Institute and Comprehensive Cancer Center Mainfranken, Biocenter,  University of W眉rzburg, W眉rzburg, Germany.; Theodor Boveri Institute and Comprehensive Cancer Center Mainfranken, Biocenter,  University of W眉rzburg, W眉rzburg, Germany martin.eilers@biozentrum.uni-wuerzburg.de.&lt;/_author_adr&gt;&lt;_date_display&gt;2017 Dec 1&lt;/_date_display&gt;&lt;_date&gt;2017-12-01&lt;/_date&gt;&lt;_doi&gt;10.15252/embj.201796438&lt;/_doi&gt;&lt;_isbn&gt;1460-2075 (Electronic); 0261-4189 (Print); 0261-4189 (Linking)&lt;/_isbn&gt;&lt;_issue&gt;23&lt;/_issue&gt;&lt;_journal&gt;EMBO J&lt;/_journal&gt;&lt;_keywords&gt;* MYC; * RNAPII; *cancer; *metabolic reprogramming; *oncogene&lt;/_keywords&gt;&lt;_language&gt;eng&lt;/_language&gt;&lt;_ori_publication&gt;漏 2017 The Authors.&lt;/_ori_publication&gt;&lt;_pages&gt;3409-3420&lt;/_pages&gt;&lt;_subject_headings&gt;Animals; Apoptosis; Biogenic Polyamines/biosynthesis; Forkhead Box Protein O1/metabolism; Genes, myc; Glucose/metabolism; Glutamine/metabolism; Humans; Mechanistic Target of Rapamycin Complex 1/metabolism; Metabolic Networks and Pathways; Neoplasms/genetics/*metabolism/pathology; Nucleotides/biosynthesis; Proto-Oncogene Proteins c-myc/genetics/*metabolism; Stress, Physiological&lt;/_subject_headings&gt;&lt;_tertiary_title&gt;The EMBO journal&lt;/_tertiary_title&gt;&lt;_type_work&gt;Journal Article; Research Support, Non-U.S. Gov&amp;apos;t; Review&lt;/_type_work&gt;&lt;_url&gt;http://www.ncbi.nlm.nih.gov/entrez/query.fcgi?cmd=Retrieve&amp;amp;db=pubmed&amp;amp;dopt=Abstract&amp;amp;list_uids=29127156&amp;amp;query_hl=1&lt;/_url&gt;&lt;_volume&gt;36&lt;/_volume&gt;&lt;_created&gt;63826571&lt;/_created&gt;&lt;_modified&gt;63826571&lt;/_modified&gt;&lt;_impact_factor&gt;   9.889&lt;/_impact_factor&gt;&lt;_collection_scope&gt;SCI;SCIE&lt;/_collection_scope&gt;&lt;/Details&gt;&lt;Extra&gt;&lt;DBUID&gt;{F96A950B-833F-4880-A151-76DA2D6A2879}&lt;/DBUID&gt;&lt;/Extra&gt;&lt;/Item&gt;&lt;/References&gt;&lt;/Group&gt;&lt;/Citation&gt;_x000a_"/>
    <w:docVar w:name="NE.Ref{BFA38811-E357-451C-8D0C-BF8F2D264A6F}" w:val=" ADDIN NE.Ref.{BFA38811-E357-451C-8D0C-BF8F2D264A6F}&lt;Citation&gt;&lt;Group&gt;&lt;References&gt;&lt;Item&gt;&lt;ID&gt;653&lt;/ID&gt;&lt;UID&gt;{CB63C16D-8C50-4634-AC58-1E15E06B6CFC}&lt;/UID&gt;&lt;Title&gt;Targeting the Proline-Glutamine-Asparagine-Arginine Metabolic Axis in Amino Acid  Starvation Cancer Therapy&lt;/Title&gt;&lt;Template&gt;Journal Article&lt;/Template&gt;&lt;Star&gt;0&lt;/Star&gt;&lt;Tag&gt;0&lt;/Tag&gt;&lt;Author&gt;Kuo, M T; Chen, HHW; Feun, L G; Savaraj, N&lt;/Author&gt;&lt;Year&gt;2021&lt;/Year&gt;&lt;Details&gt;&lt;_accession_num&gt;33477430&lt;/_accession_num&gt;&lt;_author_adr&gt;Department of Translational Molecular Pathology, The University of Texas MD Anderson  Cancer Center, Houston, TX 77030, USA.; Department of Radiation Oncology, National Cheng Kung University Hospital, College  of Medicine, National Cheng Kung University, Tainan 70428, Taiwan.; Department of Medicine, Sylvester Comprehensive Cancer Center, Miller School of  Medicine, University of Miami, Miami, FL 33136, USA.; Division of Hematology and Oncology, Miami Veterans Affairs Heaithcare System,  Miami, FL 33136, USA.&lt;/_author_adr&gt;&lt;_date_display&gt;2021 Jan 18&lt;/_date_display&gt;&lt;_date&gt;2021-01-18&lt;/_date&gt;&lt;_doi&gt;10.3390/ph14010072&lt;/_doi&gt;&lt;_isbn&gt;1424-8247 (Print); 1424-8247 (Electronic); 1424-8247 (Linking)&lt;/_isbn&gt;&lt;_issue&gt;1&lt;/_issue&gt;&lt;_journal&gt;Pharmaceuticals (Basel)&lt;/_journal&gt;&lt;_keywords&gt;amino acid starvation therapy; arginine; asparagine; drug resistance; glutamine; proline&lt;/_keywords&gt;&lt;_language&gt;eng&lt;/_language&gt;&lt;_tertiary_title&gt;Pharmaceuticals (Basel, Switzerland)&lt;/_tertiary_title&gt;&lt;_type_work&gt;Journal Article; Review&lt;/_type_work&gt;&lt;_url&gt;http://www.ncbi.nlm.nih.gov/entrez/query.fcgi?cmd=Retrieve&amp;amp;db=pubmed&amp;amp;dopt=Abstract&amp;amp;list_uids=33477430&amp;amp;query_hl=1&lt;/_url&gt;&lt;_volume&gt;14&lt;/_volume&gt;&lt;_created&gt;63927591&lt;/_created&gt;&lt;_modified&gt;63927591&lt;/_modified&gt;&lt;/Details&gt;&lt;Extra&gt;&lt;DBUID&gt;{F96A950B-833F-4880-A151-76DA2D6A2879}&lt;/DBUID&gt;&lt;/Extra&gt;&lt;/Item&gt;&lt;/References&gt;&lt;/Group&gt;&lt;/Citation&gt;_x000a_"/>
    <w:docVar w:name="NE.Ref{C07636AD-AB63-4CA5-9340-1F4AC6ECE294}" w:val=" ADDIN NE.Ref.{C07636AD-AB63-4CA5-9340-1F4AC6ECE294}&lt;Citation&gt;&lt;Group&gt;&lt;References&gt;&lt;Item&gt;&lt;ID&gt;644&lt;/ID&gt;&lt;UID&gt;{6ED12A34-8AAC-4B54-979C-E88A99A7268F}&lt;/UID&gt;&lt;Title&gt;Functional metabolomics: from biomarker discovery to metabolome reprogramming&lt;/Title&gt;&lt;Template&gt;Journal Article&lt;/Template&gt;&lt;Star&gt;0&lt;/Star&gt;&lt;Tag&gt;0&lt;/Tag&gt;&lt;Author&gt;Peng, B; Li, H; Peng, X X&lt;/Author&gt;&lt;Year&gt;2015&lt;/Year&gt;&lt;Details&gt;&lt;_accession_num&gt;26135925&lt;/_accession_num&gt;&lt;_author_adr&gt;Molecular Foundry, Lawrence Berkeley National Laboratory, Berkeley, CA, 94720, USA.&lt;/_author_adr&gt;&lt;_date_display&gt;2015 Sep&lt;/_date_display&gt;&lt;_date&gt;2015-09-01&lt;/_date&gt;&lt;_doi&gt;10.1007/s13238-015-0185-x&lt;/_doi&gt;&lt;_isbn&gt;1674-8018 (Electronic); 1674-800X (Print); 1674-800X (Linking)&lt;/_isbn&gt;&lt;_issue&gt;9&lt;/_issue&gt;&lt;_journal&gt;Protein Cell&lt;/_journal&gt;&lt;_language&gt;eng&lt;/_language&gt;&lt;_pages&gt;628-37&lt;/_pages&gt;&lt;_subject_headings&gt;Animals; Biomarkers/metabolism; Cytological Techniques; Humans; Metabolomics/*methods&lt;/_subject_headings&gt;&lt;_tertiary_title&gt;Protein &amp;amp; cell&lt;/_tertiary_title&gt;&lt;_type_work&gt;Journal Article; Research Support, Non-U.S. Gov&amp;apos;t; Review&lt;/_type_work&gt;&lt;_url&gt;http://www.ncbi.nlm.nih.gov/entrez/query.fcgi?cmd=Retrieve&amp;amp;db=pubmed&amp;amp;dopt=Abstract&amp;amp;list_uids=26135925&amp;amp;query_hl=1&lt;/_url&gt;&lt;_volume&gt;6&lt;/_volume&gt;&lt;_created&gt;63826517&lt;/_created&gt;&lt;_modified&gt;63826517&lt;/_modified&gt;&lt;_impact_factor&gt;  10.164&lt;/_impact_factor&gt;&lt;_collection_scope&gt;SCIE;CSCD&lt;/_collection_scope&gt;&lt;/Details&gt;&lt;Extra&gt;&lt;DBUID&gt;{F96A950B-833F-4880-A151-76DA2D6A2879}&lt;/DBUID&gt;&lt;/Extra&gt;&lt;/Item&gt;&lt;/References&gt;&lt;/Group&gt;&lt;/Citation&gt;_x000a_"/>
    <w:docVar w:name="NE.Ref{C55FC336-F53A-441F-975A-735EC2FBA6F3}" w:val=" ADDIN NE.Ref.{C55FC336-F53A-441F-975A-735EC2FBA6F3}&lt;Citation&gt;&lt;Group&gt;&lt;References&gt;&lt;Item&gt;&lt;ID&gt;651&lt;/ID&gt;&lt;UID&gt;{CAAED497-8F33-47DA-874E-40A7ACA76CAB}&lt;/UID&gt;&lt;Title&gt;Advances in the understanding of MYC-induced lymphomagenesis&lt;/Title&gt;&lt;Template&gt;Journal Article&lt;/Template&gt;&lt;Star&gt;0&lt;/Star&gt;&lt;Tag&gt;0&lt;/Tag&gt;&lt;Author&gt;Klapproth, K; Wirth, T&lt;/Author&gt;&lt;Year&gt;2010&lt;/Year&gt;&lt;Details&gt;&lt;_accession_num&gt;20346013&lt;/_accession_num&gt;&lt;_author_adr&gt;Institute of Physiological Chemistry, University of Ulm, Ulm, Germany.&lt;/_author_adr&gt;&lt;_date_display&gt;2010 May&lt;/_date_display&gt;&lt;_date&gt;2010-05-01&lt;/_date&gt;&lt;_doi&gt;10.1111/j.1365-2141.2010.08159.x&lt;/_doi&gt;&lt;_isbn&gt;1365-2141 (Electronic); 0007-1048 (Linking)&lt;/_isbn&gt;&lt;_issue&gt;4&lt;/_issue&gt;&lt;_journal&gt;Br J Haematol&lt;/_journal&gt;&lt;_language&gt;eng&lt;/_language&gt;&lt;_pages&gt;484-97&lt;/_pages&gt;&lt;_subject_headings&gt;Apoptosis/genetics; Burkitt Lymphoma/genetics/virology; Cell Transformation, Neoplastic/genetics; Epstein-Barr Virus Infections/complications; Gene Expression Regulation; Genes, Neoplasm; Humans; Lymphoma/*genetics; MicroRNAs/genetics; Proto-Oncogene Proteins c-myc/*genetics; Translocation, Genetic&lt;/_subject_headings&gt;&lt;_tertiary_title&gt;British journal of haematology&lt;/_tertiary_title&gt;&lt;_type_work&gt;Journal Article; Review&lt;/_type_work&gt;&lt;_url&gt;http://www.ncbi.nlm.nih.gov/entrez/query.fcgi?cmd=Retrieve&amp;amp;db=pubmed&amp;amp;dopt=Abstract&amp;amp;list_uids=20346013&amp;amp;query_hl=1&lt;/_url&gt;&lt;_volume&gt;149&lt;/_volume&gt;&lt;_created&gt;63927494&lt;/_created&gt;&lt;_modified&gt;63927494&lt;/_modified&gt;&lt;_impact_factor&gt;   5.518&lt;/_impact_factor&gt;&lt;/Details&gt;&lt;Extra&gt;&lt;DBUID&gt;{F96A950B-833F-4880-A151-76DA2D6A2879}&lt;/DBUID&gt;&lt;/Extra&gt;&lt;/Item&gt;&lt;/References&gt;&lt;/Group&gt;&lt;/Citation&gt;_x000a_"/>
    <w:docVar w:name="NE.Ref{C708BDB9-13AC-4670-874A-AE53432E8230}" w:val=" ADDIN NE.Ref.{C708BDB9-13AC-4670-874A-AE53432E8230}&lt;Citation&gt;&lt;Group&gt;&lt;References&gt;&lt;Item&gt;&lt;ID&gt;655&lt;/ID&gt;&lt;UID&gt;{DA81E3F9-5D69-491E-8675-E352EEC27189}&lt;/UID&gt;&lt;Title&gt;Reprogramming of mitochondrial proline metabolism promotes liver tumorigenesis&lt;/Title&gt;&lt;Template&gt;Journal Article&lt;/Template&gt;&lt;Star&gt;0&lt;/Star&gt;&lt;Tag&gt;0&lt;/Tag&gt;&lt;Author&gt;Ding, Z; Ericksen, R E; Lee, Q Y; Han, W&lt;/Author&gt;&lt;Year&gt;2021&lt;/Year&gt;&lt;Details&gt;&lt;_accession_num&gt;33646427&lt;/_accession_num&gt;&lt;_author_adr&gt;Institute of Molecular and Cell Biology, Agency for Science, Technology and Research  (A*STAR), #02-02 Helios, 11 Biopolis Way, Singapore, 138667, Singapore.; Institute of Molecular and Cell Biology, Agency for Science, Technology and Research  (A*STAR), #02-02 Helios, 11 Biopolis Way, Singapore, 138667, Singapore.; Institute of Molecular and Cell Biology, Agency for Science, Technology and Research  (A*STAR), #02-02 Helios, 11 Biopolis Way, Singapore, 138667, Singapore.; Institute of Molecular and Cell Biology, Agency for Science, Technology and Research  (A*STAR), #02-02 Helios, 11 Biopolis Way, Singapore, 138667, Singapore.  wh10@cornell.edu.&lt;/_author_adr&gt;&lt;_date_display&gt;2021 Feb 28&lt;/_date_display&gt;&lt;_date&gt;2021-02-28&lt;/_date&gt;&lt;_doi&gt;10.1007/s00726-021-02961-5&lt;/_doi&gt;&lt;_isbn&gt;1438-2199 (Electronic); 0939-4451 (Linking)&lt;/_isbn&gt;&lt;_journal&gt;Amino Acids&lt;/_journal&gt;&lt;_keywords&gt;Cancer; Enzyme; Hepatocellular carcinoma; Metabolism; Proline&lt;/_keywords&gt;&lt;_language&gt;eng&lt;/_language&gt;&lt;_tertiary_title&gt;Amino acids&lt;/_tertiary_title&gt;&lt;_type_work&gt;Journal Article; Review&lt;/_type_work&gt;&lt;_url&gt;http://www.ncbi.nlm.nih.gov/entrez/query.fcgi?cmd=Retrieve&amp;amp;db=pubmed&amp;amp;dopt=Abstract&amp;amp;list_uids=33646427&amp;amp;query_hl=1&lt;/_url&gt;&lt;_created&gt;63927615&lt;/_created&gt;&lt;_modified&gt;63927615&lt;/_modified&gt;&lt;_impact_factor&gt;   3.520&lt;/_impact_factor&gt;&lt;_collection_scope&gt;SCI;SCIE&lt;/_collection_scope&gt;&lt;/Details&gt;&lt;Extra&gt;&lt;DBUID&gt;{F96A950B-833F-4880-A151-76DA2D6A2879}&lt;/DBUID&gt;&lt;/Extra&gt;&lt;/Item&gt;&lt;/References&gt;&lt;/Group&gt;&lt;/Citation&gt;_x000a_"/>
    <w:docVar w:name="NE.Ref{CAD69B95-B83C-46B4-A967-27981DD2CF51}" w:val=" ADDIN NE.Ref.{CAD69B95-B83C-46B4-A967-27981DD2CF51}&lt;Citation&gt;&lt;Group&gt;&lt;References&gt;&lt;Item&gt;&lt;ID&gt;631&lt;/ID&gt;&lt;UID&gt;{EBCAB59B-2C67-4A1D-8C1B-31F2D5D4D2EC}&lt;/UID&gt;&lt;Title&gt;Reprogramming of mitochondrial proline metabolism promotes liver tumorigenesis&lt;/Title&gt;&lt;Template&gt;Journal Article&lt;/Template&gt;&lt;Star&gt;0&lt;/Star&gt;&lt;Tag&gt;0&lt;/Tag&gt;&lt;Author&gt;Ding, Z; Ericksen, R E; Lee, Q Y; Han, W&lt;/Author&gt;&lt;Year&gt;2021&lt;/Year&gt;&lt;Details&gt;&lt;_accession_num&gt;33646427&lt;/_accession_num&gt;&lt;_author_adr&gt;Institute of Molecular and Cell Biology, Agency for Science, Technology and Research  (A*STAR), #02-02 Helios, 11 Biopolis Way, Singapore, 138667, Singapore.; Institute of Molecular and Cell Biology, Agency for Science, Technology and Research  (A*STAR), #02-02 Helios, 11 Biopolis Way, Singapore, 138667, Singapore.; Institute of Molecular and Cell Biology, Agency for Science, Technology and Research  (A*STAR), #02-02 Helios, 11 Biopolis Way, Singapore, 138667, Singapore.; Institute of Molecular and Cell Biology, Agency for Science, Technology and Research  (A*STAR), #02-02 Helios, 11 Biopolis Way, Singapore, 138667, Singapore.  wh10@cornell.edu.&lt;/_author_adr&gt;&lt;_date_display&gt;2021 Feb 28&lt;/_date_display&gt;&lt;_date&gt;2021-02-28&lt;/_date&gt;&lt;_doi&gt;10.1007/s00726-021-02961-5&lt;/_doi&gt;&lt;_isbn&gt;1438-2199 (Electronic); 0939-4451 (Linking)&lt;/_isbn&gt;&lt;_journal&gt;Amino Acids&lt;/_journal&gt;&lt;_keywords&gt;Cancer; Enzyme; Hepatocellular carcinoma; Metabolism; Proline&lt;/_keywords&gt;&lt;_language&gt;eng&lt;/_language&gt;&lt;_tertiary_title&gt;Amino acids&lt;/_tertiary_title&gt;&lt;_type_work&gt;Journal Article; Review&lt;/_type_work&gt;&lt;_url&gt;http://www.ncbi.nlm.nih.gov/entrez/query.fcgi?cmd=Retrieve&amp;amp;db=pubmed&amp;amp;dopt=Abstract&amp;amp;list_uids=33646427&amp;amp;query_hl=1&lt;/_url&gt;&lt;_created&gt;63818027&lt;/_created&gt;&lt;_modified&gt;63818027&lt;/_modified&gt;&lt;_impact_factor&gt;   3.063&lt;/_impact_factor&gt;&lt;_collection_scope&gt;SCI;SCIE&lt;/_collection_scope&gt;&lt;/Details&gt;&lt;Extra&gt;&lt;DBUID&gt;{F96A950B-833F-4880-A151-76DA2D6A2879}&lt;/DBUID&gt;&lt;/Extra&gt;&lt;/Item&gt;&lt;/References&gt;&lt;/Group&gt;&lt;/Citation&gt;_x000a_"/>
    <w:docVar w:name="NE.Ref{DB109CC8-92BD-4E67-B9D2-5A11A8E21630}" w:val=" ADDIN NE.Ref.{DB109CC8-92BD-4E67-B9D2-5A11A8E21630}&lt;Citation&gt;&lt;Group&gt;&lt;References&gt;&lt;Item&gt;&lt;ID&gt;650&lt;/ID&gt;&lt;UID&gt;{AE00C5BE-3AE5-4391-A204-13D77800A6C0}&lt;/UID&gt;&lt;Title&gt;Targeting the Proline-Glutamine-Asparagine-Arginine Metabolic Axis in Amino Acid  Starvation Cancer Therapy&lt;/Title&gt;&lt;Template&gt;Journal Article&lt;/Template&gt;&lt;Star&gt;0&lt;/Star&gt;&lt;Tag&gt;0&lt;/Tag&gt;&lt;Author&gt;Kuo, M T; Chen, HHW; Feun, L G; Savaraj, N&lt;/Author&gt;&lt;Year&gt;2021&lt;/Year&gt;&lt;Details&gt;&lt;_accession_num&gt;33477430&lt;/_accession_num&gt;&lt;_author_adr&gt;Department of Translational Molecular Pathology, The University of Texas MD Anderson  Cancer Center, Houston, TX 77030, USA.; Department of Radiation Oncology, National Cheng Kung University Hospital, College  of Medicine, National Cheng Kung University, Tainan 70428, Taiwan.; Department of Medicine, Sylvester Comprehensive Cancer Center, Miller School of  Medicine, University of Miami, Miami, FL 33136, USA.; Division of Hematology and Oncology, Miami Veterans Affairs Heaithcare System,  Miami, FL 33136, USA.&lt;/_author_adr&gt;&lt;_date_display&gt;2021 Jan 18&lt;/_date_display&gt;&lt;_date&gt;2021-01-18&lt;/_date&gt;&lt;_doi&gt;10.3390/ph14010072&lt;/_doi&gt;&lt;_isbn&gt;1424-8247 (Print); 1424-8247 (Electronic); 1424-8247 (Linking)&lt;/_isbn&gt;&lt;_issue&gt;1&lt;/_issue&gt;&lt;_journal&gt;Pharmaceuticals (Basel)&lt;/_journal&gt;&lt;_keywords&gt;amino acid starvation therapy; arginine; asparagine; drug resistance; glutamine; proline&lt;/_keywords&gt;&lt;_language&gt;eng&lt;/_language&gt;&lt;_tertiary_title&gt;Pharmaceuticals (Basel, Switzerland)&lt;/_tertiary_title&gt;&lt;_type_work&gt;Journal Article; Review&lt;/_type_work&gt;&lt;_url&gt;http://www.ncbi.nlm.nih.gov/entrez/query.fcgi?cmd=Retrieve&amp;amp;db=pubmed&amp;amp;dopt=Abstract&amp;amp;list_uids=33477430&amp;amp;query_hl=1&lt;/_url&gt;&lt;_volume&gt;14&lt;/_volume&gt;&lt;_created&gt;63927492&lt;/_created&gt;&lt;_modified&gt;63927492&lt;/_modified&gt;&lt;/Details&gt;&lt;Extra&gt;&lt;DBUID&gt;{F96A950B-833F-4880-A151-76DA2D6A2879}&lt;/DBUID&gt;&lt;/Extra&gt;&lt;/Item&gt;&lt;/References&gt;&lt;/Group&gt;&lt;/Citation&gt;_x000a_"/>
    <w:docVar w:name="NE.Ref{DF7F305C-308F-4B8D-BEBC-75C7E25BB27E}" w:val=" ADDIN NE.Ref.{DF7F305C-308F-4B8D-BEBC-75C7E25BB27E}&lt;Citation&gt;&lt;Group&gt;&lt;References&gt;&lt;Item&gt;&lt;ID&gt;632&lt;/ID&gt;&lt;UID&gt;{659148B3-AC57-4CCE-BB18-80867C8BB17A}&lt;/UID&gt;&lt;Title&gt;Enhanced expression of asparagine synthetase under glucose-deprived conditions  promotes esophageal squamous cell carcinoma development&lt;/Title&gt;&lt;Template&gt;Journal Article&lt;/Template&gt;&lt;Star&gt;0&lt;/Star&gt;&lt;Tag&gt;0&lt;/Tag&gt;&lt;Author&gt;Fang, K; Chu, Y; Zhao, Z; Li, Q; Li, H; Chen, T; Xu, M&lt;/Author&gt;&lt;Year&gt;2020&lt;/Year&gt;&lt;Details&gt;&lt;_accession_num&gt;32174781&lt;/_accession_num&gt;&lt;_author_adr&gt;Endoscopy Center, Shanghai East Hospital, Tongji University School of Medicine,  Shanghai, China.; Endoscopy Center, Shanghai East Hospital, Tongji University School of Medicine,  Shanghai, China.; Endoscopy Center, Shanghai East Hospital, Tongji University School of Medicine,  Shanghai, China.; Endoscopy Center, Shanghai East Hospital, Tongji University School of Medicine,  Shanghai, China.; Endoscopy Center, Shanghai East Hospital, Tongji University School of Medicine,  Shanghai, China.; Endoscopy Center, Shanghai East Hospital, Tongji University School of Medicine,  Shanghai, China.; Endoscopy Center, Shanghai East Hospital, Tongji University School of Medicine,  Shanghai, China.&lt;/_author_adr&gt;&lt;_date_display&gt;2020&lt;/_date_display&gt;&lt;_date&gt;2020-01-20&lt;/_date&gt;&lt;_doi&gt;10.7150/ijms.39557&lt;/_doi&gt;&lt;_isbn&gt;1449-1907 (Electronic); 1449-1907 (Linking)&lt;/_isbn&gt;&lt;_issue&gt;4&lt;/_issue&gt;&lt;_journal&gt;Int J Med Sci&lt;/_journal&gt;&lt;_keywords&gt;asparagine synthetase; cancer development; esophageal squamous cell carcinoma; glucose-deprivation&lt;/_keywords&gt;&lt;_language&gt;eng&lt;/_language&gt;&lt;_ori_publication&gt;漏 The author(s).&lt;/_ori_publication&gt;&lt;_pages&gt;510-516&lt;/_pages&gt;&lt;_subject_headings&gt;Apoptosis/genetics/physiology; Aspartate-Ammonia Ligase/genetics/*metabolism; Cell Line, Tumor; Cell Proliferation/genetics/physiology; Esophageal Neoplasms/genetics/*metabolism/pathology; Esophageal Squamous Cell Carcinoma/genetics/metabolism/pathology; Glucose/*deficiency; Humans; Immunohistochemistry&lt;/_subject_headings&gt;&lt;_tertiary_title&gt;International journal of medical sciences&lt;/_tertiary_title&gt;&lt;_type_work&gt;Journal Article&lt;/_type_work&gt;&lt;_url&gt;http://www.ncbi.nlm.nih.gov/entrez/query.fcgi?cmd=Retrieve&amp;amp;db=pubmed&amp;amp;dopt=Abstract&amp;amp;list_uids=32174781&amp;amp;query_hl=1&lt;/_url&gt;&lt;_volume&gt;17&lt;/_volume&gt;&lt;_created&gt;63818070&lt;/_created&gt;&lt;_modified&gt;63818070&lt;/_modified&gt;&lt;_impact_factor&gt;   2.523&lt;/_impact_factor&gt;&lt;_collection_scope&gt;SCIE&lt;/_collection_scope&gt;&lt;/Details&gt;&lt;Extra&gt;&lt;DBUID&gt;{F96A950B-833F-4880-A151-76DA2D6A2879}&lt;/DBUID&gt;&lt;/Extra&gt;&lt;/Item&gt;&lt;/References&gt;&lt;/Group&gt;&lt;/Citation&gt;_x000a_"/>
    <w:docVar w:name="NE.Ref{E08F496E-58C7-47C0-8310-C479DBF13119}" w:val=" ADDIN NE.Ref.{E08F496E-58C7-47C0-8310-C479DBF13119}&lt;Citation&gt;&lt;Group&gt;&lt;References&gt;&lt;Item&gt;&lt;ID&gt;637&lt;/ID&gt;&lt;UID&gt;{A9EF1166-C1F6-4DE8-AEFD-868A5A33219E}&lt;/UID&gt;&lt;Title&gt;The transcriptional coactivator AF9 simultaneously sustains hypoxia tolerance and  metabolic advantages in liver cancer&lt;/Title&gt;&lt;Template&gt;Journal Article&lt;/Template&gt;&lt;Star&gt;0&lt;/Star&gt;&lt;Tag&gt;0&lt;/Tag&gt;&lt;Author&gt;Yu, H; He, J; Liu, W; Feng, S; Gao, L; Xu, Y; Zhang, Y; Hou, X; Zhou, Y; Yang, L; Wang, X&lt;/Author&gt;&lt;Year&gt;2021&lt;/Year&gt;&lt;Details&gt;&lt;_accession_num&gt;33928666&lt;/_accession_num&gt;&lt;_author_adr&gt;Precise Genome Engineering Center, School of Life Sciences, Guangzhou University,  Guangzhou, 510006, China.; CAS Key Laboratory of Tissue Microenvironment and Tumor, Institute of Nutrition and  Health Sciences, Chinese Academy of Sciences, University of Chinese Academy of  Sciences, Shanghai, 200031, China.; Department of General Surgery, Second Xiangya Hospital, Central South University,  Changsha, 410011, Hunan, P.R. China.; Guangdong Provincial Key Laboratory of Liver Disease Research, The Third Affiliated  Hospital of Sun Yat-sen University, Guangzhou, Guangdong, 510630, China.; CAS Key Laboratory of Tissue Microenvironment and Tumor, Institute of Nutrition and  Health Sciences, Chinese Academy of Sciences, University of Chinese Academy of  Sciences, Shanghai, 200031, China.; CAS Key Laboratory of Tissue Microenvironment and Tumor, Institute of Nutrition and  Health Sciences, Chinese Academy of Sciences, University of Chinese Academy of  Sciences, Shanghai, 200031, China.; CAS Key Laboratory of Tissue Microenvironment and Tumor, Institute of Nutrition and  Health Sciences, Chinese Academy of Sciences, University of Chinese Academy of  Sciences, Shanghai, 200031, China.; Department of General Surgery, Second Xiangya Hospital, Central South University,  Changsha, 410011, Hunan, P.R. China.; Department of General Surgery, Second Xiangya Hospital, Central South University,  Changsha, 410011, Hunan, P.R. China.; Department of General Surgery, Second Xiangya Hospital, Central South University,  Changsha, 410011, Hunan, P.R. China.; Department of General Surgery, Second Xiangya Hospital, Central South University,  Changsha, 410011, Hunan, P.R. China.; Precise Genome Engineering Center, School of Life Sciences, Guangzhou University,  Guangzhou, 510006, China.; CAS Key Laboratory of Tissue Microenvironment and Tumor, Institute of Nutrition and  Health Sciences, Chinese Academy of Sciences, University of Chinese Academy of  Sciences, Shanghai, 200031, China.&lt;/_author_adr&gt;&lt;_date_display&gt;2021 Apr 30&lt;/_date_display&gt;&lt;_date&gt;2021-04-30&lt;/_date&gt;&lt;_doi&gt;10.1002/hep.31870&lt;/_doi&gt;&lt;_isbn&gt;1527-3350 (Electronic); 0270-9139 (Linking)&lt;/_isbn&gt;&lt;_journal&gt;Hepatology&lt;/_journal&gt;&lt;_keywords&gt;AF9; HIF1伪; PFKP; acetylation; cMyc&lt;/_keywords&gt;&lt;_language&gt;eng&lt;/_language&gt;&lt;_ori_publication&gt;This article is protected by copyright. All rights reserved.&lt;/_ori_publication&gt;&lt;_tertiary_title&gt;Hepatology (Baltimore, Md.)&lt;/_tertiary_title&gt;&lt;_type_work&gt;Journal Article&lt;/_type_work&gt;&lt;_url&gt;http://www.ncbi.nlm.nih.gov/entrez/query.fcgi?cmd=Retrieve&amp;amp;db=pubmed&amp;amp;dopt=Abstract&amp;amp;list_uids=33928666&amp;amp;query_hl=1&lt;/_url&gt;&lt;_created&gt;63818549&lt;/_created&gt;&lt;_modified&gt;63818549&lt;/_modified&gt;&lt;_impact_factor&gt;  14.679&lt;/_impact_factor&gt;&lt;_collection_scope&gt;SCI;SCIE&lt;/_collection_scope&gt;&lt;/Details&gt;&lt;Extra&gt;&lt;DBUID&gt;{F96A950B-833F-4880-A151-76DA2D6A2879}&lt;/DBUID&gt;&lt;/Extra&gt;&lt;/Item&gt;&lt;/References&gt;&lt;/Group&gt;&lt;/Citation&gt;_x000a_"/>
    <w:docVar w:name="NE.Ref{EC65695B-A371-446C-9F64-410A25440784}" w:val=" ADDIN NE.Ref.{EC65695B-A371-446C-9F64-410A25440784}&lt;Citation&gt;&lt;Group&gt;&lt;References&gt;&lt;Item&gt;&lt;ID&gt;631&lt;/ID&gt;&lt;UID&gt;{EBCAB59B-2C67-4A1D-8C1B-31F2D5D4D2EC}&lt;/UID&gt;&lt;Title&gt;Reprogramming of mitochondrial proline metabolism promotes liver tumorigenesis&lt;/Title&gt;&lt;Template&gt;Journal Article&lt;/Template&gt;&lt;Star&gt;0&lt;/Star&gt;&lt;Tag&gt;0&lt;/Tag&gt;&lt;Author&gt;Ding, Z; Ericksen, R E; Lee, Q Y; Han, W&lt;/Author&gt;&lt;Year&gt;2021&lt;/Year&gt;&lt;Details&gt;&lt;_accession_num&gt;33646427&lt;/_accession_num&gt;&lt;_author_adr&gt;Institute of Molecular and Cell Biology, Agency for Science, Technology and Research  (A*STAR), #02-02 Helios, 11 Biopolis Way, Singapore, 138667, Singapore.; Institute of Molecular and Cell Biology, Agency for Science, Technology and Research  (A*STAR), #02-02 Helios, 11 Biopolis Way, Singapore, 138667, Singapore.; Institute of Molecular and Cell Biology, Agency for Science, Technology and Research  (A*STAR), #02-02 Helios, 11 Biopolis Way, Singapore, 138667, Singapore.; Institute of Molecular and Cell Biology, Agency for Science, Technology and Research  (A*STAR), #02-02 Helios, 11 Biopolis Way, Singapore, 138667, Singapore.  wh10@cornell.edu.&lt;/_author_adr&gt;&lt;_date_display&gt;2021 Feb 28&lt;/_date_display&gt;&lt;_date&gt;2021-02-28&lt;/_date&gt;&lt;_doi&gt;10.1007/s00726-021-02961-5&lt;/_doi&gt;&lt;_isbn&gt;1438-2199 (Electronic); 0939-4451 (Linking)&lt;/_isbn&gt;&lt;_journal&gt;Amino Acids&lt;/_journal&gt;&lt;_keywords&gt;Cancer; Enzyme; Hepatocellular carcinoma; Metabolism; Proline&lt;/_keywords&gt;&lt;_language&gt;eng&lt;/_language&gt;&lt;_tertiary_title&gt;Amino acids&lt;/_tertiary_title&gt;&lt;_type_work&gt;Journal Article; Review&lt;/_type_work&gt;&lt;_url&gt;http://www.ncbi.nlm.nih.gov/entrez/query.fcgi?cmd=Retrieve&amp;amp;db=pubmed&amp;amp;dopt=Abstract&amp;amp;list_uids=33646427&amp;amp;query_hl=1&lt;/_url&gt;&lt;_created&gt;63818027&lt;/_created&gt;&lt;_modified&gt;63818027&lt;/_modified&gt;&lt;_impact_factor&gt;   3.063&lt;/_impact_factor&gt;&lt;_collection_scope&gt;SCI;SCIE&lt;/_collection_scope&gt;&lt;/Details&gt;&lt;Extra&gt;&lt;DBUID&gt;{F96A950B-833F-4880-A151-76DA2D6A2879}&lt;/DBUID&gt;&lt;/Extra&gt;&lt;/Item&gt;&lt;/References&gt;&lt;/Group&gt;&lt;/Citation&gt;_x000a_"/>
    <w:docVar w:name="NE.Ref{F8B97DDC-02DA-431B-A7E1-1E4A58DDE8CB}" w:val=" ADDIN NE.Ref.{F8B97DDC-02DA-431B-A7E1-1E4A58DDE8CB}&lt;Citation&gt;&lt;Group&gt;&lt;References&gt;&lt;Item&gt;&lt;ID&gt;654&lt;/ID&gt;&lt;UID&gt;{2460799E-66A1-4E87-9859-D5911BAB0F19}&lt;/UID&gt;&lt;Title&gt;Deficiency in expression and epigenetic DNA Methylation of ASS1 gene in  nasopharyngeal carcinoma: negative prognostic impact and therapeutic relevance&lt;/Title&gt;&lt;Template&gt;Journal Article&lt;/Template&gt;&lt;Star&gt;0&lt;/Star&gt;&lt;Tag&gt;0&lt;/Tag&gt;&lt;Author&gt;Lan, J; Tai, H C; Lee, S W; Chen, T J; Huang, H Y; Li, C F&lt;/Author&gt;&lt;Year&gt;2014&lt;/Year&gt;&lt;Details&gt;&lt;_accession_num&gt;23897555&lt;/_accession_num&gt;&lt;_author_adr&gt;Departments of Pathology, Kaohsiung Chang Gung Memorial Hospital and Chang Gung  University College of Medicine, Kaohsiung, Taiwan.&lt;/_author_adr&gt;&lt;_date_display&gt;2014 Jan&lt;/_date_display&gt;&lt;_date&gt;2014-01-01&lt;/_date&gt;&lt;_doi&gt;10.1007/s13277-013-1020-8&lt;/_doi&gt;&lt;_isbn&gt;1423-0380 (Electronic); 1010-4283 (Linking)&lt;/_isbn&gt;&lt;_issue&gt;1&lt;/_issue&gt;&lt;_journal&gt;Tumour Biol&lt;/_journal&gt;&lt;_language&gt;eng&lt;/_language&gt;&lt;_pages&gt;161-9&lt;/_pages&gt;&lt;_subject_headings&gt;Adult; Aged; Amino Acids/biosynthesis; Argininosuccinate Synthase/*genetics/metabolism; Biosynthetic Pathways; Carcinoma; Cluster Analysis; *DNA Methylation; *Epigenesis, Genetic; Female; Follow-Up Studies; Gene Expression Profiling; Gene Expression Regulation, Neoplastic; Humans; Immunohistochemistry; Male; Middle Aged; Nasopharyngeal Carcinoma; Nasopharyngeal Neoplasms/*genetics/metabolism/mortality/pathology; Neoplasm Staging; Prognosis; Treatment Outcome&lt;/_subject_headings&gt;&lt;_tertiary_title&gt;Tumour biology : the journal of the International Society for Oncodevelopmental _x000d__x000a_      Biology and Medicine&lt;/_tertiary_title&gt;&lt;_type_work&gt;Journal Article; Research Support, Non-U.S. Gov&amp;apos;t&lt;/_type_work&gt;&lt;_url&gt;http://www.ncbi.nlm.nih.gov/entrez/query.fcgi?cmd=Retrieve&amp;amp;db=pubmed&amp;amp;dopt=Abstract&amp;amp;list_uids=23897555&amp;amp;query_hl=1&lt;/_url&gt;&lt;_volume&gt;35&lt;/_volume&gt;&lt;_created&gt;63927601&lt;/_created&gt;&lt;_modified&gt;63927601&lt;/_modified&gt;&lt;/Details&gt;&lt;Extra&gt;&lt;DBUID&gt;{F96A950B-833F-4880-A151-76DA2D6A2879}&lt;/DBUID&gt;&lt;/Extra&gt;&lt;/Item&gt;&lt;/References&gt;&lt;/Group&gt;&lt;/Citation&gt;_x000a_"/>
    <w:docVar w:name="ne_docsoft" w:val="MSWord"/>
    <w:docVar w:name="ne_docversion" w:val="NoteExpress 2.0"/>
    <w:docVar w:name="ne_stylename" w:val="上海交通大学研究生学位论文"/>
  </w:docVars>
  <w:rsids>
    <w:rsidRoot w:val="00172A27"/>
    <w:rsid w:val="000145DF"/>
    <w:rsid w:val="00027A9A"/>
    <w:rsid w:val="000832F7"/>
    <w:rsid w:val="000B2CC0"/>
    <w:rsid w:val="000C05F9"/>
    <w:rsid w:val="000C1FD6"/>
    <w:rsid w:val="000D5D2F"/>
    <w:rsid w:val="00121850"/>
    <w:rsid w:val="00133692"/>
    <w:rsid w:val="00163BEF"/>
    <w:rsid w:val="00172A27"/>
    <w:rsid w:val="0017350D"/>
    <w:rsid w:val="001741AA"/>
    <w:rsid w:val="001819D9"/>
    <w:rsid w:val="001A2DB4"/>
    <w:rsid w:val="001D15E4"/>
    <w:rsid w:val="001F1C07"/>
    <w:rsid w:val="002258A7"/>
    <w:rsid w:val="002363C3"/>
    <w:rsid w:val="00243EA0"/>
    <w:rsid w:val="00253206"/>
    <w:rsid w:val="002D7DD4"/>
    <w:rsid w:val="0030046E"/>
    <w:rsid w:val="0030180F"/>
    <w:rsid w:val="00317FD1"/>
    <w:rsid w:val="00320B24"/>
    <w:rsid w:val="00337559"/>
    <w:rsid w:val="003D3B76"/>
    <w:rsid w:val="003E265A"/>
    <w:rsid w:val="003F6DE5"/>
    <w:rsid w:val="00430043"/>
    <w:rsid w:val="0046550B"/>
    <w:rsid w:val="00513E1D"/>
    <w:rsid w:val="005662CB"/>
    <w:rsid w:val="0058405A"/>
    <w:rsid w:val="00592566"/>
    <w:rsid w:val="005C3198"/>
    <w:rsid w:val="005C6E91"/>
    <w:rsid w:val="005C7D2C"/>
    <w:rsid w:val="005E3557"/>
    <w:rsid w:val="006146CD"/>
    <w:rsid w:val="006257E2"/>
    <w:rsid w:val="00651CE3"/>
    <w:rsid w:val="00657F1C"/>
    <w:rsid w:val="00672E7A"/>
    <w:rsid w:val="00693576"/>
    <w:rsid w:val="0070154F"/>
    <w:rsid w:val="00701F0E"/>
    <w:rsid w:val="00726E6A"/>
    <w:rsid w:val="00733015"/>
    <w:rsid w:val="007845C6"/>
    <w:rsid w:val="007B17AE"/>
    <w:rsid w:val="007C7D3C"/>
    <w:rsid w:val="007D32A4"/>
    <w:rsid w:val="007E6857"/>
    <w:rsid w:val="007F6446"/>
    <w:rsid w:val="007F77BD"/>
    <w:rsid w:val="00846A96"/>
    <w:rsid w:val="00860F23"/>
    <w:rsid w:val="008C127E"/>
    <w:rsid w:val="008D5B8E"/>
    <w:rsid w:val="008E5CB1"/>
    <w:rsid w:val="00956408"/>
    <w:rsid w:val="00977131"/>
    <w:rsid w:val="00995726"/>
    <w:rsid w:val="00995977"/>
    <w:rsid w:val="009B64AF"/>
    <w:rsid w:val="009E3AE0"/>
    <w:rsid w:val="009F4741"/>
    <w:rsid w:val="00A469C5"/>
    <w:rsid w:val="00A84261"/>
    <w:rsid w:val="00AC7D01"/>
    <w:rsid w:val="00AD1BD3"/>
    <w:rsid w:val="00B55EA8"/>
    <w:rsid w:val="00B64655"/>
    <w:rsid w:val="00B85696"/>
    <w:rsid w:val="00B86311"/>
    <w:rsid w:val="00C17A24"/>
    <w:rsid w:val="00C23938"/>
    <w:rsid w:val="00C3087C"/>
    <w:rsid w:val="00C44184"/>
    <w:rsid w:val="00C94BD3"/>
    <w:rsid w:val="00CC3390"/>
    <w:rsid w:val="00CE15FC"/>
    <w:rsid w:val="00D12AD1"/>
    <w:rsid w:val="00D47B34"/>
    <w:rsid w:val="00D61025"/>
    <w:rsid w:val="00D74468"/>
    <w:rsid w:val="00DB2D4B"/>
    <w:rsid w:val="00DC19CB"/>
    <w:rsid w:val="00E53F89"/>
    <w:rsid w:val="00E75F0D"/>
    <w:rsid w:val="00E81C36"/>
    <w:rsid w:val="00EC714F"/>
    <w:rsid w:val="00ED2DD0"/>
    <w:rsid w:val="00EF5BB4"/>
    <w:rsid w:val="00EF7603"/>
    <w:rsid w:val="00F02436"/>
    <w:rsid w:val="00F161AE"/>
    <w:rsid w:val="00F46EC5"/>
    <w:rsid w:val="00FB5588"/>
    <w:rsid w:val="00FC09EB"/>
    <w:rsid w:val="00FD479D"/>
    <w:rsid w:val="010257B1"/>
    <w:rsid w:val="0104730D"/>
    <w:rsid w:val="01076DDC"/>
    <w:rsid w:val="01211B39"/>
    <w:rsid w:val="013D43C4"/>
    <w:rsid w:val="014118AD"/>
    <w:rsid w:val="016D3848"/>
    <w:rsid w:val="018E678F"/>
    <w:rsid w:val="01C17F3C"/>
    <w:rsid w:val="01C50812"/>
    <w:rsid w:val="01C700AA"/>
    <w:rsid w:val="01CB5A8B"/>
    <w:rsid w:val="020B78FF"/>
    <w:rsid w:val="020F4A34"/>
    <w:rsid w:val="021458DC"/>
    <w:rsid w:val="02160B74"/>
    <w:rsid w:val="02166A97"/>
    <w:rsid w:val="02183C4E"/>
    <w:rsid w:val="021A712C"/>
    <w:rsid w:val="022B4A80"/>
    <w:rsid w:val="023224AD"/>
    <w:rsid w:val="028C7DA2"/>
    <w:rsid w:val="028E6220"/>
    <w:rsid w:val="02903AE8"/>
    <w:rsid w:val="029576AE"/>
    <w:rsid w:val="02AD061E"/>
    <w:rsid w:val="02B515D5"/>
    <w:rsid w:val="02CA7DAC"/>
    <w:rsid w:val="02E1226A"/>
    <w:rsid w:val="032F7919"/>
    <w:rsid w:val="03B44E38"/>
    <w:rsid w:val="03FB7EDD"/>
    <w:rsid w:val="04111D9A"/>
    <w:rsid w:val="041A5279"/>
    <w:rsid w:val="041F5521"/>
    <w:rsid w:val="045207CF"/>
    <w:rsid w:val="047B19DB"/>
    <w:rsid w:val="04925E06"/>
    <w:rsid w:val="049717A8"/>
    <w:rsid w:val="04A2573B"/>
    <w:rsid w:val="04AA4E99"/>
    <w:rsid w:val="04BB4A8A"/>
    <w:rsid w:val="04E1406B"/>
    <w:rsid w:val="04E36E64"/>
    <w:rsid w:val="04E70E44"/>
    <w:rsid w:val="057A6296"/>
    <w:rsid w:val="05842035"/>
    <w:rsid w:val="058A6D66"/>
    <w:rsid w:val="05B15699"/>
    <w:rsid w:val="05B166B3"/>
    <w:rsid w:val="05BC19F4"/>
    <w:rsid w:val="05DB06A4"/>
    <w:rsid w:val="05EE2D09"/>
    <w:rsid w:val="061236C5"/>
    <w:rsid w:val="063A7915"/>
    <w:rsid w:val="06682C17"/>
    <w:rsid w:val="06854A89"/>
    <w:rsid w:val="06D009AF"/>
    <w:rsid w:val="06D2377D"/>
    <w:rsid w:val="06E44B7C"/>
    <w:rsid w:val="06FD4831"/>
    <w:rsid w:val="07090A6C"/>
    <w:rsid w:val="07211C14"/>
    <w:rsid w:val="072120C5"/>
    <w:rsid w:val="079A197D"/>
    <w:rsid w:val="07A4119E"/>
    <w:rsid w:val="07AB4586"/>
    <w:rsid w:val="07B37060"/>
    <w:rsid w:val="07CB42DE"/>
    <w:rsid w:val="07E246B0"/>
    <w:rsid w:val="07F315BE"/>
    <w:rsid w:val="080737AC"/>
    <w:rsid w:val="08184937"/>
    <w:rsid w:val="081A07A6"/>
    <w:rsid w:val="081C5286"/>
    <w:rsid w:val="081F170E"/>
    <w:rsid w:val="083059C0"/>
    <w:rsid w:val="08377758"/>
    <w:rsid w:val="084D40BF"/>
    <w:rsid w:val="08BD16B6"/>
    <w:rsid w:val="08C22E4B"/>
    <w:rsid w:val="08D9224F"/>
    <w:rsid w:val="08E9737B"/>
    <w:rsid w:val="08EF233F"/>
    <w:rsid w:val="08FC27D8"/>
    <w:rsid w:val="08FF1641"/>
    <w:rsid w:val="091B3E44"/>
    <w:rsid w:val="092864A9"/>
    <w:rsid w:val="092E1232"/>
    <w:rsid w:val="093F61F1"/>
    <w:rsid w:val="09487555"/>
    <w:rsid w:val="094972FA"/>
    <w:rsid w:val="096A2535"/>
    <w:rsid w:val="096A4F33"/>
    <w:rsid w:val="09770C5B"/>
    <w:rsid w:val="09875DF8"/>
    <w:rsid w:val="09E30071"/>
    <w:rsid w:val="09E86505"/>
    <w:rsid w:val="0A021989"/>
    <w:rsid w:val="0A14667A"/>
    <w:rsid w:val="0A1E4BD8"/>
    <w:rsid w:val="0A3D0CAE"/>
    <w:rsid w:val="0A3D7CAF"/>
    <w:rsid w:val="0A5D480E"/>
    <w:rsid w:val="0A6C7332"/>
    <w:rsid w:val="0AC070C0"/>
    <w:rsid w:val="0AF507C9"/>
    <w:rsid w:val="0AF72074"/>
    <w:rsid w:val="0B170685"/>
    <w:rsid w:val="0B1A08F8"/>
    <w:rsid w:val="0B1A2B53"/>
    <w:rsid w:val="0B2A16D1"/>
    <w:rsid w:val="0B567D3A"/>
    <w:rsid w:val="0B7058A7"/>
    <w:rsid w:val="0B8019D7"/>
    <w:rsid w:val="0B806470"/>
    <w:rsid w:val="0B857552"/>
    <w:rsid w:val="0B9C6197"/>
    <w:rsid w:val="0BA36E34"/>
    <w:rsid w:val="0BAB3689"/>
    <w:rsid w:val="0BBA0566"/>
    <w:rsid w:val="0BCC7B7C"/>
    <w:rsid w:val="0BD72657"/>
    <w:rsid w:val="0BDB5FB1"/>
    <w:rsid w:val="0BE05222"/>
    <w:rsid w:val="0BEF2EFA"/>
    <w:rsid w:val="0BFB5CD5"/>
    <w:rsid w:val="0BFB61FE"/>
    <w:rsid w:val="0C151E84"/>
    <w:rsid w:val="0C456EE7"/>
    <w:rsid w:val="0C4E2963"/>
    <w:rsid w:val="0C712406"/>
    <w:rsid w:val="0C9A3779"/>
    <w:rsid w:val="0CD5723F"/>
    <w:rsid w:val="0CDB1AE7"/>
    <w:rsid w:val="0D283757"/>
    <w:rsid w:val="0D420D62"/>
    <w:rsid w:val="0D6D01E1"/>
    <w:rsid w:val="0D823B44"/>
    <w:rsid w:val="0D837070"/>
    <w:rsid w:val="0DB06BAE"/>
    <w:rsid w:val="0DB9169A"/>
    <w:rsid w:val="0DDA07B5"/>
    <w:rsid w:val="0DE45C94"/>
    <w:rsid w:val="0E40707C"/>
    <w:rsid w:val="0E4A6CAA"/>
    <w:rsid w:val="0E6656CF"/>
    <w:rsid w:val="0E6E6B93"/>
    <w:rsid w:val="0E92437F"/>
    <w:rsid w:val="0E9352EC"/>
    <w:rsid w:val="0EC912E9"/>
    <w:rsid w:val="0ED56BFB"/>
    <w:rsid w:val="0EDD4A3D"/>
    <w:rsid w:val="0EE02FCE"/>
    <w:rsid w:val="0F0B1641"/>
    <w:rsid w:val="0F112FAB"/>
    <w:rsid w:val="0F1A726D"/>
    <w:rsid w:val="0F38025F"/>
    <w:rsid w:val="0F464141"/>
    <w:rsid w:val="0F515846"/>
    <w:rsid w:val="0F56305A"/>
    <w:rsid w:val="0F614670"/>
    <w:rsid w:val="0F776129"/>
    <w:rsid w:val="0F940580"/>
    <w:rsid w:val="0F9910EE"/>
    <w:rsid w:val="0FAB42FC"/>
    <w:rsid w:val="0FAC700C"/>
    <w:rsid w:val="0FD069CB"/>
    <w:rsid w:val="0FED0549"/>
    <w:rsid w:val="1009208C"/>
    <w:rsid w:val="10190546"/>
    <w:rsid w:val="10285196"/>
    <w:rsid w:val="103503B3"/>
    <w:rsid w:val="10361D2F"/>
    <w:rsid w:val="103B6906"/>
    <w:rsid w:val="106850D5"/>
    <w:rsid w:val="106C52BE"/>
    <w:rsid w:val="1070276B"/>
    <w:rsid w:val="10773FAE"/>
    <w:rsid w:val="10816515"/>
    <w:rsid w:val="108D551F"/>
    <w:rsid w:val="10EB5C7A"/>
    <w:rsid w:val="10F020C5"/>
    <w:rsid w:val="10F3197F"/>
    <w:rsid w:val="112F65F4"/>
    <w:rsid w:val="113D2AF7"/>
    <w:rsid w:val="115812EE"/>
    <w:rsid w:val="116077C6"/>
    <w:rsid w:val="117F1D36"/>
    <w:rsid w:val="11A81897"/>
    <w:rsid w:val="11B02443"/>
    <w:rsid w:val="11C27383"/>
    <w:rsid w:val="12002977"/>
    <w:rsid w:val="126F1DA6"/>
    <w:rsid w:val="127D7B85"/>
    <w:rsid w:val="128C721D"/>
    <w:rsid w:val="12952243"/>
    <w:rsid w:val="12B405BA"/>
    <w:rsid w:val="12C110F3"/>
    <w:rsid w:val="12C53949"/>
    <w:rsid w:val="12D4230F"/>
    <w:rsid w:val="12D7258D"/>
    <w:rsid w:val="12EA31B9"/>
    <w:rsid w:val="133471D8"/>
    <w:rsid w:val="1341590C"/>
    <w:rsid w:val="13596AEF"/>
    <w:rsid w:val="136170BA"/>
    <w:rsid w:val="13661B0C"/>
    <w:rsid w:val="139F2D1A"/>
    <w:rsid w:val="13AC4FA7"/>
    <w:rsid w:val="13AE6C6E"/>
    <w:rsid w:val="13EB078C"/>
    <w:rsid w:val="13F615DF"/>
    <w:rsid w:val="13FC4184"/>
    <w:rsid w:val="14210CC9"/>
    <w:rsid w:val="142D1454"/>
    <w:rsid w:val="143D70A2"/>
    <w:rsid w:val="144F5433"/>
    <w:rsid w:val="14525597"/>
    <w:rsid w:val="146C7DB7"/>
    <w:rsid w:val="146D20D9"/>
    <w:rsid w:val="148047A6"/>
    <w:rsid w:val="14860BF1"/>
    <w:rsid w:val="149134AE"/>
    <w:rsid w:val="14A440DC"/>
    <w:rsid w:val="14B82D47"/>
    <w:rsid w:val="14B9773F"/>
    <w:rsid w:val="14CA3242"/>
    <w:rsid w:val="14D7144E"/>
    <w:rsid w:val="14E04832"/>
    <w:rsid w:val="14EA7619"/>
    <w:rsid w:val="14EC441D"/>
    <w:rsid w:val="14ED3A3F"/>
    <w:rsid w:val="14F92694"/>
    <w:rsid w:val="150D679C"/>
    <w:rsid w:val="150F41F6"/>
    <w:rsid w:val="1534605E"/>
    <w:rsid w:val="15446638"/>
    <w:rsid w:val="15541D27"/>
    <w:rsid w:val="1572381D"/>
    <w:rsid w:val="15725328"/>
    <w:rsid w:val="157D49C5"/>
    <w:rsid w:val="158C15CC"/>
    <w:rsid w:val="15E24FDC"/>
    <w:rsid w:val="15EF485E"/>
    <w:rsid w:val="16371436"/>
    <w:rsid w:val="16497BAF"/>
    <w:rsid w:val="16622199"/>
    <w:rsid w:val="167A7865"/>
    <w:rsid w:val="167F5564"/>
    <w:rsid w:val="169865D2"/>
    <w:rsid w:val="169975FF"/>
    <w:rsid w:val="16A50E18"/>
    <w:rsid w:val="16AD2310"/>
    <w:rsid w:val="16B05DA9"/>
    <w:rsid w:val="16C310EB"/>
    <w:rsid w:val="171F0B4E"/>
    <w:rsid w:val="17305D9A"/>
    <w:rsid w:val="17387727"/>
    <w:rsid w:val="173B0E28"/>
    <w:rsid w:val="177B314D"/>
    <w:rsid w:val="177C760C"/>
    <w:rsid w:val="178454EC"/>
    <w:rsid w:val="17B5190C"/>
    <w:rsid w:val="17C15BC7"/>
    <w:rsid w:val="17CF1C9B"/>
    <w:rsid w:val="17D83DC4"/>
    <w:rsid w:val="17FB5FCE"/>
    <w:rsid w:val="18356877"/>
    <w:rsid w:val="18401314"/>
    <w:rsid w:val="184F2DC6"/>
    <w:rsid w:val="1866416B"/>
    <w:rsid w:val="186F6B9E"/>
    <w:rsid w:val="18703EC7"/>
    <w:rsid w:val="18833E6E"/>
    <w:rsid w:val="18A20788"/>
    <w:rsid w:val="18AA7DB8"/>
    <w:rsid w:val="18BA4D5F"/>
    <w:rsid w:val="18CC3211"/>
    <w:rsid w:val="18F223A7"/>
    <w:rsid w:val="18FE44C7"/>
    <w:rsid w:val="198B2812"/>
    <w:rsid w:val="19DA341B"/>
    <w:rsid w:val="19E27512"/>
    <w:rsid w:val="19EA7C73"/>
    <w:rsid w:val="19F21431"/>
    <w:rsid w:val="1A0B2C97"/>
    <w:rsid w:val="1A14620F"/>
    <w:rsid w:val="1A16031B"/>
    <w:rsid w:val="1A1D5A4E"/>
    <w:rsid w:val="1A3313C2"/>
    <w:rsid w:val="1A52517F"/>
    <w:rsid w:val="1A5E25B7"/>
    <w:rsid w:val="1A715B71"/>
    <w:rsid w:val="1A7472F8"/>
    <w:rsid w:val="1A923FA4"/>
    <w:rsid w:val="1AA62C1B"/>
    <w:rsid w:val="1AAE3FD3"/>
    <w:rsid w:val="1AC20138"/>
    <w:rsid w:val="1AC431C2"/>
    <w:rsid w:val="1AD7350E"/>
    <w:rsid w:val="1AD96E9A"/>
    <w:rsid w:val="1ADA6B24"/>
    <w:rsid w:val="1ADE1445"/>
    <w:rsid w:val="1AE55A61"/>
    <w:rsid w:val="1AF721A9"/>
    <w:rsid w:val="1B3826FE"/>
    <w:rsid w:val="1B63612D"/>
    <w:rsid w:val="1B980A5F"/>
    <w:rsid w:val="1B9E2247"/>
    <w:rsid w:val="1BB21D80"/>
    <w:rsid w:val="1BB22621"/>
    <w:rsid w:val="1BB235FD"/>
    <w:rsid w:val="1BB57DBD"/>
    <w:rsid w:val="1BF24EB5"/>
    <w:rsid w:val="1BFC5261"/>
    <w:rsid w:val="1BFD5EA3"/>
    <w:rsid w:val="1C130959"/>
    <w:rsid w:val="1C2850AB"/>
    <w:rsid w:val="1C3D389E"/>
    <w:rsid w:val="1C572FA9"/>
    <w:rsid w:val="1C584701"/>
    <w:rsid w:val="1C6302FA"/>
    <w:rsid w:val="1C755196"/>
    <w:rsid w:val="1C9D2510"/>
    <w:rsid w:val="1CA747FB"/>
    <w:rsid w:val="1CB66E26"/>
    <w:rsid w:val="1CB8386C"/>
    <w:rsid w:val="1CBE6496"/>
    <w:rsid w:val="1CCB2D0A"/>
    <w:rsid w:val="1CD61C4B"/>
    <w:rsid w:val="1CE706AC"/>
    <w:rsid w:val="1CE95B03"/>
    <w:rsid w:val="1D191896"/>
    <w:rsid w:val="1D215A6C"/>
    <w:rsid w:val="1D2B4636"/>
    <w:rsid w:val="1D4D5E89"/>
    <w:rsid w:val="1D651C28"/>
    <w:rsid w:val="1D6C0DCC"/>
    <w:rsid w:val="1D6E66BE"/>
    <w:rsid w:val="1D801AA9"/>
    <w:rsid w:val="1D96241A"/>
    <w:rsid w:val="1D9868B9"/>
    <w:rsid w:val="1D9A07EC"/>
    <w:rsid w:val="1D9E749E"/>
    <w:rsid w:val="1DAF373C"/>
    <w:rsid w:val="1DEF215B"/>
    <w:rsid w:val="1E394270"/>
    <w:rsid w:val="1E45067C"/>
    <w:rsid w:val="1E4C7BCE"/>
    <w:rsid w:val="1E7869DD"/>
    <w:rsid w:val="1E9E0F8C"/>
    <w:rsid w:val="1EBB73A6"/>
    <w:rsid w:val="1EBC1413"/>
    <w:rsid w:val="1EC20F4A"/>
    <w:rsid w:val="1EC57D71"/>
    <w:rsid w:val="1F0C317D"/>
    <w:rsid w:val="1F244CB1"/>
    <w:rsid w:val="1F734816"/>
    <w:rsid w:val="1FC04045"/>
    <w:rsid w:val="1FF94793"/>
    <w:rsid w:val="1FFA0FED"/>
    <w:rsid w:val="202025E1"/>
    <w:rsid w:val="202553D0"/>
    <w:rsid w:val="204B54C6"/>
    <w:rsid w:val="209E12FC"/>
    <w:rsid w:val="20B4384B"/>
    <w:rsid w:val="20E51C7F"/>
    <w:rsid w:val="21220395"/>
    <w:rsid w:val="21224FE4"/>
    <w:rsid w:val="21382AD8"/>
    <w:rsid w:val="21472A39"/>
    <w:rsid w:val="214D6DDC"/>
    <w:rsid w:val="216210C4"/>
    <w:rsid w:val="216424A9"/>
    <w:rsid w:val="2179087F"/>
    <w:rsid w:val="218D69CE"/>
    <w:rsid w:val="218F5E49"/>
    <w:rsid w:val="21CC5E09"/>
    <w:rsid w:val="21D94356"/>
    <w:rsid w:val="21FA5198"/>
    <w:rsid w:val="22120715"/>
    <w:rsid w:val="222F0914"/>
    <w:rsid w:val="223E25B3"/>
    <w:rsid w:val="22425844"/>
    <w:rsid w:val="2256356C"/>
    <w:rsid w:val="22566FD7"/>
    <w:rsid w:val="2266606A"/>
    <w:rsid w:val="227067A2"/>
    <w:rsid w:val="22750316"/>
    <w:rsid w:val="22B7790F"/>
    <w:rsid w:val="22B807F4"/>
    <w:rsid w:val="22D226EA"/>
    <w:rsid w:val="22D77461"/>
    <w:rsid w:val="22EE13BE"/>
    <w:rsid w:val="22F74995"/>
    <w:rsid w:val="22FF1E81"/>
    <w:rsid w:val="22FF4353"/>
    <w:rsid w:val="23123587"/>
    <w:rsid w:val="232410A1"/>
    <w:rsid w:val="23260333"/>
    <w:rsid w:val="232A6BA6"/>
    <w:rsid w:val="232C0BF1"/>
    <w:rsid w:val="234356CF"/>
    <w:rsid w:val="2358533D"/>
    <w:rsid w:val="238479B8"/>
    <w:rsid w:val="2394219A"/>
    <w:rsid w:val="23967A6C"/>
    <w:rsid w:val="23976118"/>
    <w:rsid w:val="23BD25A5"/>
    <w:rsid w:val="23E2241B"/>
    <w:rsid w:val="245144C9"/>
    <w:rsid w:val="245A2D22"/>
    <w:rsid w:val="24727B65"/>
    <w:rsid w:val="247B797D"/>
    <w:rsid w:val="24A3442A"/>
    <w:rsid w:val="24B26B7F"/>
    <w:rsid w:val="24BF5CBD"/>
    <w:rsid w:val="24C738EF"/>
    <w:rsid w:val="24E15A6F"/>
    <w:rsid w:val="24E53984"/>
    <w:rsid w:val="24EA6B28"/>
    <w:rsid w:val="24F56495"/>
    <w:rsid w:val="25081624"/>
    <w:rsid w:val="25454DBB"/>
    <w:rsid w:val="25632584"/>
    <w:rsid w:val="256F7BA6"/>
    <w:rsid w:val="258F2BA0"/>
    <w:rsid w:val="258F3721"/>
    <w:rsid w:val="25A461EC"/>
    <w:rsid w:val="25BB25ED"/>
    <w:rsid w:val="25E20F78"/>
    <w:rsid w:val="25F536B9"/>
    <w:rsid w:val="25FF2C81"/>
    <w:rsid w:val="2607287E"/>
    <w:rsid w:val="260F0298"/>
    <w:rsid w:val="261979EE"/>
    <w:rsid w:val="262D78B7"/>
    <w:rsid w:val="2647169C"/>
    <w:rsid w:val="26797282"/>
    <w:rsid w:val="268B18F2"/>
    <w:rsid w:val="268B5114"/>
    <w:rsid w:val="26902A99"/>
    <w:rsid w:val="26903FE5"/>
    <w:rsid w:val="26DF3AA8"/>
    <w:rsid w:val="26FA07FC"/>
    <w:rsid w:val="27124089"/>
    <w:rsid w:val="276E585C"/>
    <w:rsid w:val="277837B9"/>
    <w:rsid w:val="27870B39"/>
    <w:rsid w:val="2791563A"/>
    <w:rsid w:val="27E01666"/>
    <w:rsid w:val="27E34C89"/>
    <w:rsid w:val="27E765C8"/>
    <w:rsid w:val="28043414"/>
    <w:rsid w:val="28164755"/>
    <w:rsid w:val="283755B5"/>
    <w:rsid w:val="283A2AD0"/>
    <w:rsid w:val="283A6B12"/>
    <w:rsid w:val="284667EB"/>
    <w:rsid w:val="28887FAA"/>
    <w:rsid w:val="28944EFF"/>
    <w:rsid w:val="28E61581"/>
    <w:rsid w:val="29113173"/>
    <w:rsid w:val="291C7EA2"/>
    <w:rsid w:val="29262C68"/>
    <w:rsid w:val="292964D4"/>
    <w:rsid w:val="2949236D"/>
    <w:rsid w:val="295A2CB7"/>
    <w:rsid w:val="29677EF6"/>
    <w:rsid w:val="29DA71B5"/>
    <w:rsid w:val="29E9603F"/>
    <w:rsid w:val="29EE173E"/>
    <w:rsid w:val="29EE7EF6"/>
    <w:rsid w:val="29F64283"/>
    <w:rsid w:val="29F747FC"/>
    <w:rsid w:val="2A147860"/>
    <w:rsid w:val="2A4D48BB"/>
    <w:rsid w:val="2A6763B7"/>
    <w:rsid w:val="2A942AEB"/>
    <w:rsid w:val="2AB723F0"/>
    <w:rsid w:val="2AEC4049"/>
    <w:rsid w:val="2AF7599C"/>
    <w:rsid w:val="2B220061"/>
    <w:rsid w:val="2B3E0119"/>
    <w:rsid w:val="2B567396"/>
    <w:rsid w:val="2B636B6F"/>
    <w:rsid w:val="2BD75238"/>
    <w:rsid w:val="2BE56066"/>
    <w:rsid w:val="2C1801F7"/>
    <w:rsid w:val="2C1E36B4"/>
    <w:rsid w:val="2C52698B"/>
    <w:rsid w:val="2C546EB2"/>
    <w:rsid w:val="2C65035F"/>
    <w:rsid w:val="2C814CB3"/>
    <w:rsid w:val="2C8575C0"/>
    <w:rsid w:val="2C867E75"/>
    <w:rsid w:val="2C8D58FA"/>
    <w:rsid w:val="2CA33CE4"/>
    <w:rsid w:val="2CAE1669"/>
    <w:rsid w:val="2CC56200"/>
    <w:rsid w:val="2CCB3BE6"/>
    <w:rsid w:val="2CCF4085"/>
    <w:rsid w:val="2CD659E8"/>
    <w:rsid w:val="2CF50DA2"/>
    <w:rsid w:val="2CF626AC"/>
    <w:rsid w:val="2D032417"/>
    <w:rsid w:val="2D051788"/>
    <w:rsid w:val="2D0B2F40"/>
    <w:rsid w:val="2D127026"/>
    <w:rsid w:val="2D2F65B6"/>
    <w:rsid w:val="2D362045"/>
    <w:rsid w:val="2D691FFF"/>
    <w:rsid w:val="2D6945CB"/>
    <w:rsid w:val="2D6C5D01"/>
    <w:rsid w:val="2D813E2B"/>
    <w:rsid w:val="2D9B59D0"/>
    <w:rsid w:val="2DA56EF4"/>
    <w:rsid w:val="2DB57866"/>
    <w:rsid w:val="2DCE2746"/>
    <w:rsid w:val="2DE15353"/>
    <w:rsid w:val="2DF711D5"/>
    <w:rsid w:val="2DFD42BC"/>
    <w:rsid w:val="2E0D74DC"/>
    <w:rsid w:val="2E151718"/>
    <w:rsid w:val="2E3A1B74"/>
    <w:rsid w:val="2E5E6D36"/>
    <w:rsid w:val="2E663D05"/>
    <w:rsid w:val="2E6E7591"/>
    <w:rsid w:val="2E997D39"/>
    <w:rsid w:val="2E9A0506"/>
    <w:rsid w:val="2EA1284F"/>
    <w:rsid w:val="2EAC037F"/>
    <w:rsid w:val="2EB95716"/>
    <w:rsid w:val="2EBD3EB4"/>
    <w:rsid w:val="2ED46428"/>
    <w:rsid w:val="2EED5253"/>
    <w:rsid w:val="2EF70387"/>
    <w:rsid w:val="2F443707"/>
    <w:rsid w:val="2F5A44DA"/>
    <w:rsid w:val="2F6A6E0B"/>
    <w:rsid w:val="2F765548"/>
    <w:rsid w:val="2FB136E5"/>
    <w:rsid w:val="2FB720B9"/>
    <w:rsid w:val="2FBE6648"/>
    <w:rsid w:val="2FE8486A"/>
    <w:rsid w:val="2FEC30FA"/>
    <w:rsid w:val="2FF36740"/>
    <w:rsid w:val="3013275B"/>
    <w:rsid w:val="302E3B18"/>
    <w:rsid w:val="302F3951"/>
    <w:rsid w:val="303D62A8"/>
    <w:rsid w:val="30460C59"/>
    <w:rsid w:val="30480432"/>
    <w:rsid w:val="305B43DF"/>
    <w:rsid w:val="30815158"/>
    <w:rsid w:val="30846CD9"/>
    <w:rsid w:val="308818D0"/>
    <w:rsid w:val="30B65998"/>
    <w:rsid w:val="30C15539"/>
    <w:rsid w:val="30DA11D4"/>
    <w:rsid w:val="311E605C"/>
    <w:rsid w:val="31BB2274"/>
    <w:rsid w:val="31D71235"/>
    <w:rsid w:val="31E86F5C"/>
    <w:rsid w:val="320329AC"/>
    <w:rsid w:val="321E5D38"/>
    <w:rsid w:val="323E33AA"/>
    <w:rsid w:val="325B31F2"/>
    <w:rsid w:val="327B13E6"/>
    <w:rsid w:val="32820FA9"/>
    <w:rsid w:val="32A733AD"/>
    <w:rsid w:val="32AF21D2"/>
    <w:rsid w:val="32D67F8E"/>
    <w:rsid w:val="3311030C"/>
    <w:rsid w:val="3325692E"/>
    <w:rsid w:val="3326474D"/>
    <w:rsid w:val="33267DD9"/>
    <w:rsid w:val="333969D5"/>
    <w:rsid w:val="335D5B3C"/>
    <w:rsid w:val="337467D3"/>
    <w:rsid w:val="33767EF1"/>
    <w:rsid w:val="33B212FB"/>
    <w:rsid w:val="33C47B6B"/>
    <w:rsid w:val="33D17F7B"/>
    <w:rsid w:val="33D35980"/>
    <w:rsid w:val="340E57A7"/>
    <w:rsid w:val="340F6D76"/>
    <w:rsid w:val="3415081F"/>
    <w:rsid w:val="341B2C36"/>
    <w:rsid w:val="34242878"/>
    <w:rsid w:val="342C081E"/>
    <w:rsid w:val="342E6972"/>
    <w:rsid w:val="3437792F"/>
    <w:rsid w:val="343800D1"/>
    <w:rsid w:val="343B275C"/>
    <w:rsid w:val="34411647"/>
    <w:rsid w:val="34542A0B"/>
    <w:rsid w:val="345E1C6D"/>
    <w:rsid w:val="349F1ED4"/>
    <w:rsid w:val="34A33270"/>
    <w:rsid w:val="34DD2898"/>
    <w:rsid w:val="34F15892"/>
    <w:rsid w:val="34F533CB"/>
    <w:rsid w:val="35052C80"/>
    <w:rsid w:val="351A386B"/>
    <w:rsid w:val="351A42B3"/>
    <w:rsid w:val="352C6E23"/>
    <w:rsid w:val="35470D02"/>
    <w:rsid w:val="357505DB"/>
    <w:rsid w:val="358E3777"/>
    <w:rsid w:val="35A63591"/>
    <w:rsid w:val="35CB457C"/>
    <w:rsid w:val="35DA64E8"/>
    <w:rsid w:val="35E224B3"/>
    <w:rsid w:val="35ED3757"/>
    <w:rsid w:val="361E4264"/>
    <w:rsid w:val="361E6007"/>
    <w:rsid w:val="3624416B"/>
    <w:rsid w:val="36253743"/>
    <w:rsid w:val="362879E9"/>
    <w:rsid w:val="36350EFD"/>
    <w:rsid w:val="363F1BE4"/>
    <w:rsid w:val="368C3A92"/>
    <w:rsid w:val="369450CA"/>
    <w:rsid w:val="36A447BE"/>
    <w:rsid w:val="36A56D6C"/>
    <w:rsid w:val="36A64582"/>
    <w:rsid w:val="36CB7934"/>
    <w:rsid w:val="36EB605F"/>
    <w:rsid w:val="36EC716D"/>
    <w:rsid w:val="370E5618"/>
    <w:rsid w:val="37391810"/>
    <w:rsid w:val="373B6648"/>
    <w:rsid w:val="373C5667"/>
    <w:rsid w:val="373D52F2"/>
    <w:rsid w:val="374B054A"/>
    <w:rsid w:val="375A5A76"/>
    <w:rsid w:val="375D2B5F"/>
    <w:rsid w:val="37610A13"/>
    <w:rsid w:val="378740AE"/>
    <w:rsid w:val="379B1635"/>
    <w:rsid w:val="37B91B9D"/>
    <w:rsid w:val="37D87476"/>
    <w:rsid w:val="37F10AB5"/>
    <w:rsid w:val="381B24CA"/>
    <w:rsid w:val="381C7E8C"/>
    <w:rsid w:val="381F16FA"/>
    <w:rsid w:val="38346105"/>
    <w:rsid w:val="384314FF"/>
    <w:rsid w:val="385005C2"/>
    <w:rsid w:val="388209E3"/>
    <w:rsid w:val="38AF6B4B"/>
    <w:rsid w:val="38B31ACF"/>
    <w:rsid w:val="38BD38C2"/>
    <w:rsid w:val="38D15FB0"/>
    <w:rsid w:val="38E85DAC"/>
    <w:rsid w:val="38F30336"/>
    <w:rsid w:val="39070FD0"/>
    <w:rsid w:val="391065FD"/>
    <w:rsid w:val="39136F54"/>
    <w:rsid w:val="392D0703"/>
    <w:rsid w:val="39415458"/>
    <w:rsid w:val="39453161"/>
    <w:rsid w:val="396D15B0"/>
    <w:rsid w:val="39782977"/>
    <w:rsid w:val="3A643E91"/>
    <w:rsid w:val="3A70413F"/>
    <w:rsid w:val="3A7C4DF5"/>
    <w:rsid w:val="3AA94665"/>
    <w:rsid w:val="3AAC4DA0"/>
    <w:rsid w:val="3B002829"/>
    <w:rsid w:val="3B0C0D67"/>
    <w:rsid w:val="3B100B4E"/>
    <w:rsid w:val="3B5B04B2"/>
    <w:rsid w:val="3B5B2318"/>
    <w:rsid w:val="3B6C2724"/>
    <w:rsid w:val="3B6C2E89"/>
    <w:rsid w:val="3BB10819"/>
    <w:rsid w:val="3C055C7E"/>
    <w:rsid w:val="3C1219E2"/>
    <w:rsid w:val="3C1E5BED"/>
    <w:rsid w:val="3C232AAB"/>
    <w:rsid w:val="3C344767"/>
    <w:rsid w:val="3C7712E9"/>
    <w:rsid w:val="3C830468"/>
    <w:rsid w:val="3C876917"/>
    <w:rsid w:val="3CBF44EE"/>
    <w:rsid w:val="3CD21F38"/>
    <w:rsid w:val="3CD34C90"/>
    <w:rsid w:val="3CE018AE"/>
    <w:rsid w:val="3CE36A06"/>
    <w:rsid w:val="3CF01223"/>
    <w:rsid w:val="3D062587"/>
    <w:rsid w:val="3D0F5FBD"/>
    <w:rsid w:val="3D155D94"/>
    <w:rsid w:val="3D16368B"/>
    <w:rsid w:val="3D352576"/>
    <w:rsid w:val="3D484FDF"/>
    <w:rsid w:val="3D523826"/>
    <w:rsid w:val="3D594871"/>
    <w:rsid w:val="3D9C40B0"/>
    <w:rsid w:val="3DEF7B2B"/>
    <w:rsid w:val="3DF240C9"/>
    <w:rsid w:val="3DFF745A"/>
    <w:rsid w:val="3E1E1EB6"/>
    <w:rsid w:val="3E1E3910"/>
    <w:rsid w:val="3E296C0B"/>
    <w:rsid w:val="3E330F95"/>
    <w:rsid w:val="3E441C0A"/>
    <w:rsid w:val="3E4567FC"/>
    <w:rsid w:val="3E6775C9"/>
    <w:rsid w:val="3E894A0D"/>
    <w:rsid w:val="3EA177D5"/>
    <w:rsid w:val="3ECA1233"/>
    <w:rsid w:val="3ECC1448"/>
    <w:rsid w:val="3ED4631B"/>
    <w:rsid w:val="3ED93079"/>
    <w:rsid w:val="3EF1319D"/>
    <w:rsid w:val="3EF47F9A"/>
    <w:rsid w:val="3F1F2A59"/>
    <w:rsid w:val="3F212706"/>
    <w:rsid w:val="3F213A0E"/>
    <w:rsid w:val="3F462C1F"/>
    <w:rsid w:val="3F6050F1"/>
    <w:rsid w:val="3F836EDA"/>
    <w:rsid w:val="3F83706D"/>
    <w:rsid w:val="3F847FC5"/>
    <w:rsid w:val="3F8C5D8F"/>
    <w:rsid w:val="3F8E7DF5"/>
    <w:rsid w:val="3F9D432B"/>
    <w:rsid w:val="3FA141F7"/>
    <w:rsid w:val="3FB319CE"/>
    <w:rsid w:val="3FFC1A7A"/>
    <w:rsid w:val="401659A2"/>
    <w:rsid w:val="40193ED6"/>
    <w:rsid w:val="401B0659"/>
    <w:rsid w:val="403D15C7"/>
    <w:rsid w:val="40406EBE"/>
    <w:rsid w:val="4046043B"/>
    <w:rsid w:val="40622997"/>
    <w:rsid w:val="40753E01"/>
    <w:rsid w:val="40CB7403"/>
    <w:rsid w:val="40CE4185"/>
    <w:rsid w:val="41057795"/>
    <w:rsid w:val="412B750C"/>
    <w:rsid w:val="412C23B3"/>
    <w:rsid w:val="41464600"/>
    <w:rsid w:val="41677E28"/>
    <w:rsid w:val="416E4CF8"/>
    <w:rsid w:val="418144CF"/>
    <w:rsid w:val="41883ABF"/>
    <w:rsid w:val="419F5698"/>
    <w:rsid w:val="41A645F8"/>
    <w:rsid w:val="41B313C7"/>
    <w:rsid w:val="41B65D42"/>
    <w:rsid w:val="41B85D85"/>
    <w:rsid w:val="42161C16"/>
    <w:rsid w:val="422029D0"/>
    <w:rsid w:val="42223BB8"/>
    <w:rsid w:val="422A50AA"/>
    <w:rsid w:val="42396C22"/>
    <w:rsid w:val="4264179C"/>
    <w:rsid w:val="428D5D86"/>
    <w:rsid w:val="42F340D9"/>
    <w:rsid w:val="42F66A02"/>
    <w:rsid w:val="434E505C"/>
    <w:rsid w:val="43516F22"/>
    <w:rsid w:val="435D48B5"/>
    <w:rsid w:val="439C3526"/>
    <w:rsid w:val="43A65E93"/>
    <w:rsid w:val="43B34190"/>
    <w:rsid w:val="43B83A15"/>
    <w:rsid w:val="43BA02A3"/>
    <w:rsid w:val="43BF7346"/>
    <w:rsid w:val="43C76E17"/>
    <w:rsid w:val="43EC399C"/>
    <w:rsid w:val="4410147F"/>
    <w:rsid w:val="44552A70"/>
    <w:rsid w:val="44695BCD"/>
    <w:rsid w:val="449D32C2"/>
    <w:rsid w:val="44AC7645"/>
    <w:rsid w:val="44C156B1"/>
    <w:rsid w:val="44C66D02"/>
    <w:rsid w:val="44CB2F59"/>
    <w:rsid w:val="44DA7E87"/>
    <w:rsid w:val="44E941BE"/>
    <w:rsid w:val="450E4F85"/>
    <w:rsid w:val="45350D23"/>
    <w:rsid w:val="453F16A4"/>
    <w:rsid w:val="45521B58"/>
    <w:rsid w:val="455A5279"/>
    <w:rsid w:val="455D1A8E"/>
    <w:rsid w:val="45722BB4"/>
    <w:rsid w:val="45770EF2"/>
    <w:rsid w:val="45813339"/>
    <w:rsid w:val="459C66B4"/>
    <w:rsid w:val="45A87A57"/>
    <w:rsid w:val="45CF0702"/>
    <w:rsid w:val="45DC4EB6"/>
    <w:rsid w:val="46024FFD"/>
    <w:rsid w:val="46362FBD"/>
    <w:rsid w:val="464F7E6A"/>
    <w:rsid w:val="465F35F3"/>
    <w:rsid w:val="46730CE8"/>
    <w:rsid w:val="4679038B"/>
    <w:rsid w:val="46873F7D"/>
    <w:rsid w:val="46952FC9"/>
    <w:rsid w:val="469F0C6C"/>
    <w:rsid w:val="46FD1F45"/>
    <w:rsid w:val="47123618"/>
    <w:rsid w:val="4726451D"/>
    <w:rsid w:val="472E27AB"/>
    <w:rsid w:val="475E4DC1"/>
    <w:rsid w:val="479D4223"/>
    <w:rsid w:val="47C11605"/>
    <w:rsid w:val="47E12251"/>
    <w:rsid w:val="47F907B2"/>
    <w:rsid w:val="47FF3461"/>
    <w:rsid w:val="481F74CA"/>
    <w:rsid w:val="482B1A8F"/>
    <w:rsid w:val="484477A3"/>
    <w:rsid w:val="488E4219"/>
    <w:rsid w:val="48C568AC"/>
    <w:rsid w:val="49065510"/>
    <w:rsid w:val="490856C1"/>
    <w:rsid w:val="490F1905"/>
    <w:rsid w:val="49145D3D"/>
    <w:rsid w:val="491B105D"/>
    <w:rsid w:val="491C61DA"/>
    <w:rsid w:val="49285402"/>
    <w:rsid w:val="49380D98"/>
    <w:rsid w:val="4959072A"/>
    <w:rsid w:val="4963414C"/>
    <w:rsid w:val="49653723"/>
    <w:rsid w:val="497F0469"/>
    <w:rsid w:val="49967474"/>
    <w:rsid w:val="49A80048"/>
    <w:rsid w:val="49B4660E"/>
    <w:rsid w:val="49DE5CE3"/>
    <w:rsid w:val="49EC4273"/>
    <w:rsid w:val="49F063CC"/>
    <w:rsid w:val="49FD0A0A"/>
    <w:rsid w:val="4A20172F"/>
    <w:rsid w:val="4A604F02"/>
    <w:rsid w:val="4A6846A0"/>
    <w:rsid w:val="4A6F21BD"/>
    <w:rsid w:val="4A852412"/>
    <w:rsid w:val="4A9C42E0"/>
    <w:rsid w:val="4A9C601F"/>
    <w:rsid w:val="4AC24D5B"/>
    <w:rsid w:val="4AD61BA8"/>
    <w:rsid w:val="4ADB17D6"/>
    <w:rsid w:val="4AFC73DF"/>
    <w:rsid w:val="4B0B280D"/>
    <w:rsid w:val="4B7778F3"/>
    <w:rsid w:val="4B85490B"/>
    <w:rsid w:val="4B8F2C86"/>
    <w:rsid w:val="4BC311F6"/>
    <w:rsid w:val="4BE04E38"/>
    <w:rsid w:val="4BE25B54"/>
    <w:rsid w:val="4BF042F2"/>
    <w:rsid w:val="4C123207"/>
    <w:rsid w:val="4C22465D"/>
    <w:rsid w:val="4C2555BE"/>
    <w:rsid w:val="4C38147F"/>
    <w:rsid w:val="4C4F475F"/>
    <w:rsid w:val="4C5D4F30"/>
    <w:rsid w:val="4C5F22B3"/>
    <w:rsid w:val="4C730432"/>
    <w:rsid w:val="4C777256"/>
    <w:rsid w:val="4C883027"/>
    <w:rsid w:val="4C885AA5"/>
    <w:rsid w:val="4C890140"/>
    <w:rsid w:val="4C9962DF"/>
    <w:rsid w:val="4CB94C2F"/>
    <w:rsid w:val="4CC224E1"/>
    <w:rsid w:val="4CE847D7"/>
    <w:rsid w:val="4D3D2523"/>
    <w:rsid w:val="4D4516C0"/>
    <w:rsid w:val="4D6D7D13"/>
    <w:rsid w:val="4D783555"/>
    <w:rsid w:val="4DC672EA"/>
    <w:rsid w:val="4DD50432"/>
    <w:rsid w:val="4DD62122"/>
    <w:rsid w:val="4DD715F2"/>
    <w:rsid w:val="4E0114AB"/>
    <w:rsid w:val="4E062A05"/>
    <w:rsid w:val="4E0A691C"/>
    <w:rsid w:val="4E0E76E4"/>
    <w:rsid w:val="4E2A0AC1"/>
    <w:rsid w:val="4E434B44"/>
    <w:rsid w:val="4E7D325A"/>
    <w:rsid w:val="4E8D1869"/>
    <w:rsid w:val="4E960F88"/>
    <w:rsid w:val="4E962C41"/>
    <w:rsid w:val="4EB365DB"/>
    <w:rsid w:val="4EC94F61"/>
    <w:rsid w:val="4ECB60DB"/>
    <w:rsid w:val="4EE423F7"/>
    <w:rsid w:val="4F0C4106"/>
    <w:rsid w:val="4F112309"/>
    <w:rsid w:val="4F132C23"/>
    <w:rsid w:val="4F2376A3"/>
    <w:rsid w:val="4F366810"/>
    <w:rsid w:val="4F4B14AA"/>
    <w:rsid w:val="4F614098"/>
    <w:rsid w:val="4F676D3C"/>
    <w:rsid w:val="4F903F75"/>
    <w:rsid w:val="4F9D40E6"/>
    <w:rsid w:val="4FD24A1A"/>
    <w:rsid w:val="4FD54423"/>
    <w:rsid w:val="4FD81ADC"/>
    <w:rsid w:val="4FDF236C"/>
    <w:rsid w:val="4FEC33CA"/>
    <w:rsid w:val="503B1779"/>
    <w:rsid w:val="505B785F"/>
    <w:rsid w:val="50AF36B4"/>
    <w:rsid w:val="50B27AEB"/>
    <w:rsid w:val="50B27DD6"/>
    <w:rsid w:val="50BF2011"/>
    <w:rsid w:val="50C64F69"/>
    <w:rsid w:val="50E608A0"/>
    <w:rsid w:val="50F25A7D"/>
    <w:rsid w:val="50F6789E"/>
    <w:rsid w:val="51024103"/>
    <w:rsid w:val="51055B2E"/>
    <w:rsid w:val="51111452"/>
    <w:rsid w:val="51136623"/>
    <w:rsid w:val="51164B06"/>
    <w:rsid w:val="514B6A3E"/>
    <w:rsid w:val="514F634A"/>
    <w:rsid w:val="51516600"/>
    <w:rsid w:val="519223FD"/>
    <w:rsid w:val="51A741D7"/>
    <w:rsid w:val="51B33A76"/>
    <w:rsid w:val="51B4565C"/>
    <w:rsid w:val="51D24986"/>
    <w:rsid w:val="51E759CE"/>
    <w:rsid w:val="51ED0512"/>
    <w:rsid w:val="51ED36AF"/>
    <w:rsid w:val="52194234"/>
    <w:rsid w:val="52195BA8"/>
    <w:rsid w:val="52214A5D"/>
    <w:rsid w:val="522279FB"/>
    <w:rsid w:val="522A100B"/>
    <w:rsid w:val="52567651"/>
    <w:rsid w:val="526C18A1"/>
    <w:rsid w:val="526E0F91"/>
    <w:rsid w:val="52747290"/>
    <w:rsid w:val="528F4651"/>
    <w:rsid w:val="52E12619"/>
    <w:rsid w:val="52FD493E"/>
    <w:rsid w:val="52FF6399"/>
    <w:rsid w:val="53270353"/>
    <w:rsid w:val="533529DF"/>
    <w:rsid w:val="53644510"/>
    <w:rsid w:val="53912B1B"/>
    <w:rsid w:val="539B0E0B"/>
    <w:rsid w:val="53A7506D"/>
    <w:rsid w:val="540B493D"/>
    <w:rsid w:val="541D7610"/>
    <w:rsid w:val="54233098"/>
    <w:rsid w:val="54465F0E"/>
    <w:rsid w:val="547024A8"/>
    <w:rsid w:val="54746782"/>
    <w:rsid w:val="548A4DFC"/>
    <w:rsid w:val="54E27A99"/>
    <w:rsid w:val="54EE64E0"/>
    <w:rsid w:val="54F13EBF"/>
    <w:rsid w:val="55304CE2"/>
    <w:rsid w:val="554E2608"/>
    <w:rsid w:val="554E4464"/>
    <w:rsid w:val="55645F63"/>
    <w:rsid w:val="559A61B5"/>
    <w:rsid w:val="55C37E59"/>
    <w:rsid w:val="560A79A3"/>
    <w:rsid w:val="560C7705"/>
    <w:rsid w:val="56482A61"/>
    <w:rsid w:val="56554A3A"/>
    <w:rsid w:val="567D1CFC"/>
    <w:rsid w:val="568E5B46"/>
    <w:rsid w:val="56971041"/>
    <w:rsid w:val="569819CD"/>
    <w:rsid w:val="56DD1589"/>
    <w:rsid w:val="56E311AC"/>
    <w:rsid w:val="56EC6357"/>
    <w:rsid w:val="57066FAC"/>
    <w:rsid w:val="57A80C2A"/>
    <w:rsid w:val="57AD55D0"/>
    <w:rsid w:val="57C27B69"/>
    <w:rsid w:val="57C36A88"/>
    <w:rsid w:val="580847F1"/>
    <w:rsid w:val="583E5B2C"/>
    <w:rsid w:val="586A1B1C"/>
    <w:rsid w:val="58860BC7"/>
    <w:rsid w:val="589C0841"/>
    <w:rsid w:val="58B70784"/>
    <w:rsid w:val="58F257A0"/>
    <w:rsid w:val="58FC5FC5"/>
    <w:rsid w:val="58FD091F"/>
    <w:rsid w:val="59312A2C"/>
    <w:rsid w:val="59405797"/>
    <w:rsid w:val="595D528E"/>
    <w:rsid w:val="59762B09"/>
    <w:rsid w:val="59957DD4"/>
    <w:rsid w:val="59971765"/>
    <w:rsid w:val="59B727C1"/>
    <w:rsid w:val="59D2227A"/>
    <w:rsid w:val="59E7186C"/>
    <w:rsid w:val="59E71BF9"/>
    <w:rsid w:val="59EE7163"/>
    <w:rsid w:val="5A1B6D85"/>
    <w:rsid w:val="5A237CD9"/>
    <w:rsid w:val="5A304125"/>
    <w:rsid w:val="5A361784"/>
    <w:rsid w:val="5A532948"/>
    <w:rsid w:val="5A682D21"/>
    <w:rsid w:val="5A766F91"/>
    <w:rsid w:val="5A9613AC"/>
    <w:rsid w:val="5A977036"/>
    <w:rsid w:val="5B1A2BF9"/>
    <w:rsid w:val="5B8C3D78"/>
    <w:rsid w:val="5B8D7FB3"/>
    <w:rsid w:val="5B9C4226"/>
    <w:rsid w:val="5BA24D37"/>
    <w:rsid w:val="5BD216C1"/>
    <w:rsid w:val="5BE44340"/>
    <w:rsid w:val="5BE4771A"/>
    <w:rsid w:val="5C0A6FAD"/>
    <w:rsid w:val="5C1D5D27"/>
    <w:rsid w:val="5C313AEE"/>
    <w:rsid w:val="5C4146B0"/>
    <w:rsid w:val="5C77674B"/>
    <w:rsid w:val="5C834FF1"/>
    <w:rsid w:val="5C9746DB"/>
    <w:rsid w:val="5CA95F5B"/>
    <w:rsid w:val="5CB57E4C"/>
    <w:rsid w:val="5CEC68D2"/>
    <w:rsid w:val="5CFC4510"/>
    <w:rsid w:val="5D051A29"/>
    <w:rsid w:val="5D090B0B"/>
    <w:rsid w:val="5D1453A4"/>
    <w:rsid w:val="5D252C50"/>
    <w:rsid w:val="5D291D4F"/>
    <w:rsid w:val="5D3659CB"/>
    <w:rsid w:val="5D5E3F06"/>
    <w:rsid w:val="5D602E75"/>
    <w:rsid w:val="5D751F21"/>
    <w:rsid w:val="5D9928C3"/>
    <w:rsid w:val="5DA355E7"/>
    <w:rsid w:val="5DA60977"/>
    <w:rsid w:val="5DA65338"/>
    <w:rsid w:val="5DAA3BEF"/>
    <w:rsid w:val="5DB16CF4"/>
    <w:rsid w:val="5DC67011"/>
    <w:rsid w:val="5DCA70E4"/>
    <w:rsid w:val="5DDF1BDD"/>
    <w:rsid w:val="5DEC554B"/>
    <w:rsid w:val="5DED0D25"/>
    <w:rsid w:val="5E050F5E"/>
    <w:rsid w:val="5E217BCB"/>
    <w:rsid w:val="5E220E88"/>
    <w:rsid w:val="5E25711C"/>
    <w:rsid w:val="5E31774D"/>
    <w:rsid w:val="5E4E3EDE"/>
    <w:rsid w:val="5E6D7F82"/>
    <w:rsid w:val="5E79190D"/>
    <w:rsid w:val="5E8A75F3"/>
    <w:rsid w:val="5EAB39E6"/>
    <w:rsid w:val="5EB870C8"/>
    <w:rsid w:val="5EB94800"/>
    <w:rsid w:val="5EBC3CC4"/>
    <w:rsid w:val="5EBF2452"/>
    <w:rsid w:val="5EC42505"/>
    <w:rsid w:val="5F192067"/>
    <w:rsid w:val="5F244C40"/>
    <w:rsid w:val="5F623077"/>
    <w:rsid w:val="5F6A69C1"/>
    <w:rsid w:val="5FA35152"/>
    <w:rsid w:val="5FA5010A"/>
    <w:rsid w:val="5FA53173"/>
    <w:rsid w:val="5FC85129"/>
    <w:rsid w:val="6029607E"/>
    <w:rsid w:val="602A1F40"/>
    <w:rsid w:val="602A41B2"/>
    <w:rsid w:val="60603D20"/>
    <w:rsid w:val="607A07E6"/>
    <w:rsid w:val="60880F10"/>
    <w:rsid w:val="609107A8"/>
    <w:rsid w:val="60A65527"/>
    <w:rsid w:val="60A852F3"/>
    <w:rsid w:val="60BE2569"/>
    <w:rsid w:val="60CE5F1F"/>
    <w:rsid w:val="60CF0929"/>
    <w:rsid w:val="60D460E0"/>
    <w:rsid w:val="610B1A79"/>
    <w:rsid w:val="61153060"/>
    <w:rsid w:val="613771B4"/>
    <w:rsid w:val="613773EC"/>
    <w:rsid w:val="616E0440"/>
    <w:rsid w:val="618729B3"/>
    <w:rsid w:val="61A23989"/>
    <w:rsid w:val="61C20DFB"/>
    <w:rsid w:val="61D90AAC"/>
    <w:rsid w:val="61E02326"/>
    <w:rsid w:val="61F37A79"/>
    <w:rsid w:val="61FC3E67"/>
    <w:rsid w:val="621706B7"/>
    <w:rsid w:val="623A5DCC"/>
    <w:rsid w:val="626D5095"/>
    <w:rsid w:val="62976CEA"/>
    <w:rsid w:val="62B9572E"/>
    <w:rsid w:val="62C96829"/>
    <w:rsid w:val="63001A1D"/>
    <w:rsid w:val="630D5E93"/>
    <w:rsid w:val="6310179E"/>
    <w:rsid w:val="631525B3"/>
    <w:rsid w:val="63341F26"/>
    <w:rsid w:val="636D2565"/>
    <w:rsid w:val="636F461D"/>
    <w:rsid w:val="63865DFD"/>
    <w:rsid w:val="63887DA2"/>
    <w:rsid w:val="63B23FE0"/>
    <w:rsid w:val="63D70651"/>
    <w:rsid w:val="63E94C33"/>
    <w:rsid w:val="640B6616"/>
    <w:rsid w:val="64150F24"/>
    <w:rsid w:val="64174663"/>
    <w:rsid w:val="642A2A01"/>
    <w:rsid w:val="642E6F16"/>
    <w:rsid w:val="64307C51"/>
    <w:rsid w:val="64344912"/>
    <w:rsid w:val="643F53BA"/>
    <w:rsid w:val="64481951"/>
    <w:rsid w:val="64517D3B"/>
    <w:rsid w:val="645A7F03"/>
    <w:rsid w:val="647255A8"/>
    <w:rsid w:val="647E503E"/>
    <w:rsid w:val="64816D58"/>
    <w:rsid w:val="64857565"/>
    <w:rsid w:val="64892A82"/>
    <w:rsid w:val="64911A6E"/>
    <w:rsid w:val="649B244D"/>
    <w:rsid w:val="64A16919"/>
    <w:rsid w:val="64A926F7"/>
    <w:rsid w:val="64BB6222"/>
    <w:rsid w:val="64C91352"/>
    <w:rsid w:val="64EA13EF"/>
    <w:rsid w:val="64F02D85"/>
    <w:rsid w:val="65011B7A"/>
    <w:rsid w:val="65177F25"/>
    <w:rsid w:val="653C11ED"/>
    <w:rsid w:val="65493961"/>
    <w:rsid w:val="654A6C32"/>
    <w:rsid w:val="655E4E86"/>
    <w:rsid w:val="65651F3C"/>
    <w:rsid w:val="658C4253"/>
    <w:rsid w:val="65AA1050"/>
    <w:rsid w:val="65E971E8"/>
    <w:rsid w:val="6616538D"/>
    <w:rsid w:val="662B6BF7"/>
    <w:rsid w:val="663C43E2"/>
    <w:rsid w:val="66533244"/>
    <w:rsid w:val="66696323"/>
    <w:rsid w:val="6671359E"/>
    <w:rsid w:val="66940C67"/>
    <w:rsid w:val="669876C5"/>
    <w:rsid w:val="66A3430B"/>
    <w:rsid w:val="66A77CA1"/>
    <w:rsid w:val="66AC15E6"/>
    <w:rsid w:val="66B122C4"/>
    <w:rsid w:val="66D12C3D"/>
    <w:rsid w:val="66E76D3D"/>
    <w:rsid w:val="670D662E"/>
    <w:rsid w:val="67177CE5"/>
    <w:rsid w:val="672635D4"/>
    <w:rsid w:val="672B706A"/>
    <w:rsid w:val="67430B7A"/>
    <w:rsid w:val="674C21F2"/>
    <w:rsid w:val="675D0DB4"/>
    <w:rsid w:val="67934A94"/>
    <w:rsid w:val="67AE2107"/>
    <w:rsid w:val="67EA3D06"/>
    <w:rsid w:val="67F20BDD"/>
    <w:rsid w:val="67FB5813"/>
    <w:rsid w:val="68583127"/>
    <w:rsid w:val="687040B7"/>
    <w:rsid w:val="687431FB"/>
    <w:rsid w:val="687B41B9"/>
    <w:rsid w:val="688F24AB"/>
    <w:rsid w:val="689979F5"/>
    <w:rsid w:val="689A452C"/>
    <w:rsid w:val="68A9474F"/>
    <w:rsid w:val="68AE186A"/>
    <w:rsid w:val="68B74D11"/>
    <w:rsid w:val="68C3653B"/>
    <w:rsid w:val="68C5359F"/>
    <w:rsid w:val="68C54787"/>
    <w:rsid w:val="68CD042F"/>
    <w:rsid w:val="68D60CC6"/>
    <w:rsid w:val="68D70602"/>
    <w:rsid w:val="68E926BE"/>
    <w:rsid w:val="68F11688"/>
    <w:rsid w:val="68FC67A8"/>
    <w:rsid w:val="693B3C8A"/>
    <w:rsid w:val="694355EA"/>
    <w:rsid w:val="69497524"/>
    <w:rsid w:val="69712C89"/>
    <w:rsid w:val="69776940"/>
    <w:rsid w:val="699326AF"/>
    <w:rsid w:val="699D240D"/>
    <w:rsid w:val="69A22A9C"/>
    <w:rsid w:val="69C331D6"/>
    <w:rsid w:val="69D21E1B"/>
    <w:rsid w:val="69DC6F5A"/>
    <w:rsid w:val="69E80119"/>
    <w:rsid w:val="6A14130B"/>
    <w:rsid w:val="6A180829"/>
    <w:rsid w:val="6A236CD8"/>
    <w:rsid w:val="6A5B3E40"/>
    <w:rsid w:val="6A616154"/>
    <w:rsid w:val="6A711C5B"/>
    <w:rsid w:val="6A7379C8"/>
    <w:rsid w:val="6AA60CA4"/>
    <w:rsid w:val="6AAF6EE8"/>
    <w:rsid w:val="6ABB791A"/>
    <w:rsid w:val="6ADE5902"/>
    <w:rsid w:val="6ADF42C5"/>
    <w:rsid w:val="6AE42A25"/>
    <w:rsid w:val="6B2B371E"/>
    <w:rsid w:val="6B3D2DAC"/>
    <w:rsid w:val="6B4D3B49"/>
    <w:rsid w:val="6B513A9E"/>
    <w:rsid w:val="6B782140"/>
    <w:rsid w:val="6B794801"/>
    <w:rsid w:val="6B8C7A13"/>
    <w:rsid w:val="6B90087A"/>
    <w:rsid w:val="6BB729A4"/>
    <w:rsid w:val="6BC02D53"/>
    <w:rsid w:val="6BCD7D78"/>
    <w:rsid w:val="6BDA0029"/>
    <w:rsid w:val="6BDB07CC"/>
    <w:rsid w:val="6BED0085"/>
    <w:rsid w:val="6BF15788"/>
    <w:rsid w:val="6C147FF5"/>
    <w:rsid w:val="6C235125"/>
    <w:rsid w:val="6C430ED6"/>
    <w:rsid w:val="6C500A96"/>
    <w:rsid w:val="6C7233FC"/>
    <w:rsid w:val="6C797538"/>
    <w:rsid w:val="6C8E3275"/>
    <w:rsid w:val="6CB262D1"/>
    <w:rsid w:val="6CD01A90"/>
    <w:rsid w:val="6CD234FE"/>
    <w:rsid w:val="6D1F0F40"/>
    <w:rsid w:val="6D236028"/>
    <w:rsid w:val="6D3204A2"/>
    <w:rsid w:val="6D3E1997"/>
    <w:rsid w:val="6D580AF2"/>
    <w:rsid w:val="6D7D1B0B"/>
    <w:rsid w:val="6D7D4EC9"/>
    <w:rsid w:val="6D8145E5"/>
    <w:rsid w:val="6DAE5FD8"/>
    <w:rsid w:val="6DBF6FE9"/>
    <w:rsid w:val="6DD7370E"/>
    <w:rsid w:val="6DE71D4A"/>
    <w:rsid w:val="6DF84117"/>
    <w:rsid w:val="6E2B1FD1"/>
    <w:rsid w:val="6E2D2F99"/>
    <w:rsid w:val="6E34350A"/>
    <w:rsid w:val="6E7C1ABE"/>
    <w:rsid w:val="6EB04308"/>
    <w:rsid w:val="6EB816BF"/>
    <w:rsid w:val="6EBB6834"/>
    <w:rsid w:val="6EBF47E6"/>
    <w:rsid w:val="6EC91DE1"/>
    <w:rsid w:val="6EFD62AC"/>
    <w:rsid w:val="6F01708D"/>
    <w:rsid w:val="6F0B2A24"/>
    <w:rsid w:val="6F2474E3"/>
    <w:rsid w:val="6F345121"/>
    <w:rsid w:val="6F437C73"/>
    <w:rsid w:val="6F4D159A"/>
    <w:rsid w:val="6F6D3BCC"/>
    <w:rsid w:val="6FAF10B5"/>
    <w:rsid w:val="6FCA6D60"/>
    <w:rsid w:val="6FE86F3D"/>
    <w:rsid w:val="700C358F"/>
    <w:rsid w:val="700D0EC4"/>
    <w:rsid w:val="701A7979"/>
    <w:rsid w:val="702402DA"/>
    <w:rsid w:val="70617F31"/>
    <w:rsid w:val="706A354E"/>
    <w:rsid w:val="70841F51"/>
    <w:rsid w:val="708423EF"/>
    <w:rsid w:val="70A67150"/>
    <w:rsid w:val="70AB3B50"/>
    <w:rsid w:val="70CF2C6F"/>
    <w:rsid w:val="70D2245F"/>
    <w:rsid w:val="70E77841"/>
    <w:rsid w:val="70F43AB4"/>
    <w:rsid w:val="71070CA6"/>
    <w:rsid w:val="71190AA0"/>
    <w:rsid w:val="712D43E6"/>
    <w:rsid w:val="71416167"/>
    <w:rsid w:val="715C2AFE"/>
    <w:rsid w:val="71630796"/>
    <w:rsid w:val="717F5A62"/>
    <w:rsid w:val="71964DD9"/>
    <w:rsid w:val="71B950BF"/>
    <w:rsid w:val="71DC3EDC"/>
    <w:rsid w:val="71E10055"/>
    <w:rsid w:val="71E340D5"/>
    <w:rsid w:val="71EC4E43"/>
    <w:rsid w:val="71F134F3"/>
    <w:rsid w:val="72003B70"/>
    <w:rsid w:val="72130E85"/>
    <w:rsid w:val="72160905"/>
    <w:rsid w:val="721A7EF5"/>
    <w:rsid w:val="72223B6B"/>
    <w:rsid w:val="726523EC"/>
    <w:rsid w:val="726F7EBD"/>
    <w:rsid w:val="72735112"/>
    <w:rsid w:val="729E165D"/>
    <w:rsid w:val="72A33FCB"/>
    <w:rsid w:val="72D12C17"/>
    <w:rsid w:val="72DB7B2C"/>
    <w:rsid w:val="73062D90"/>
    <w:rsid w:val="73113C1D"/>
    <w:rsid w:val="731B4AFB"/>
    <w:rsid w:val="73316590"/>
    <w:rsid w:val="733612F8"/>
    <w:rsid w:val="73390CB1"/>
    <w:rsid w:val="7346509C"/>
    <w:rsid w:val="736B64D9"/>
    <w:rsid w:val="736C36CE"/>
    <w:rsid w:val="736D088E"/>
    <w:rsid w:val="737173BA"/>
    <w:rsid w:val="73860B27"/>
    <w:rsid w:val="739E642C"/>
    <w:rsid w:val="73A173F9"/>
    <w:rsid w:val="73AC43DC"/>
    <w:rsid w:val="73C23BDB"/>
    <w:rsid w:val="73D22AE9"/>
    <w:rsid w:val="73F61DEA"/>
    <w:rsid w:val="74531BA5"/>
    <w:rsid w:val="74540491"/>
    <w:rsid w:val="747D76DB"/>
    <w:rsid w:val="74873846"/>
    <w:rsid w:val="74893364"/>
    <w:rsid w:val="748B05B8"/>
    <w:rsid w:val="748D15BB"/>
    <w:rsid w:val="749E5641"/>
    <w:rsid w:val="74A05F6D"/>
    <w:rsid w:val="74A3335D"/>
    <w:rsid w:val="74AB6D92"/>
    <w:rsid w:val="74CE057A"/>
    <w:rsid w:val="74D458A1"/>
    <w:rsid w:val="75071663"/>
    <w:rsid w:val="75084183"/>
    <w:rsid w:val="7512430F"/>
    <w:rsid w:val="75290951"/>
    <w:rsid w:val="75444685"/>
    <w:rsid w:val="75596BC1"/>
    <w:rsid w:val="757914AA"/>
    <w:rsid w:val="757C1089"/>
    <w:rsid w:val="75893ECC"/>
    <w:rsid w:val="75C71F65"/>
    <w:rsid w:val="75CC4560"/>
    <w:rsid w:val="75DA5413"/>
    <w:rsid w:val="75F358B8"/>
    <w:rsid w:val="75FC1265"/>
    <w:rsid w:val="764C43BE"/>
    <w:rsid w:val="765E4728"/>
    <w:rsid w:val="76681B02"/>
    <w:rsid w:val="76806F33"/>
    <w:rsid w:val="76860F35"/>
    <w:rsid w:val="768E7476"/>
    <w:rsid w:val="76AA651F"/>
    <w:rsid w:val="76B86E8E"/>
    <w:rsid w:val="76B93BFC"/>
    <w:rsid w:val="76BD687A"/>
    <w:rsid w:val="76C31104"/>
    <w:rsid w:val="76D55405"/>
    <w:rsid w:val="76F20715"/>
    <w:rsid w:val="77540978"/>
    <w:rsid w:val="77654659"/>
    <w:rsid w:val="7769127B"/>
    <w:rsid w:val="778128A8"/>
    <w:rsid w:val="778565DB"/>
    <w:rsid w:val="77AF5214"/>
    <w:rsid w:val="77CE6CB8"/>
    <w:rsid w:val="77DD48BB"/>
    <w:rsid w:val="77EA44F0"/>
    <w:rsid w:val="77EE03FF"/>
    <w:rsid w:val="77F11DEA"/>
    <w:rsid w:val="77F85B15"/>
    <w:rsid w:val="77FA6F79"/>
    <w:rsid w:val="77FC4568"/>
    <w:rsid w:val="7819395D"/>
    <w:rsid w:val="781C4C0B"/>
    <w:rsid w:val="7871006B"/>
    <w:rsid w:val="787D48F9"/>
    <w:rsid w:val="78814B82"/>
    <w:rsid w:val="78AD10DF"/>
    <w:rsid w:val="78B954BA"/>
    <w:rsid w:val="78C015D6"/>
    <w:rsid w:val="78D10969"/>
    <w:rsid w:val="78D23081"/>
    <w:rsid w:val="78F04C75"/>
    <w:rsid w:val="78F8349A"/>
    <w:rsid w:val="79205F32"/>
    <w:rsid w:val="79240D01"/>
    <w:rsid w:val="793D580D"/>
    <w:rsid w:val="79975578"/>
    <w:rsid w:val="799C64A3"/>
    <w:rsid w:val="79A237A9"/>
    <w:rsid w:val="79C6796A"/>
    <w:rsid w:val="79CC06D0"/>
    <w:rsid w:val="79D91279"/>
    <w:rsid w:val="79ED1010"/>
    <w:rsid w:val="7A0B21C1"/>
    <w:rsid w:val="7A2A69F1"/>
    <w:rsid w:val="7A2F06AE"/>
    <w:rsid w:val="7A5A45D8"/>
    <w:rsid w:val="7A86045A"/>
    <w:rsid w:val="7AAD2279"/>
    <w:rsid w:val="7AB868CC"/>
    <w:rsid w:val="7ABC15EE"/>
    <w:rsid w:val="7AC64E1F"/>
    <w:rsid w:val="7AC9097B"/>
    <w:rsid w:val="7AF072A8"/>
    <w:rsid w:val="7AFB3EAE"/>
    <w:rsid w:val="7B064284"/>
    <w:rsid w:val="7B185CEE"/>
    <w:rsid w:val="7B2728D3"/>
    <w:rsid w:val="7B386F7B"/>
    <w:rsid w:val="7B3E36EB"/>
    <w:rsid w:val="7B477F3C"/>
    <w:rsid w:val="7B4B2702"/>
    <w:rsid w:val="7B6B623C"/>
    <w:rsid w:val="7B881B0A"/>
    <w:rsid w:val="7B977A59"/>
    <w:rsid w:val="7BBE09DC"/>
    <w:rsid w:val="7BC25941"/>
    <w:rsid w:val="7BEC3ECF"/>
    <w:rsid w:val="7C181D7E"/>
    <w:rsid w:val="7C315A07"/>
    <w:rsid w:val="7C3176C0"/>
    <w:rsid w:val="7C4A2C4B"/>
    <w:rsid w:val="7C4D6537"/>
    <w:rsid w:val="7C586146"/>
    <w:rsid w:val="7C970C87"/>
    <w:rsid w:val="7CB4382D"/>
    <w:rsid w:val="7CC77FAB"/>
    <w:rsid w:val="7CDF163B"/>
    <w:rsid w:val="7CE7075A"/>
    <w:rsid w:val="7D0C57D6"/>
    <w:rsid w:val="7D0E0EF2"/>
    <w:rsid w:val="7D142945"/>
    <w:rsid w:val="7D3061A4"/>
    <w:rsid w:val="7D492C8B"/>
    <w:rsid w:val="7D7521C8"/>
    <w:rsid w:val="7D800585"/>
    <w:rsid w:val="7D9125B5"/>
    <w:rsid w:val="7D9515E0"/>
    <w:rsid w:val="7D9615AC"/>
    <w:rsid w:val="7D967CDC"/>
    <w:rsid w:val="7DDE1B0F"/>
    <w:rsid w:val="7DF47A29"/>
    <w:rsid w:val="7E030438"/>
    <w:rsid w:val="7E2D1577"/>
    <w:rsid w:val="7E3445D2"/>
    <w:rsid w:val="7E385394"/>
    <w:rsid w:val="7E3A165C"/>
    <w:rsid w:val="7E3E574C"/>
    <w:rsid w:val="7E763DC1"/>
    <w:rsid w:val="7EA50950"/>
    <w:rsid w:val="7EA540E2"/>
    <w:rsid w:val="7EB82AE9"/>
    <w:rsid w:val="7ECD2F92"/>
    <w:rsid w:val="7EED764A"/>
    <w:rsid w:val="7F1141F7"/>
    <w:rsid w:val="7F2832B6"/>
    <w:rsid w:val="7F2F1770"/>
    <w:rsid w:val="7F492A45"/>
    <w:rsid w:val="7F4E75D8"/>
    <w:rsid w:val="7F64524A"/>
    <w:rsid w:val="7F674224"/>
    <w:rsid w:val="7F8F0987"/>
    <w:rsid w:val="7FD834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footer"/>
    <w:basedOn w:val="1"/>
    <w:link w:val="15"/>
    <w:qFormat/>
    <w:uiPriority w:val="0"/>
    <w:pPr>
      <w:tabs>
        <w:tab w:val="center" w:pos="4153"/>
        <w:tab w:val="right" w:pos="8306"/>
      </w:tabs>
      <w:snapToGrid w:val="0"/>
      <w:jc w:val="left"/>
    </w:pPr>
    <w:rPr>
      <w:sz w:val="18"/>
      <w:szCs w:val="18"/>
    </w:rPr>
  </w:style>
  <w:style w:type="paragraph" w:styleId="4">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5">
    <w:name w:val="annotation subject"/>
    <w:basedOn w:val="2"/>
    <w:next w:val="2"/>
    <w:link w:val="12"/>
    <w:qFormat/>
    <w:uiPriority w:val="0"/>
    <w:rPr>
      <w:b/>
      <w:bCs/>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character" w:styleId="10">
    <w:name w:val="annotation reference"/>
    <w:basedOn w:val="8"/>
    <w:qFormat/>
    <w:uiPriority w:val="0"/>
    <w:rPr>
      <w:sz w:val="21"/>
      <w:szCs w:val="21"/>
    </w:rPr>
  </w:style>
  <w:style w:type="character" w:customStyle="1" w:styleId="11">
    <w:name w:val="批注文字 字符"/>
    <w:basedOn w:val="8"/>
    <w:link w:val="2"/>
    <w:qFormat/>
    <w:uiPriority w:val="0"/>
    <w:rPr>
      <w:rFonts w:asciiTheme="minorHAnsi" w:hAnsiTheme="minorHAnsi" w:eastAsiaTheme="minorEastAsia" w:cstheme="minorBidi"/>
      <w:kern w:val="2"/>
      <w:sz w:val="21"/>
      <w:szCs w:val="24"/>
    </w:rPr>
  </w:style>
  <w:style w:type="character" w:customStyle="1" w:styleId="12">
    <w:name w:val="批注主题 字符"/>
    <w:basedOn w:val="11"/>
    <w:link w:val="5"/>
    <w:qFormat/>
    <w:uiPriority w:val="0"/>
    <w:rPr>
      <w:rFonts w:asciiTheme="minorHAnsi" w:hAnsiTheme="minorHAnsi" w:eastAsiaTheme="minorEastAsia" w:cstheme="minorBidi"/>
      <w:b/>
      <w:bCs/>
      <w:kern w:val="2"/>
      <w:sz w:val="21"/>
      <w:szCs w:val="24"/>
    </w:rPr>
  </w:style>
  <w:style w:type="paragraph" w:styleId="13">
    <w:name w:val="List Paragraph"/>
    <w:basedOn w:val="1"/>
    <w:qFormat/>
    <w:uiPriority w:val="99"/>
    <w:pPr>
      <w:ind w:firstLine="420" w:firstLineChars="200"/>
    </w:pPr>
  </w:style>
  <w:style w:type="character" w:customStyle="1" w:styleId="14">
    <w:name w:val="页眉 字符"/>
    <w:basedOn w:val="8"/>
    <w:link w:val="4"/>
    <w:qFormat/>
    <w:uiPriority w:val="0"/>
    <w:rPr>
      <w:rFonts w:asciiTheme="minorHAnsi" w:hAnsiTheme="minorHAnsi" w:eastAsiaTheme="minorEastAsia" w:cstheme="minorBidi"/>
      <w:kern w:val="2"/>
      <w:sz w:val="18"/>
      <w:szCs w:val="18"/>
    </w:rPr>
  </w:style>
  <w:style w:type="character" w:customStyle="1" w:styleId="15">
    <w:name w:val="页脚 字符"/>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89</Words>
  <Characters>403</Characters>
  <Lines>294</Lines>
  <Paragraphs>82</Paragraphs>
  <TotalTime>32</TotalTime>
  <ScaleCrop>false</ScaleCrop>
  <LinksUpToDate>false</LinksUpToDate>
  <CharactersWithSpaces>437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2021-08-04T12:15:00Z</dcterms:created>
  <dc:creator>lenovo</dc:creator>
  <cp:lastModifiedBy>小火柴</cp:lastModifiedBy>
  <dcterms:modified xsi:type="dcterms:W3CDTF">2023-03-26T08:40:02Z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DC65C42D55FB4F4185A4E5D1FF830D5A</vt:lpwstr>
  </property>
  <property fmtid="{D5CDD505-2E9C-101B-9397-08002B2CF9AE}" pid="4" name="commondata">
    <vt:lpwstr>eyJoZGlkIjoiOWJiOTZlYzJiZTI4NGY2MzJiYTE0OTcwMmRiNjI1ZDEifQ==</vt:lpwstr>
  </property>
</Properties>
</file>