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34E" w:rsidRPr="00FB00DC" w:rsidRDefault="0000000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 Figure Legends</w:t>
      </w:r>
    </w:p>
    <w:p w:rsidR="0005134E" w:rsidRPr="00FB00DC" w:rsidRDefault="00000000">
      <w:pPr>
        <w:pStyle w:val="a8"/>
        <w:rPr>
          <w:rFonts w:ascii="Times New Roman" w:hAnsi="Times New Roman" w:cs="Times New Roman"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</w:rPr>
        <w:t>Table S1</w:t>
      </w:r>
      <w:r w:rsidRPr="00FB00DC">
        <w:rPr>
          <w:rFonts w:ascii="Times New Roman" w:hAnsi="Times New Roman" w:cs="Times New Roman"/>
          <w:b/>
          <w:bCs/>
          <w:color w:val="000000" w:themeColor="text1"/>
        </w:rPr>
        <w:t>：</w:t>
      </w:r>
      <w:r w:rsidRPr="00FB00DC">
        <w:rPr>
          <w:rFonts w:ascii="Times New Roman" w:hAnsi="Times New Roman" w:cs="Times New Roman"/>
          <w:b/>
          <w:bCs/>
          <w:color w:val="000000" w:themeColor="text1"/>
        </w:rPr>
        <w:t>Clinical information of local data</w:t>
      </w:r>
    </w:p>
    <w:tbl>
      <w:tblPr>
        <w:tblpPr w:leftFromText="180" w:rightFromText="180" w:vertAnchor="text" w:horzAnchor="page" w:tblpX="1881" w:tblpY="468"/>
        <w:tblOverlap w:val="never"/>
        <w:tblW w:w="8313" w:type="dxa"/>
        <w:tblLayout w:type="fixed"/>
        <w:tblLook w:val="04A0" w:firstRow="1" w:lastRow="0" w:firstColumn="1" w:lastColumn="0" w:noHBand="0" w:noVBand="1"/>
      </w:tblPr>
      <w:tblGrid>
        <w:gridCol w:w="813"/>
        <w:gridCol w:w="487"/>
        <w:gridCol w:w="758"/>
        <w:gridCol w:w="787"/>
        <w:gridCol w:w="413"/>
        <w:gridCol w:w="360"/>
        <w:gridCol w:w="427"/>
        <w:gridCol w:w="653"/>
        <w:gridCol w:w="682"/>
        <w:gridCol w:w="608"/>
        <w:gridCol w:w="780"/>
        <w:gridCol w:w="1545"/>
      </w:tblGrid>
      <w:tr w:rsidR="00FB00DC" w:rsidRPr="00FB00DC">
        <w:trPr>
          <w:trHeight w:val="293"/>
        </w:trPr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ID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Age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Sex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Smoking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M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Stage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nil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Status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666666"/>
              <w:bottom w:val="single" w:sz="12" w:space="0" w:color="666666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days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12" w:space="0" w:color="666666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Surgery</w:t>
            </w:r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Post-operative treatment</w:t>
            </w:r>
          </w:p>
        </w:tc>
      </w:tr>
      <w:tr w:rsidR="00FB00DC" w:rsidRPr="00FB00DC">
        <w:trPr>
          <w:trHeight w:val="293"/>
        </w:trPr>
        <w:tc>
          <w:tcPr>
            <w:tcW w:w="813" w:type="dxa"/>
            <w:tcBorders>
              <w:top w:val="single" w:sz="8" w:space="0" w:color="666666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P428785</w:t>
            </w:r>
          </w:p>
        </w:tc>
        <w:tc>
          <w:tcPr>
            <w:tcW w:w="487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758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single" w:sz="8" w:space="0" w:color="666666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1665</w:t>
            </w:r>
          </w:p>
        </w:tc>
        <w:tc>
          <w:tcPr>
            <w:tcW w:w="7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(IEP)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P433364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3027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P434465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2217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(TP)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P439398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2951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(Unknown)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P440680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3273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P441448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2886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P445971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656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P450286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251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P460095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365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P461632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P462236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789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P462696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495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P466839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356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P468720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612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P470298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443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(Unknown)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P472257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317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P475716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1055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P476001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1405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P476512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2724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P481433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382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P496235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320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P501599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1281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P502262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IV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801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P503321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1566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P503325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287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P510123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521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P511915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2083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P526443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1044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P527622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1882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P528065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IV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263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P529039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313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P530825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295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P534673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395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P538110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1561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lastRenderedPageBreak/>
              <w:t>P541687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821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P547393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331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P558674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1683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P573341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1524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P573885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1298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Radiotherapy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P581639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1150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P590387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1297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P594699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872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P596385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1291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P601078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1242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P602449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991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(Unknown)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P610023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1160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P617679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994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P625511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1013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(TC)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P643252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773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P649680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P656602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753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P664781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alive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362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</w:t>
            </w:r>
          </w:p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(Unknown)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P673233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627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P685209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551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P705910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382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P715285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295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Radiotherapy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P724807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Female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780" w:type="dxa"/>
            <w:tcBorders>
              <w:top w:val="nil"/>
              <w:left w:val="single" w:sz="8" w:space="0" w:color="666666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666666"/>
              <w:right w:val="single" w:sz="12" w:space="0" w:color="auto"/>
            </w:tcBorders>
            <w:shd w:val="clear" w:color="000000" w:fill="CCCCCC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Chemotherapy (EP)</w:t>
            </w:r>
          </w:p>
        </w:tc>
      </w:tr>
      <w:tr w:rsidR="00FB00DC" w:rsidRPr="00FB00DC">
        <w:trPr>
          <w:trHeight w:val="285"/>
        </w:trPr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P735897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Male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No</w:t>
            </w: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III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12" w:space="0" w:color="auto"/>
              <w:right w:val="single" w:sz="8" w:space="0" w:color="666666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death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5134E" w:rsidRPr="00FB00DC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16"/>
                <w:szCs w:val="16"/>
              </w:rPr>
            </w:pPr>
            <w:r w:rsidRPr="00FB00DC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  <w:lang w:bidi="ar"/>
              </w:rPr>
              <w:t>Unknown</w:t>
            </w:r>
          </w:p>
        </w:tc>
      </w:tr>
    </w:tbl>
    <w:p w:rsidR="0005134E" w:rsidRPr="00FB00DC" w:rsidRDefault="00000000">
      <w:pP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FB00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Abbreviations: IEP:</w:t>
      </w:r>
      <w:r w:rsidRPr="00FB00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B00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Isocyclophosphamide</w:t>
      </w:r>
      <w:proofErr w:type="spellEnd"/>
      <w:r w:rsidRPr="00FB00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Etoposide and Cisplatin; EP: Etoposide and Cisplatin; TC:</w:t>
      </w:r>
      <w:r w:rsidRPr="00FB00DC">
        <w:rPr>
          <w:rFonts w:ascii="Times New Roman" w:hAnsi="Times New Roman" w:cs="Times New Roman"/>
          <w:color w:val="000000" w:themeColor="text1"/>
        </w:rPr>
        <w:t xml:space="preserve"> </w:t>
      </w:r>
      <w:r w:rsidRPr="00FB00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Taxol and Carboplatin; TP: Taxol and Cisplatin.</w:t>
      </w:r>
    </w:p>
    <w:p w:rsidR="0005134E" w:rsidRPr="00FB00DC" w:rsidRDefault="0005134E">
      <w:pP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:rsidR="0005134E" w:rsidRPr="00FB00DC" w:rsidRDefault="0005134E">
      <w:pPr>
        <w:pStyle w:val="a8"/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:rsidR="0005134E" w:rsidRPr="00FB00DC" w:rsidRDefault="000000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Table S2. Primers for real-time PCR</w:t>
      </w:r>
    </w:p>
    <w:tbl>
      <w:tblPr>
        <w:tblStyle w:val="a7"/>
        <w:tblW w:w="8554" w:type="dxa"/>
        <w:tblLayout w:type="fixed"/>
        <w:tblLook w:val="04A0" w:firstRow="1" w:lastRow="0" w:firstColumn="1" w:lastColumn="0" w:noHBand="0" w:noVBand="1"/>
      </w:tblPr>
      <w:tblGrid>
        <w:gridCol w:w="1304"/>
        <w:gridCol w:w="3744"/>
        <w:gridCol w:w="3506"/>
      </w:tblGrid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mRNA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Forward primer (5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</w:t>
            </w: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-3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</w:t>
            </w: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Reverse primer (5'-3')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METTL3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AGCCTTCTGAACCAACAGTCC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CCGACCTCGAGAGCGAAAT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DCP2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TGAAGACCAGTTGCTAGAACATGC</w:t>
            </w:r>
          </w:p>
        </w:tc>
        <w:tc>
          <w:tcPr>
            <w:tcW w:w="3506" w:type="dxa"/>
            <w:vAlign w:val="center"/>
          </w:tcPr>
          <w:tbl>
            <w:tblPr>
              <w:tblStyle w:val="a7"/>
              <w:tblW w:w="874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45"/>
            </w:tblGrid>
            <w:tr w:rsidR="00FB00DC" w:rsidRPr="00FB00DC">
              <w:trPr>
                <w:trHeight w:val="962"/>
                <w:jc w:val="center"/>
              </w:trPr>
              <w:tc>
                <w:tcPr>
                  <w:tcW w:w="379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05134E" w:rsidRPr="00FB00DC" w:rsidRDefault="00000000">
                  <w:pPr>
                    <w:pStyle w:val="a8"/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</w:pPr>
                  <w:r w:rsidRPr="00FB00DC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GTCCAAGATTTTCATTATAGCATTATGGT</w:t>
                  </w:r>
                </w:p>
              </w:tc>
            </w:tr>
          </w:tbl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DCP2-m6A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AATGCTATAATGAAAATCTTGGACC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CACCCACTCAAATTCAACAGG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KPNB1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CCACTTTCCTTGTGGAACTGT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CTCTGCTGATATTGTGCCTTGA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DAAM1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GGTGGACGAGGTATTTCATTCAT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TCGCAGCCGATACGTGATTTC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Pink1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GCCTCATCGAGGAAAAACAGG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GTCTCGTGTCCAACGGGTC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Parkin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GTGTTTGTCAGGTTCAACTCCA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AAAATCACACGCAACTGGTC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BNIP3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CAGGGCTCCTGGGTAGAACT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CTACTCCGTCCAGACTCATGC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BNIP3L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ATGTCGTCCCACCTAGTCGAG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TGAGGATGGTACGTGTTCCAG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PHB2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GTGCGCGAATCTGTGTTCAC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GATAATGGGGTACTGGAACCAAG</w:t>
            </w:r>
          </w:p>
        </w:tc>
      </w:tr>
      <w:tr w:rsidR="00FB00DC" w:rsidRPr="00FB00DC">
        <w:trPr>
          <w:trHeight w:val="567"/>
        </w:trPr>
        <w:tc>
          <w:tcPr>
            <w:tcW w:w="130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GAPDH</w:t>
            </w:r>
          </w:p>
        </w:tc>
        <w:tc>
          <w:tcPr>
            <w:tcW w:w="3744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CAATGACCCCTTCATTGACC</w:t>
            </w:r>
          </w:p>
        </w:tc>
        <w:tc>
          <w:tcPr>
            <w:tcW w:w="3506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GACAAGCTTCCCGTTCTCAG</w:t>
            </w:r>
          </w:p>
        </w:tc>
      </w:tr>
    </w:tbl>
    <w:p w:rsidR="0005134E" w:rsidRPr="00FB00DC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:rsidR="0005134E" w:rsidRPr="00FB00DC" w:rsidRDefault="000000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Table S3. Antibody Information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28"/>
        <w:gridCol w:w="2850"/>
        <w:gridCol w:w="3242"/>
      </w:tblGrid>
      <w:tr w:rsidR="00FB00DC" w:rsidRPr="00FB00DC">
        <w:trPr>
          <w:trHeight w:val="59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Antibodies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SOURCE 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Catalog Number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METTL3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ab195352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PARP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Cell Signaling Technology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9532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BCL-2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Cat#:60178-1-ig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BAX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Cat#:50599-2-Ig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GAPDH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Bioworld</w:t>
            </w:r>
            <w:proofErr w:type="spellEnd"/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ap0063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DCP2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ab127185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Pink1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23274-1-ap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Parkin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Cat#:14060-1-ap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P62 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Cell Signaling Technology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88588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LC3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Cell Signaling Technology</w:t>
            </w: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83506</w:t>
            </w: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Goat Anti-Rabbit IgG </w:t>
            </w:r>
          </w:p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antibody (HRP)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Abcam </w:t>
            </w:r>
          </w:p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ab205718</w:t>
            </w:r>
          </w:p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FB00DC" w:rsidRPr="00FB00DC">
        <w:trPr>
          <w:trHeight w:val="567"/>
        </w:trPr>
        <w:tc>
          <w:tcPr>
            <w:tcW w:w="242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Goat Anti-Mouse IgG </w:t>
            </w:r>
          </w:p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antibody (HRP) </w:t>
            </w:r>
          </w:p>
        </w:tc>
        <w:tc>
          <w:tcPr>
            <w:tcW w:w="285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Abcam </w:t>
            </w:r>
          </w:p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24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Cat#: ab97240</w:t>
            </w:r>
          </w:p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</w:tbl>
    <w:p w:rsidR="0005134E" w:rsidRPr="00FB00DC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:rsidR="0005134E" w:rsidRPr="00FB00DC" w:rsidRDefault="000000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Table S4. Sequences of shRNA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7"/>
        <w:gridCol w:w="6885"/>
      </w:tblGrid>
      <w:tr w:rsidR="00FB00DC" w:rsidRPr="00FB00DC">
        <w:trPr>
          <w:trHeight w:val="567"/>
        </w:trPr>
        <w:tc>
          <w:tcPr>
            <w:tcW w:w="1637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shRNA</w:t>
            </w:r>
          </w:p>
        </w:tc>
        <w:tc>
          <w:tcPr>
            <w:tcW w:w="6885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Target Seq</w:t>
            </w:r>
          </w:p>
        </w:tc>
      </w:tr>
      <w:tr w:rsidR="00FB00DC" w:rsidRPr="00FB00DC">
        <w:trPr>
          <w:trHeight w:val="567"/>
        </w:trPr>
        <w:tc>
          <w:tcPr>
            <w:tcW w:w="1637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shMETTL3-1</w:t>
            </w:r>
          </w:p>
        </w:tc>
        <w:tc>
          <w:tcPr>
            <w:tcW w:w="6885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gcAAGTATGTTCACTATGAAA</w:t>
            </w:r>
            <w:proofErr w:type="spellEnd"/>
          </w:p>
        </w:tc>
      </w:tr>
      <w:tr w:rsidR="0005134E" w:rsidRPr="00FB00DC">
        <w:trPr>
          <w:trHeight w:val="567"/>
        </w:trPr>
        <w:tc>
          <w:tcPr>
            <w:tcW w:w="1637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shMETTL3-2</w:t>
            </w:r>
          </w:p>
        </w:tc>
        <w:tc>
          <w:tcPr>
            <w:tcW w:w="6885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cgTCAGTATCTTGGGCAAGTT</w:t>
            </w:r>
            <w:proofErr w:type="spellEnd"/>
          </w:p>
        </w:tc>
      </w:tr>
    </w:tbl>
    <w:p w:rsidR="0005134E" w:rsidRPr="00FB00DC" w:rsidRDefault="0005134E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05134E" w:rsidRPr="00FB00DC" w:rsidRDefault="0000000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b/>
          <w:bCs/>
          <w:color w:val="000000" w:themeColor="text1"/>
          <w:szCs w:val="21"/>
        </w:rPr>
        <w:t>Table S5. Sequences of siRNA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30"/>
        <w:gridCol w:w="3408"/>
        <w:gridCol w:w="3482"/>
      </w:tblGrid>
      <w:tr w:rsidR="00FB00DC" w:rsidRPr="00FB00DC">
        <w:trPr>
          <w:trHeight w:val="567"/>
        </w:trPr>
        <w:tc>
          <w:tcPr>
            <w:tcW w:w="163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hAnsi="Times New Roman" w:cs="Times New Roman"/>
                <w:color w:val="000000" w:themeColor="text1"/>
                <w:szCs w:val="21"/>
              </w:rPr>
              <w:t>siRNA</w:t>
            </w:r>
          </w:p>
        </w:tc>
        <w:tc>
          <w:tcPr>
            <w:tcW w:w="340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sense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（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5'-3'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348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antisense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（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5'-3'</w:t>
            </w: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）</w:t>
            </w:r>
          </w:p>
        </w:tc>
      </w:tr>
      <w:tr w:rsidR="00FB00DC" w:rsidRPr="00FB00DC">
        <w:trPr>
          <w:trHeight w:val="567"/>
        </w:trPr>
        <w:tc>
          <w:tcPr>
            <w:tcW w:w="163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siDCP2-1</w:t>
            </w:r>
          </w:p>
        </w:tc>
        <w:tc>
          <w:tcPr>
            <w:tcW w:w="340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CCACGGAAACUUCAGGAUATT</w:t>
            </w:r>
          </w:p>
        </w:tc>
        <w:tc>
          <w:tcPr>
            <w:tcW w:w="3482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UAUCCUGAAGUUUCCGUGGTT</w:t>
            </w:r>
          </w:p>
        </w:tc>
      </w:tr>
      <w:tr w:rsidR="0005134E" w:rsidRPr="00FB00DC">
        <w:trPr>
          <w:trHeight w:val="567"/>
        </w:trPr>
        <w:tc>
          <w:tcPr>
            <w:tcW w:w="1630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siDCP2-2</w:t>
            </w:r>
          </w:p>
        </w:tc>
        <w:tc>
          <w:tcPr>
            <w:tcW w:w="3408" w:type="dxa"/>
            <w:vAlign w:val="center"/>
          </w:tcPr>
          <w:p w:rsidR="0005134E" w:rsidRPr="00FB00DC" w:rsidRDefault="00000000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B00D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GCAUGUAAUGGACAUUGCATT</w:t>
            </w:r>
          </w:p>
        </w:tc>
        <w:tc>
          <w:tcPr>
            <w:tcW w:w="3482" w:type="dxa"/>
            <w:vAlign w:val="center"/>
          </w:tcPr>
          <w:tbl>
            <w:tblPr>
              <w:tblStyle w:val="a7"/>
              <w:tblW w:w="874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45"/>
            </w:tblGrid>
            <w:tr w:rsidR="00FB00DC" w:rsidRPr="00FB00DC">
              <w:trPr>
                <w:trHeight w:val="962"/>
                <w:jc w:val="center"/>
              </w:trPr>
              <w:tc>
                <w:tcPr>
                  <w:tcW w:w="379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05134E" w:rsidRPr="00FB00DC" w:rsidRDefault="00000000">
                  <w:pPr>
                    <w:pStyle w:val="a8"/>
                    <w:spacing w:line="360" w:lineRule="auto"/>
                    <w:jc w:val="center"/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</w:pPr>
                  <w:r w:rsidRPr="00FB00DC">
                    <w:rPr>
                      <w:rFonts w:ascii="Times New Roman" w:eastAsia="宋体" w:hAnsi="Times New Roman" w:cs="Times New Roman"/>
                      <w:color w:val="000000" w:themeColor="text1"/>
                      <w:szCs w:val="21"/>
                    </w:rPr>
                    <w:t>UGCAAUGUCCAUUACAUGCTT</w:t>
                  </w:r>
                </w:p>
              </w:tc>
            </w:tr>
          </w:tbl>
          <w:p w:rsidR="0005134E" w:rsidRPr="00FB00DC" w:rsidRDefault="0005134E">
            <w:pPr>
              <w:pStyle w:val="a8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</w:tbl>
    <w:p w:rsidR="0005134E" w:rsidRPr="00FB00DC" w:rsidRDefault="0005134E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FB00D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:rsidR="00E841AF" w:rsidRDefault="00BE0D7C" w:rsidP="00E72C8F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62230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34E" w:rsidRPr="00E126C2" w:rsidRDefault="00E72C8F" w:rsidP="00E126C2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E75FE">
        <w:rPr>
          <w:rFonts w:ascii="Times New Roman" w:hAnsi="Times New Roman"/>
          <w:b/>
          <w:bCs/>
          <w:color w:val="000000" w:themeColor="text1"/>
          <w:sz w:val="24"/>
          <w:szCs w:val="24"/>
        </w:rPr>
        <w:t>Figure S1. METTL3 induces chemoresistance in SCLC cells</w:t>
      </w:r>
      <w:r w:rsidRPr="003E75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(A-B)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Inhibition of METTL3 expression by transfection of METTL3 shRNA in H69AR and H446DDP cells.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(C-D)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Bar graph showing that knockdown of METTL3 significantly increased the proportion of apoptotic cells in chemotherapy-resistant cell lines. *P &lt; 0.05, **P</w:t>
      </w:r>
      <w:r w:rsidRPr="005D01D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&lt; 0.01;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(E-F)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Overexpression of METTL3 using lentivirus in H69 and H446 cells.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(G-H)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Bar graph showing that overexpression of METTL3 significantly reduced the proportion of apoptotic cells 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>among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chemotherapy-sensitive cells. **P &lt; 0.01; ***P &lt; 0.001</w:t>
      </w:r>
      <w:r w:rsidRPr="00FB00DC">
        <w:rPr>
          <w:rFonts w:ascii="Times New Roman" w:hAnsi="Times New Roman" w:cs="Times New Roman" w:hint="eastAsia"/>
          <w:noProof/>
          <w:color w:val="000000" w:themeColor="text1"/>
          <w:szCs w:val="21"/>
        </w:rPr>
        <w:lastRenderedPageBreak/>
        <w:drawing>
          <wp:inline distT="0" distB="0" distL="0" distR="0">
            <wp:extent cx="5274310" cy="62230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8F" w:rsidRPr="005D01D7" w:rsidRDefault="00E72C8F" w:rsidP="00E72C8F">
      <w:pPr>
        <w:pStyle w:val="msonospacing0"/>
        <w:spacing w:line="360" w:lineRule="auto"/>
        <w:rPr>
          <w:rFonts w:ascii="Times New Roman" w:hAnsi="Times New Roman" w:hint="default"/>
          <w:color w:val="000000"/>
          <w:sz w:val="24"/>
          <w:szCs w:val="24"/>
        </w:rPr>
      </w:pP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Figure S2. DCP2 is highly expressed in </w:t>
      </w:r>
      <w:proofErr w:type="spellStart"/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chemosensitive</w:t>
      </w:r>
      <w:proofErr w:type="spellEnd"/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 cells. (A)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Western blot analysis of DCP2 expression in two pairs of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chemosensitive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chemoresistant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SCLC cells, H69/H69AR and H446/H446DDP.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(B-C)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Immunofluorescence analysis of DCP2 expression in H69/H69AR and H446/H446DDP cells. Scale bars, 25 </w:t>
      </w:r>
      <w:r w:rsidRPr="005D01D7">
        <w:rPr>
          <w:rFonts w:ascii="Times New Roman" w:hAnsi="Times New Roman"/>
          <w:color w:val="000000"/>
          <w:sz w:val="24"/>
          <w:szCs w:val="24"/>
        </w:rPr>
        <w:t>μ</w:t>
      </w:r>
      <w:r w:rsidRPr="005D01D7">
        <w:rPr>
          <w:rFonts w:ascii="Times New Roman" w:hAnsi="Times New Roman"/>
          <w:color w:val="000000"/>
          <w:sz w:val="24"/>
          <w:szCs w:val="24"/>
        </w:rPr>
        <w:t>m. Quantification of DCP2 expression detected by immunofluorescence is shown. The data originated from 3 independent experiments. **P &lt; 0.01; ***P &lt; 0.001.</w:t>
      </w: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5134E" w:rsidRPr="00FB00DC" w:rsidRDefault="000B29A1">
      <w:pPr>
        <w:rPr>
          <w:rFonts w:ascii="Times New Roman" w:hAnsi="Times New Roman" w:cs="Times New Roman"/>
          <w:color w:val="000000" w:themeColor="text1"/>
        </w:rPr>
      </w:pPr>
      <w:r w:rsidRPr="00FB00DC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274310" cy="622300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8F" w:rsidRPr="005D01D7" w:rsidRDefault="00E72C8F" w:rsidP="00E72C8F">
      <w:pPr>
        <w:pStyle w:val="msonospacing0"/>
        <w:spacing w:line="360" w:lineRule="auto"/>
        <w:rPr>
          <w:rFonts w:ascii="Times New Roman" w:hAnsi="Times New Roman" w:hint="default"/>
          <w:color w:val="000000"/>
          <w:sz w:val="24"/>
          <w:szCs w:val="24"/>
        </w:rPr>
      </w:pP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Figure S3. DCP2 prevents SCLC chemoresistance by regulating mitophagy. (A)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Knockdown of DCP2 by transfection of DCP2 siRNA in H69 and H446 cells.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(B)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Overexpression of DCP2 using plasmid in H69AR and H446DDP cells.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(C)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Representative IHC staining for DCP2 in subcutaneous xenografts with or without METTL3 knockdown. Scale bars, 50 </w:t>
      </w:r>
      <w:r w:rsidRPr="005D01D7">
        <w:rPr>
          <w:rFonts w:ascii="Times New Roman" w:hAnsi="Times New Roman"/>
          <w:color w:val="000000"/>
          <w:sz w:val="24"/>
          <w:szCs w:val="24"/>
        </w:rPr>
        <w:t>μ</w:t>
      </w:r>
      <w:r w:rsidRPr="005D01D7">
        <w:rPr>
          <w:rFonts w:ascii="Times New Roman" w:hAnsi="Times New Roman"/>
          <w:color w:val="000000"/>
          <w:sz w:val="24"/>
          <w:szCs w:val="24"/>
        </w:rPr>
        <w:t>m.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 (D)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Mtphagy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images show mitophagy fluorescence, and merged images show colocalization of mitochondrial and lysosomal dyes in two pairs of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chemosensitive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chemoresistant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SCLC cell lines after chemotherapeutic drug treatment. The right histogram shows the quantified </w:t>
      </w:r>
      <w:r w:rsidRPr="005D01D7">
        <w:rPr>
          <w:rFonts w:ascii="Times New Roman" w:hAnsi="Times New Roman"/>
          <w:color w:val="000000"/>
          <w:sz w:val="24"/>
          <w:szCs w:val="24"/>
        </w:rPr>
        <w:lastRenderedPageBreak/>
        <w:t xml:space="preserve">mitophagy signal. Scale bar represents 25 </w:t>
      </w:r>
      <w:r w:rsidRPr="005D01D7">
        <w:rPr>
          <w:rFonts w:ascii="Times New Roman" w:hAnsi="Times New Roman"/>
          <w:color w:val="000000"/>
          <w:sz w:val="24"/>
          <w:szCs w:val="24"/>
        </w:rPr>
        <w:t>μ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m.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(E-J)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The histograms show the quantified mitophagy signal. **P &lt; 0.01; ***P &lt; 0.001.</w:t>
      </w: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5134E" w:rsidRPr="00FB00DC" w:rsidRDefault="00000000">
      <w:pPr>
        <w:pStyle w:val="msonospacing0"/>
        <w:spacing w:line="360" w:lineRule="auto"/>
        <w:rPr>
          <w:rFonts w:ascii="Times New Roman" w:hAnsi="Times New Roman" w:hint="default"/>
          <w:color w:val="000000" w:themeColor="text1"/>
          <w:sz w:val="24"/>
          <w:szCs w:val="24"/>
        </w:rPr>
      </w:pPr>
      <w:r w:rsidRPr="00FB00DC">
        <w:rPr>
          <w:rFonts w:ascii="Times New Roman" w:hAnsi="Times New Roman" w:hint="default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622300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8F" w:rsidRPr="005D01D7" w:rsidRDefault="00E72C8F" w:rsidP="00E72C8F">
      <w:pPr>
        <w:spacing w:after="0"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Figure S4. DCP2 regulates the Pink1-Parkin pathway.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(A-B)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qRT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‐PCR analysis of 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the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mRNA expression of Pink1 and Parkin in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chemosensitive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cells treated with m7GDP at different concentrations. *P</w:t>
      </w:r>
      <w:r w:rsidRPr="005D01D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>&lt; 0.05, **P</w:t>
      </w:r>
      <w:r w:rsidRPr="005D01D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&lt; 0.01;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(C)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Western blot analysis of mitophagy-related protein expression in two pairs of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chemosensitive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chemoresistant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SCLC cells after chemotherapeutic drug treatment.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(D-E)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Western blot analysis of Parkin and Pink1 protein expression in mitochondria after knockdown of DCP2 (D) and overexpression of METTL3 (E) in the drug-sensitive cell lines H69 and H446.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(F-G)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Western blot analysis of Parkin and Pink1 protein expression in </w:t>
      </w:r>
      <w:r w:rsidRPr="005D01D7">
        <w:rPr>
          <w:rFonts w:ascii="Times New Roman" w:hAnsi="Times New Roman"/>
          <w:color w:val="000000"/>
          <w:sz w:val="24"/>
          <w:szCs w:val="24"/>
        </w:rPr>
        <w:lastRenderedPageBreak/>
        <w:t>mitochondria after knockdown of METTL3 (F) and overexpression of DCP2 (G) in the drug-resistant cell lines H69AR and H446DDP.</w:t>
      </w: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5134E" w:rsidRPr="00FB00DC" w:rsidRDefault="00000000">
      <w:pPr>
        <w:pStyle w:val="msonospacing0"/>
        <w:spacing w:line="360" w:lineRule="auto"/>
        <w:rPr>
          <w:rFonts w:ascii="Times New Roman" w:hAnsi="Times New Roman" w:hint="default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62223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C8F" w:rsidRPr="005D01D7" w:rsidRDefault="00E72C8F" w:rsidP="00E72C8F">
      <w:pPr>
        <w:pStyle w:val="msonospacing0"/>
        <w:spacing w:line="360" w:lineRule="auto"/>
        <w:rPr>
          <w:rFonts w:ascii="Times New Roman" w:hAnsi="Times New Roman" w:hint="default"/>
          <w:color w:val="000000"/>
          <w:sz w:val="24"/>
          <w:szCs w:val="24"/>
        </w:rPr>
      </w:pP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Figure S5. METTL3 and DCP2 regulate the expression of the autophagy-related proteins </w:t>
      </w:r>
      <w:proofErr w:type="spellStart"/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Beclin</w:t>
      </w:r>
      <w:proofErr w:type="spellEnd"/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 1 and Vps34. (A-B)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Western blot analysis of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Beclin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1 and Vps34 protein expression after knockdown of DCP2 (A) and overexpression of METTL3 (B) in the drug-sensitive cell lines H69 and H446.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(C-D)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Western blot analysis of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Beclin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1 and Vps34 protein expression after knockdown of METTL3 (C) and overexpression of DCP2 (D) in the drug-resistant cell lines H69AR and H446DDP.</w:t>
      </w:r>
    </w:p>
    <w:p w:rsidR="0005134E" w:rsidRPr="00FB00DC" w:rsidRDefault="00000000">
      <w:pPr>
        <w:widowControl/>
        <w:spacing w:after="0" w:line="240" w:lineRule="auto"/>
        <w:jc w:val="left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5134E" w:rsidRPr="00FB00DC" w:rsidRDefault="00000000">
      <w:pPr>
        <w:pStyle w:val="msonospacing0"/>
        <w:spacing w:line="360" w:lineRule="auto"/>
        <w:rPr>
          <w:rFonts w:ascii="Times New Roman" w:hAnsi="Times New Roman" w:hint="default"/>
          <w:color w:val="000000" w:themeColor="text1"/>
          <w:sz w:val="24"/>
          <w:szCs w:val="24"/>
        </w:rPr>
      </w:pPr>
      <w:r w:rsidRPr="00FB00DC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622236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34E" w:rsidRPr="00E72C8F" w:rsidRDefault="00E72C8F" w:rsidP="00E72C8F">
      <w:pPr>
        <w:spacing w:after="0"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Figure S6. DCP2 regulates mitochondrial damage levels in SCLC cells. (A)</w:t>
      </w:r>
      <w:r w:rsidRPr="005D01D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MitoSOX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levels were observed by confocal microscopy in DCP2-knockdown SCLC cells following treatment with chemotherapeutic drugs. Scale bar: 50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(B)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MitoSOX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levels were observed by confocal microscopy in DCP2-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>overexpressing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SCLC cells following treatment with chemotherapeutic drugs. Scale bar: 50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(C)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MitoSOX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levels were observed by confocal microscopy in SCLC cells with simultaneous knockdown of METTL3 and DCP2 following treatment with chemotherapeutic drugs. Scale bar: 50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>.</w:t>
      </w:r>
      <w:r w:rsidRPr="00FB00D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FB00DC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4310" cy="622300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C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Figure S7. </w:t>
      </w:r>
      <w:r w:rsidRPr="005D01D7">
        <w:rPr>
          <w:rFonts w:ascii="Times New Roman" w:eastAsia="等线" w:hAnsi="Times New Roman" w:cs="Arial"/>
          <w:b/>
          <w:bCs/>
          <w:color w:val="000000"/>
          <w:sz w:val="24"/>
          <w:szCs w:val="24"/>
        </w:rPr>
        <w:t xml:space="preserve">The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METTL3 inhibitor STM2457 reverses chemoresistance in SCLC cells. (A)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CCK-8 assay showing the proliferation of normal lung epithelial 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HBE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cells at different concentrations of STM2457.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(B) </w:t>
      </w:r>
      <w:r w:rsidRPr="005D01D7">
        <w:rPr>
          <w:rFonts w:ascii="Times New Roman" w:hAnsi="Times New Roman"/>
          <w:color w:val="000000"/>
          <w:sz w:val="24"/>
          <w:szCs w:val="24"/>
        </w:rPr>
        <w:t>Western blot analysis of mitophagy-related protein expression after STM2457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>treatment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>(6.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25 </w:t>
      </w:r>
      <w:proofErr w:type="spellStart"/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>μM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) in the drug-resistant cell lines H69AR and H446DDP.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 xml:space="preserve">(C-D) </w:t>
      </w:r>
      <w:r w:rsidRPr="005D01D7">
        <w:rPr>
          <w:rFonts w:ascii="Times New Roman" w:hAnsi="Times New Roman"/>
          <w:color w:val="000000"/>
          <w:sz w:val="24"/>
          <w:szCs w:val="24"/>
        </w:rPr>
        <w:t>Bar graph showing that STM2457 significantly increased the proportion of apoptotic cells in chemotherapy-resistant cell lines **P</w:t>
      </w:r>
      <w:r w:rsidRPr="005D01D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&lt; 0.01; ***P &lt; 0.001. </w:t>
      </w:r>
      <w:r w:rsidRPr="005D01D7">
        <w:rPr>
          <w:rFonts w:ascii="Times New Roman" w:hAnsi="Times New Roman"/>
          <w:b/>
          <w:bCs/>
          <w:color w:val="000000"/>
          <w:sz w:val="24"/>
          <w:szCs w:val="24"/>
        </w:rPr>
        <w:t>(E)</w:t>
      </w:r>
      <w:r w:rsidRPr="005D01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01D7">
        <w:rPr>
          <w:rFonts w:ascii="Times New Roman" w:hAnsi="Times New Roman"/>
          <w:color w:val="000000"/>
          <w:sz w:val="24"/>
          <w:szCs w:val="24"/>
        </w:rPr>
        <w:t>Tumour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 xml:space="preserve"> growth measurement in the STM2457-treated groups. H69AR cells were incubated for 24 </w:t>
      </w:r>
      <w:r w:rsidRPr="005D01D7">
        <w:rPr>
          <w:rFonts w:ascii="Times New Roman" w:hAnsi="Times New Roman"/>
          <w:color w:val="000000"/>
          <w:sz w:val="24"/>
          <w:szCs w:val="24"/>
        </w:rPr>
        <w:lastRenderedPageBreak/>
        <w:t>hours with or without STM2457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 </w:t>
      </w:r>
      <w:r w:rsidRPr="005D01D7">
        <w:rPr>
          <w:rFonts w:ascii="Times New Roman" w:hAnsi="Times New Roman"/>
          <w:color w:val="000000"/>
          <w:sz w:val="24"/>
          <w:szCs w:val="24"/>
        </w:rPr>
        <w:t>(6.</w:t>
      </w:r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 xml:space="preserve">25 </w:t>
      </w:r>
      <w:proofErr w:type="spellStart"/>
      <w:r w:rsidRPr="005D01D7">
        <w:rPr>
          <w:rFonts w:ascii="Times New Roman" w:eastAsia="等线" w:hAnsi="Times New Roman" w:cs="Arial"/>
          <w:color w:val="000000"/>
          <w:sz w:val="24"/>
          <w:szCs w:val="24"/>
        </w:rPr>
        <w:t>μM</w:t>
      </w:r>
      <w:proofErr w:type="spellEnd"/>
      <w:r w:rsidRPr="005D01D7">
        <w:rPr>
          <w:rFonts w:ascii="Times New Roman" w:hAnsi="Times New Roman"/>
          <w:color w:val="000000"/>
          <w:sz w:val="24"/>
          <w:szCs w:val="24"/>
        </w:rPr>
        <w:t>) and then injected subcutaneously into nude mice, and chemotherapy drugs or vehicles were administered intraperitoneally. ***P &lt; 0.001.</w:t>
      </w:r>
    </w:p>
    <w:p w:rsidR="0005134E" w:rsidRPr="00FB00DC" w:rsidRDefault="0005134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05134E" w:rsidRPr="00FB0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0935" w:rsidRDefault="00A50935">
      <w:pPr>
        <w:spacing w:line="240" w:lineRule="auto"/>
      </w:pPr>
      <w:r>
        <w:separator/>
      </w:r>
    </w:p>
  </w:endnote>
  <w:endnote w:type="continuationSeparator" w:id="0">
    <w:p w:rsidR="00A50935" w:rsidRDefault="00A50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0935" w:rsidRDefault="00A50935">
      <w:pPr>
        <w:spacing w:after="0"/>
      </w:pPr>
      <w:r>
        <w:separator/>
      </w:r>
    </w:p>
  </w:footnote>
  <w:footnote w:type="continuationSeparator" w:id="0">
    <w:p w:rsidR="00A50935" w:rsidRDefault="00A509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lmZGQzZDU1NjlmZjI3ZDM4ZDlmM2M3MTlkN2MyMzMifQ=="/>
  </w:docVars>
  <w:rsids>
    <w:rsidRoot w:val="00C03147"/>
    <w:rsid w:val="00021D83"/>
    <w:rsid w:val="00050A86"/>
    <w:rsid w:val="0005134E"/>
    <w:rsid w:val="00062209"/>
    <w:rsid w:val="00070A7D"/>
    <w:rsid w:val="00072BC1"/>
    <w:rsid w:val="000B29A1"/>
    <w:rsid w:val="000D3D14"/>
    <w:rsid w:val="00103A9C"/>
    <w:rsid w:val="001160C3"/>
    <w:rsid w:val="00156BC7"/>
    <w:rsid w:val="002116FC"/>
    <w:rsid w:val="0023033F"/>
    <w:rsid w:val="002900EB"/>
    <w:rsid w:val="003B0286"/>
    <w:rsid w:val="003C0D24"/>
    <w:rsid w:val="003E74FB"/>
    <w:rsid w:val="003E75FE"/>
    <w:rsid w:val="00487940"/>
    <w:rsid w:val="004C368D"/>
    <w:rsid w:val="004C44C7"/>
    <w:rsid w:val="004E254C"/>
    <w:rsid w:val="005E2F99"/>
    <w:rsid w:val="00650662"/>
    <w:rsid w:val="00681708"/>
    <w:rsid w:val="0068240F"/>
    <w:rsid w:val="00687231"/>
    <w:rsid w:val="006B28C0"/>
    <w:rsid w:val="006E14AE"/>
    <w:rsid w:val="00732726"/>
    <w:rsid w:val="00735FC4"/>
    <w:rsid w:val="0079671D"/>
    <w:rsid w:val="00801A38"/>
    <w:rsid w:val="0081033D"/>
    <w:rsid w:val="00820677"/>
    <w:rsid w:val="00842A6B"/>
    <w:rsid w:val="008B38DB"/>
    <w:rsid w:val="0091259A"/>
    <w:rsid w:val="0093682D"/>
    <w:rsid w:val="00951F61"/>
    <w:rsid w:val="0096000C"/>
    <w:rsid w:val="00961D6B"/>
    <w:rsid w:val="00963824"/>
    <w:rsid w:val="00974A03"/>
    <w:rsid w:val="0099672E"/>
    <w:rsid w:val="00A337BF"/>
    <w:rsid w:val="00A50935"/>
    <w:rsid w:val="00A82B62"/>
    <w:rsid w:val="00B266F0"/>
    <w:rsid w:val="00BB21B9"/>
    <w:rsid w:val="00BD6FD1"/>
    <w:rsid w:val="00BD7AFA"/>
    <w:rsid w:val="00BE093E"/>
    <w:rsid w:val="00BE0D7C"/>
    <w:rsid w:val="00BE10BD"/>
    <w:rsid w:val="00C03147"/>
    <w:rsid w:val="00C767D7"/>
    <w:rsid w:val="00CA17E1"/>
    <w:rsid w:val="00CA59DA"/>
    <w:rsid w:val="00D06ADC"/>
    <w:rsid w:val="00D6601E"/>
    <w:rsid w:val="00D81877"/>
    <w:rsid w:val="00DB4E11"/>
    <w:rsid w:val="00DD5360"/>
    <w:rsid w:val="00E061A5"/>
    <w:rsid w:val="00E126C2"/>
    <w:rsid w:val="00E63CBE"/>
    <w:rsid w:val="00E72C8F"/>
    <w:rsid w:val="00E841AF"/>
    <w:rsid w:val="00F141BC"/>
    <w:rsid w:val="00F52C2C"/>
    <w:rsid w:val="00FB00DC"/>
    <w:rsid w:val="00FB52CF"/>
    <w:rsid w:val="00FD3E9E"/>
    <w:rsid w:val="00FE79E3"/>
    <w:rsid w:val="07A95360"/>
    <w:rsid w:val="1D75194A"/>
    <w:rsid w:val="2BB16CEF"/>
    <w:rsid w:val="2D245FEA"/>
    <w:rsid w:val="35D54EAB"/>
    <w:rsid w:val="48C73E73"/>
    <w:rsid w:val="4C5401CE"/>
    <w:rsid w:val="6CA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02FE77E-380E-409B-8CDD-5D22D9E9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21">
    <w:name w:val="网格表 21"/>
    <w:basedOn w:val="a1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nospacing0">
    <w:name w:val="msonospacing"/>
    <w:basedOn w:val="a"/>
    <w:qFormat/>
    <w:pPr>
      <w:spacing w:after="0" w:line="240" w:lineRule="auto"/>
    </w:pPr>
    <w:rPr>
      <w:rFonts w:ascii="等线" w:eastAsia="等线" w:hAnsi="等线" w:cs="Times New Roman" w:hint="eastAsia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D3F60-56BE-4137-AD1A-081211FC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15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sun yueqin</cp:lastModifiedBy>
  <cp:revision>54</cp:revision>
  <dcterms:created xsi:type="dcterms:W3CDTF">2022-09-11T12:57:00Z</dcterms:created>
  <dcterms:modified xsi:type="dcterms:W3CDTF">2023-01-31T14:03:00Z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A1C1CAE9B22548CD99DCB93A85CE456C</vt:lpwstr>
  </property>
</Properties>
</file>