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rFonts w:ascii="Times New Roman" w:hAnsi="Times New Roman"/>
          <w:b/>
          <w:bCs/>
          <w:color w:val="auto"/>
          <w:sz w:val="28"/>
          <w:szCs w:val="28"/>
        </w:rPr>
      </w:pPr>
      <w:r>
        <w:rPr>
          <w:rFonts w:hint="eastAsia" w:ascii="Times New Roman" w:hAnsi="Times New Roman"/>
          <w:b/>
          <w:bCs/>
          <w:color w:val="auto"/>
          <w:sz w:val="28"/>
          <w:szCs w:val="28"/>
        </w:rPr>
        <w:t>Supporting</w:t>
      </w:r>
      <w:r>
        <w:rPr>
          <w:rFonts w:ascii="Times New Roman" w:hAnsi="Times New Roman"/>
          <w:b/>
          <w:bCs/>
          <w:color w:val="auto"/>
          <w:sz w:val="28"/>
          <w:szCs w:val="28"/>
        </w:rPr>
        <w:t xml:space="preserve"> figures and </w:t>
      </w:r>
      <w:r>
        <w:rPr>
          <w:rFonts w:hint="eastAsia" w:ascii="Times New Roman" w:hAnsi="Times New Roman"/>
          <w:b/>
          <w:bCs/>
          <w:color w:val="auto"/>
          <w:sz w:val="28"/>
          <w:szCs w:val="28"/>
        </w:rPr>
        <w:t>figure</w:t>
      </w:r>
      <w:r>
        <w:rPr>
          <w:rFonts w:ascii="Times New Roman" w:hAnsi="Times New Roman"/>
          <w:b/>
          <w:bCs/>
          <w:color w:val="auto"/>
          <w:sz w:val="28"/>
          <w:szCs w:val="28"/>
        </w:rPr>
        <w:t xml:space="preserve"> legends</w:t>
      </w:r>
    </w:p>
    <w:p>
      <w:pPr>
        <w:spacing w:line="360" w:lineRule="auto"/>
        <w:rPr>
          <w:rFonts w:hint="default" w:ascii="Times New Roman" w:hAnsi="Times New Roman"/>
          <w:b/>
          <w:bCs/>
          <w:color w:val="auto"/>
          <w:sz w:val="24"/>
        </w:rPr>
      </w:pPr>
      <w:r>
        <w:rPr>
          <w:rFonts w:hint="default" w:ascii="Times New Roman" w:hAnsi="Times New Roman"/>
          <w:b/>
          <w:bCs/>
          <w:color w:val="auto"/>
          <w:sz w:val="24"/>
        </w:rPr>
        <w:drawing>
          <wp:inline distT="0" distB="0" distL="114300" distR="114300">
            <wp:extent cx="5273675" cy="4886325"/>
            <wp:effectExtent l="0" t="0" r="9525" b="15875"/>
            <wp:docPr id="12" name="图片 12" descr="Figure 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Figure S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488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rFonts w:ascii="Times New Roman" w:hAnsi="Times New Roman"/>
          <w:color w:val="auto"/>
          <w:sz w:val="24"/>
        </w:rPr>
      </w:pPr>
      <w:r>
        <w:rPr>
          <w:rFonts w:ascii="Times New Roman" w:hAnsi="Times New Roman"/>
          <w:b/>
          <w:bCs/>
          <w:color w:val="auto"/>
          <w:sz w:val="24"/>
        </w:rPr>
        <w:t xml:space="preserve">Figure S1. </w:t>
      </w:r>
      <w:r>
        <w:rPr>
          <w:rFonts w:ascii="Times New Roman" w:hAnsi="Times New Roman"/>
          <w:color w:val="auto"/>
          <w:sz w:val="24"/>
        </w:rPr>
        <w:t>T</w:t>
      </w:r>
      <w:r>
        <w:rPr>
          <w:rFonts w:hint="eastAsia" w:ascii="Times New Roman" w:hAnsi="Times New Roman"/>
          <w:color w:val="auto"/>
          <w:sz w:val="24"/>
          <w:lang w:eastAsia="zh-Hans"/>
        </w:rPr>
        <w:t>he</w:t>
      </w:r>
      <w:r>
        <w:rPr>
          <w:rFonts w:ascii="Times New Roman" w:hAnsi="Times New Roman"/>
          <w:color w:val="auto"/>
          <w:sz w:val="24"/>
          <w:lang w:eastAsia="zh-Hans"/>
        </w:rPr>
        <w:t xml:space="preserve"> c</w:t>
      </w:r>
      <w:r>
        <w:rPr>
          <w:rFonts w:hint="eastAsia" w:ascii="Times New Roman" w:hAnsi="Times New Roman"/>
          <w:color w:val="auto"/>
          <w:sz w:val="24"/>
        </w:rPr>
        <w:t>haracteristics and localization of cZNF215</w:t>
      </w:r>
      <w:r>
        <w:rPr>
          <w:rFonts w:ascii="Times New Roman" w:hAnsi="Times New Roman"/>
          <w:color w:val="auto"/>
          <w:sz w:val="24"/>
        </w:rPr>
        <w:t>.</w:t>
      </w:r>
      <w:r>
        <w:rPr>
          <w:rFonts w:ascii="Times New Roman" w:hAnsi="Times New Roman"/>
          <w:b/>
          <w:bCs/>
          <w:color w:val="auto"/>
          <w:sz w:val="24"/>
        </w:rPr>
        <w:t xml:space="preserve"> (A)</w:t>
      </w:r>
      <w:r>
        <w:rPr>
          <w:rFonts w:ascii="Times New Roman" w:hAnsi="Times New Roman"/>
          <w:color w:val="auto"/>
          <w:sz w:val="24"/>
        </w:rPr>
        <w:t xml:space="preserve"> </w:t>
      </w:r>
      <w:r>
        <w:rPr>
          <w:rFonts w:hint="eastAsia" w:ascii="Times New Roman" w:hAnsi="Times New Roman"/>
          <w:color w:val="auto"/>
          <w:sz w:val="24"/>
        </w:rPr>
        <w:t xml:space="preserve">qRT-PCR analysis for the expression of cZNF215 </w:t>
      </w:r>
      <w:r>
        <w:rPr>
          <w:rFonts w:ascii="Times New Roman" w:hAnsi="Times New Roman"/>
          <w:color w:val="auto"/>
          <w:sz w:val="24"/>
        </w:rPr>
        <w:t xml:space="preserve">and </w:t>
      </w:r>
      <w:r>
        <w:rPr>
          <w:rFonts w:hint="eastAsia" w:ascii="Times New Roman" w:hAnsi="Times New Roman"/>
          <w:color w:val="auto"/>
          <w:sz w:val="24"/>
        </w:rPr>
        <w:t>ZNF215</w:t>
      </w:r>
      <w:r>
        <w:rPr>
          <w:rFonts w:ascii="Times New Roman" w:hAnsi="Times New Roman"/>
          <w:color w:val="auto"/>
          <w:sz w:val="24"/>
        </w:rPr>
        <w:t xml:space="preserve"> </w:t>
      </w:r>
      <w:r>
        <w:rPr>
          <w:rFonts w:hint="eastAsia" w:ascii="Times New Roman" w:hAnsi="Times New Roman"/>
          <w:color w:val="auto"/>
          <w:sz w:val="24"/>
        </w:rPr>
        <w:t>mRNA in</w:t>
      </w:r>
      <w:r>
        <w:rPr>
          <w:rFonts w:ascii="Times New Roman" w:hAnsi="Times New Roman"/>
          <w:color w:val="auto"/>
          <w:sz w:val="24"/>
        </w:rPr>
        <w:t xml:space="preserve"> HuCCT1 and </w:t>
      </w:r>
      <w:r>
        <w:rPr>
          <w:rFonts w:hint="eastAsia" w:ascii="Times New Roman" w:hAnsi="Times New Roman"/>
          <w:color w:val="auto"/>
          <w:sz w:val="24"/>
        </w:rPr>
        <w:t>RBE cells treat</w:t>
      </w:r>
      <w:r>
        <w:rPr>
          <w:rFonts w:ascii="Times New Roman" w:hAnsi="Times New Roman"/>
          <w:color w:val="auto"/>
          <w:sz w:val="24"/>
        </w:rPr>
        <w:t>ed</w:t>
      </w:r>
      <w:r>
        <w:rPr>
          <w:rFonts w:hint="eastAsia" w:ascii="Times New Roman" w:hAnsi="Times New Roman"/>
          <w:color w:val="auto"/>
          <w:sz w:val="24"/>
        </w:rPr>
        <w:t xml:space="preserve"> with RNase R.</w:t>
      </w:r>
      <w:r>
        <w:rPr>
          <w:rFonts w:ascii="Times New Roman" w:hAnsi="Times New Roman"/>
          <w:color w:val="auto"/>
          <w:sz w:val="24"/>
        </w:rPr>
        <w:t xml:space="preserve"> β-actin mRNA was used </w:t>
      </w:r>
      <w:r>
        <w:rPr>
          <w:rFonts w:hint="eastAsia" w:ascii="Times New Roman" w:hAnsi="Times New Roman"/>
          <w:color w:val="auto"/>
          <w:sz w:val="24"/>
        </w:rPr>
        <w:t>as</w:t>
      </w:r>
      <w:r>
        <w:rPr>
          <w:rFonts w:ascii="Times New Roman" w:hAnsi="Times New Roman"/>
          <w:color w:val="auto"/>
          <w:sz w:val="24"/>
        </w:rPr>
        <w:t xml:space="preserve"> a negative control</w:t>
      </w:r>
      <w:r>
        <w:rPr>
          <w:rFonts w:hint="eastAsia" w:ascii="Times New Roman" w:hAnsi="Times New Roman"/>
          <w:color w:val="auto"/>
          <w:sz w:val="24"/>
        </w:rPr>
        <w:t>.</w:t>
      </w:r>
      <w:r>
        <w:rPr>
          <w:rFonts w:ascii="Times New Roman" w:hAnsi="Times New Roman"/>
          <w:color w:val="auto"/>
          <w:sz w:val="24"/>
        </w:rPr>
        <w:t xml:space="preserve"> </w:t>
      </w:r>
      <w:r>
        <w:rPr>
          <w:rFonts w:ascii="Times New Roman" w:hAnsi="Times New Roman"/>
          <w:b/>
          <w:bCs/>
          <w:color w:val="auto"/>
          <w:sz w:val="24"/>
        </w:rPr>
        <w:t>(B)</w:t>
      </w:r>
      <w:r>
        <w:rPr>
          <w:rFonts w:ascii="Times New Roman" w:hAnsi="Times New Roman"/>
          <w:color w:val="auto"/>
          <w:sz w:val="24"/>
        </w:rPr>
        <w:t xml:space="preserve"> </w:t>
      </w:r>
      <w:r>
        <w:rPr>
          <w:rFonts w:hint="eastAsia" w:ascii="Times New Roman" w:hAnsi="Times New Roman"/>
          <w:color w:val="auto"/>
          <w:sz w:val="24"/>
        </w:rPr>
        <w:t xml:space="preserve">qRT-PCR analysis for the cZNF215 </w:t>
      </w:r>
      <w:r>
        <w:rPr>
          <w:rFonts w:ascii="Times New Roman" w:hAnsi="Times New Roman"/>
          <w:color w:val="auto"/>
          <w:sz w:val="24"/>
        </w:rPr>
        <w:t xml:space="preserve">and </w:t>
      </w:r>
      <w:r>
        <w:rPr>
          <w:rFonts w:hint="eastAsia" w:ascii="Times New Roman" w:hAnsi="Times New Roman"/>
          <w:color w:val="auto"/>
          <w:sz w:val="24"/>
        </w:rPr>
        <w:t>ZNF215</w:t>
      </w:r>
      <w:r>
        <w:rPr>
          <w:rFonts w:ascii="Times New Roman" w:hAnsi="Times New Roman"/>
          <w:color w:val="auto"/>
          <w:sz w:val="24"/>
        </w:rPr>
        <w:t xml:space="preserve"> </w:t>
      </w:r>
      <w:r>
        <w:rPr>
          <w:rFonts w:hint="eastAsia" w:ascii="Times New Roman" w:hAnsi="Times New Roman"/>
          <w:color w:val="auto"/>
          <w:sz w:val="24"/>
        </w:rPr>
        <w:t xml:space="preserve">mRNA using the template cDNA reverse-transcribed by </w:t>
      </w:r>
      <w:r>
        <w:rPr>
          <w:rFonts w:ascii="Times New Roman" w:hAnsi="Times New Roman"/>
          <w:color w:val="auto"/>
          <w:sz w:val="24"/>
        </w:rPr>
        <w:t>r</w:t>
      </w:r>
      <w:r>
        <w:rPr>
          <w:rFonts w:hint="eastAsia" w:ascii="Times New Roman" w:hAnsi="Times New Roman"/>
          <w:color w:val="auto"/>
          <w:sz w:val="24"/>
        </w:rPr>
        <w:t xml:space="preserve">andom hexamer </w:t>
      </w:r>
      <w:r>
        <w:rPr>
          <w:rFonts w:ascii="Times New Roman" w:hAnsi="Times New Roman"/>
          <w:color w:val="auto"/>
          <w:sz w:val="24"/>
        </w:rPr>
        <w:t>and</w:t>
      </w:r>
      <w:r>
        <w:rPr>
          <w:rFonts w:hint="eastAsia" w:ascii="Times New Roman" w:hAnsi="Times New Roman"/>
          <w:color w:val="auto"/>
          <w:sz w:val="24"/>
        </w:rPr>
        <w:t xml:space="preserve"> oligo (dT)18 primers</w:t>
      </w:r>
      <w:r>
        <w:rPr>
          <w:rFonts w:ascii="Times New Roman" w:hAnsi="Times New Roman"/>
          <w:color w:val="auto"/>
          <w:sz w:val="24"/>
        </w:rPr>
        <w:t xml:space="preserve">. </w:t>
      </w:r>
      <w:r>
        <w:rPr>
          <w:rFonts w:ascii="Times New Roman" w:hAnsi="Times New Roman"/>
          <w:b/>
          <w:bCs/>
          <w:color w:val="auto"/>
          <w:sz w:val="24"/>
        </w:rPr>
        <w:t>(C)</w:t>
      </w:r>
      <w:r>
        <w:rPr>
          <w:rFonts w:ascii="Times New Roman" w:hAnsi="Times New Roman"/>
          <w:color w:val="auto"/>
          <w:sz w:val="24"/>
        </w:rPr>
        <w:t xml:space="preserve"> </w:t>
      </w:r>
      <w:r>
        <w:rPr>
          <w:rFonts w:hint="eastAsia" w:ascii="Times New Roman" w:hAnsi="Times New Roman"/>
          <w:color w:val="auto"/>
          <w:sz w:val="24"/>
        </w:rPr>
        <w:t>qRT-PCR analysis for the expression of</w:t>
      </w:r>
      <w:r>
        <w:rPr>
          <w:rFonts w:ascii="Times New Roman" w:hAnsi="Times New Roman"/>
          <w:color w:val="auto"/>
          <w:sz w:val="24"/>
        </w:rPr>
        <w:t xml:space="preserve"> </w:t>
      </w:r>
      <w:r>
        <w:rPr>
          <w:rFonts w:hint="eastAsia" w:ascii="Times New Roman" w:hAnsi="Times New Roman"/>
          <w:color w:val="auto"/>
          <w:sz w:val="24"/>
        </w:rPr>
        <w:t xml:space="preserve">cZNF215 </w:t>
      </w:r>
      <w:r>
        <w:rPr>
          <w:rFonts w:ascii="Times New Roman" w:hAnsi="Times New Roman"/>
          <w:color w:val="auto"/>
          <w:sz w:val="24"/>
        </w:rPr>
        <w:t xml:space="preserve">and </w:t>
      </w:r>
      <w:r>
        <w:rPr>
          <w:rFonts w:hint="eastAsia" w:ascii="Times New Roman" w:hAnsi="Times New Roman"/>
          <w:color w:val="auto"/>
          <w:sz w:val="24"/>
        </w:rPr>
        <w:t>ZNF215</w:t>
      </w:r>
      <w:r>
        <w:rPr>
          <w:rFonts w:ascii="Times New Roman" w:hAnsi="Times New Roman"/>
          <w:color w:val="auto"/>
          <w:sz w:val="24"/>
        </w:rPr>
        <w:t xml:space="preserve"> </w:t>
      </w:r>
      <w:r>
        <w:rPr>
          <w:rFonts w:hint="eastAsia" w:ascii="Times New Roman" w:hAnsi="Times New Roman"/>
          <w:color w:val="auto"/>
          <w:sz w:val="24"/>
        </w:rPr>
        <w:t>mRNA in HuCCT1 and RBE cells treated with Actinomycin D at indicated time points.</w:t>
      </w:r>
      <w:r>
        <w:rPr>
          <w:rFonts w:ascii="Times New Roman" w:hAnsi="Times New Roman"/>
          <w:color w:val="auto"/>
          <w:sz w:val="24"/>
        </w:rPr>
        <w:t xml:space="preserve"> </w:t>
      </w:r>
      <w:r>
        <w:rPr>
          <w:rFonts w:ascii="Times New Roman" w:hAnsi="Times New Roman"/>
          <w:b/>
          <w:bCs/>
          <w:color w:val="auto"/>
          <w:sz w:val="24"/>
        </w:rPr>
        <w:t xml:space="preserve">(D) </w:t>
      </w:r>
      <w:r>
        <w:rPr>
          <w:rFonts w:ascii="Times New Roman" w:hAnsi="Times New Roman"/>
          <w:color w:val="auto"/>
          <w:sz w:val="24"/>
        </w:rPr>
        <w:t>Subcellular RNA fractionation assays</w:t>
      </w:r>
      <w:r>
        <w:rPr>
          <w:rFonts w:ascii="Times New Roman Regular" w:hAnsi="Times New Roman Regular" w:cs="Times New Roman Regular"/>
          <w:color w:val="auto"/>
          <w:sz w:val="24"/>
        </w:rPr>
        <w:t xml:space="preserve"> were conducted to determine the subcellular localization of c</w:t>
      </w:r>
      <w:r>
        <w:rPr>
          <w:rFonts w:hint="eastAsia" w:ascii="Times New Roman" w:hAnsi="Times New Roman"/>
          <w:color w:val="auto"/>
          <w:sz w:val="24"/>
        </w:rPr>
        <w:t>ZNF215</w:t>
      </w:r>
      <w:r>
        <w:rPr>
          <w:rFonts w:ascii="Times New Roman Regular" w:hAnsi="Times New Roman Regular" w:cs="Times New Roman Regular"/>
          <w:color w:val="auto"/>
          <w:sz w:val="24"/>
        </w:rPr>
        <w:t xml:space="preserve"> and </w:t>
      </w:r>
      <w:r>
        <w:rPr>
          <w:rFonts w:hint="eastAsia" w:ascii="Times New Roman" w:hAnsi="Times New Roman"/>
          <w:color w:val="auto"/>
          <w:sz w:val="24"/>
        </w:rPr>
        <w:t>ZNF215</w:t>
      </w:r>
      <w:r>
        <w:rPr>
          <w:rFonts w:ascii="Times New Roman" w:hAnsi="Times New Roman"/>
          <w:color w:val="auto"/>
          <w:sz w:val="24"/>
        </w:rPr>
        <w:t xml:space="preserve"> </w:t>
      </w:r>
      <w:r>
        <w:rPr>
          <w:rFonts w:hint="eastAsia" w:ascii="Times New Roman" w:hAnsi="Times New Roman"/>
          <w:color w:val="auto"/>
          <w:sz w:val="24"/>
        </w:rPr>
        <w:t>mRNA</w:t>
      </w:r>
      <w:r>
        <w:rPr>
          <w:rFonts w:ascii="Times New Roman Regular" w:hAnsi="Times New Roman Regular" w:cs="Times New Roman Regular"/>
          <w:color w:val="auto"/>
          <w:sz w:val="24"/>
        </w:rPr>
        <w:t xml:space="preserve"> in </w:t>
      </w:r>
      <w:r>
        <w:rPr>
          <w:rFonts w:ascii="Times New Roman" w:hAnsi="Times New Roman"/>
          <w:color w:val="auto"/>
          <w:sz w:val="24"/>
        </w:rPr>
        <w:t xml:space="preserve">HuCCT1 and </w:t>
      </w:r>
      <w:r>
        <w:rPr>
          <w:rFonts w:ascii="Times New Roman Regular" w:hAnsi="Times New Roman Regular" w:cs="Times New Roman Regular"/>
          <w:color w:val="auto"/>
          <w:sz w:val="24"/>
        </w:rPr>
        <w:t xml:space="preserve">RBE cells. U3 and β-actin were used as </w:t>
      </w:r>
      <w:r>
        <w:rPr>
          <w:rFonts w:ascii="Times New Roman" w:hAnsi="Times New Roman"/>
          <w:color w:val="auto"/>
          <w:sz w:val="24"/>
        </w:rPr>
        <w:t>nuclear and cytoplasmic</w:t>
      </w:r>
      <w:r>
        <w:rPr>
          <w:rFonts w:hint="eastAsia" w:ascii="Times New Roman" w:hAnsi="Times New Roman"/>
          <w:color w:val="auto"/>
          <w:sz w:val="24"/>
        </w:rPr>
        <w:t xml:space="preserve"> </w:t>
      </w:r>
      <w:r>
        <w:rPr>
          <w:rFonts w:ascii="Times New Roman" w:hAnsi="Times New Roman"/>
          <w:color w:val="auto"/>
          <w:sz w:val="24"/>
        </w:rPr>
        <w:t xml:space="preserve">internal reference, respectively. </w:t>
      </w:r>
      <w:r>
        <w:rPr>
          <w:rFonts w:ascii="Times New Roman" w:hAnsi="Times New Roman"/>
          <w:b/>
          <w:bCs/>
          <w:color w:val="auto"/>
          <w:sz w:val="24"/>
        </w:rPr>
        <w:t>(E)</w:t>
      </w:r>
      <w:r>
        <w:rPr>
          <w:rFonts w:ascii="Times New Roman" w:hAnsi="Times New Roman"/>
          <w:color w:val="auto"/>
          <w:sz w:val="24"/>
        </w:rPr>
        <w:t xml:space="preserve"> T</w:t>
      </w:r>
      <w:r>
        <w:rPr>
          <w:rFonts w:hint="eastAsia" w:ascii="Times New Roman" w:hAnsi="Times New Roman"/>
          <w:color w:val="auto"/>
          <w:sz w:val="24"/>
          <w:lang w:eastAsia="zh-Hans"/>
        </w:rPr>
        <w:t>he</w:t>
      </w:r>
      <w:r>
        <w:rPr>
          <w:rFonts w:ascii="Times New Roman" w:hAnsi="Times New Roman"/>
          <w:color w:val="auto"/>
          <w:sz w:val="24"/>
          <w:lang w:eastAsia="zh-Hans"/>
        </w:rPr>
        <w:t xml:space="preserve"> </w:t>
      </w:r>
      <w:r>
        <w:rPr>
          <w:rFonts w:hint="eastAsia" w:ascii="Times New Roman" w:hAnsi="Times New Roman"/>
          <w:color w:val="auto"/>
          <w:sz w:val="24"/>
        </w:rPr>
        <w:t xml:space="preserve">localization of </w:t>
      </w:r>
      <w:r>
        <w:rPr>
          <w:rFonts w:ascii="Times New Roman Regular" w:hAnsi="Times New Roman Regular" w:cs="Times New Roman Regular"/>
          <w:color w:val="auto"/>
          <w:sz w:val="24"/>
        </w:rPr>
        <w:t>c</w:t>
      </w:r>
      <w:r>
        <w:rPr>
          <w:rFonts w:hint="eastAsia" w:ascii="Times New Roman" w:hAnsi="Times New Roman"/>
          <w:color w:val="auto"/>
          <w:sz w:val="24"/>
        </w:rPr>
        <w:t xml:space="preserve">ZNF215 was </w:t>
      </w:r>
      <w:r>
        <w:rPr>
          <w:rFonts w:ascii="Times New Roman" w:hAnsi="Times New Roman"/>
          <w:color w:val="auto"/>
          <w:sz w:val="24"/>
        </w:rPr>
        <w:t xml:space="preserve">further </w:t>
      </w:r>
      <w:r>
        <w:rPr>
          <w:rFonts w:hint="eastAsia" w:ascii="Times New Roman" w:hAnsi="Times New Roman"/>
          <w:color w:val="auto"/>
          <w:sz w:val="24"/>
        </w:rPr>
        <w:t>examined by FISH</w:t>
      </w:r>
      <w:r>
        <w:rPr>
          <w:rFonts w:ascii="Times New Roman" w:hAnsi="Times New Roman"/>
          <w:color w:val="auto"/>
          <w:sz w:val="24"/>
        </w:rPr>
        <w:t xml:space="preserve"> assays.</w:t>
      </w:r>
      <w:r>
        <w:rPr>
          <w:rFonts w:hint="eastAsia" w:ascii="Times New Roman" w:hAnsi="Times New Roman"/>
          <w:color w:val="auto"/>
          <w:sz w:val="24"/>
        </w:rPr>
        <w:t xml:space="preserve"> Scale bar, </w:t>
      </w:r>
      <w:r>
        <w:rPr>
          <w:rFonts w:ascii="Times New Roman" w:hAnsi="Times New Roman"/>
          <w:color w:val="auto"/>
          <w:sz w:val="24"/>
        </w:rPr>
        <w:t>5</w:t>
      </w:r>
      <w:r>
        <w:rPr>
          <w:rFonts w:hint="eastAsia" w:ascii="Times New Roman" w:hAnsi="Times New Roman"/>
          <w:color w:val="auto"/>
          <w:sz w:val="24"/>
        </w:rPr>
        <w:t xml:space="preserve">0 </w:t>
      </w:r>
      <w:r>
        <w:rPr>
          <w:rFonts w:ascii="Times New Roman Regular" w:hAnsi="Times New Roman Regular" w:cs="Times New Roman Regular"/>
          <w:color w:val="auto"/>
          <w:sz w:val="24"/>
        </w:rPr>
        <w:t>μ</w:t>
      </w:r>
      <w:r>
        <w:rPr>
          <w:rFonts w:hint="eastAsia" w:ascii="Times New Roman" w:hAnsi="Times New Roman"/>
          <w:color w:val="auto"/>
          <w:sz w:val="24"/>
        </w:rPr>
        <w:t>m.</w:t>
      </w:r>
      <w:r>
        <w:rPr>
          <w:rFonts w:ascii="Times New Roman" w:hAnsi="Times New Roman"/>
          <w:color w:val="auto"/>
          <w:sz w:val="24"/>
        </w:rPr>
        <w:t xml:space="preserve"> </w:t>
      </w:r>
    </w:p>
    <w:p>
      <w:pPr>
        <w:spacing w:line="360" w:lineRule="auto"/>
        <w:rPr>
          <w:rFonts w:ascii="Times New Roman" w:hAnsi="Times New Roman"/>
          <w:color w:val="auto"/>
          <w:sz w:val="24"/>
        </w:rPr>
      </w:pPr>
    </w:p>
    <w:p>
      <w:pPr>
        <w:spacing w:line="360" w:lineRule="auto"/>
        <w:rPr>
          <w:rFonts w:ascii="Times New Roman" w:hAnsi="Times New Roman"/>
          <w:b/>
          <w:bCs/>
          <w:color w:val="auto"/>
          <w:sz w:val="24"/>
        </w:rPr>
      </w:pPr>
      <w:r>
        <w:rPr>
          <w:rFonts w:ascii="Times New Roman" w:hAnsi="Times New Roman"/>
          <w:b/>
          <w:bCs/>
          <w:color w:val="auto"/>
          <w:sz w:val="24"/>
        </w:rPr>
        <w:drawing>
          <wp:inline distT="0" distB="0" distL="114300" distR="114300">
            <wp:extent cx="5267960" cy="5598795"/>
            <wp:effectExtent l="0" t="0" r="15240" b="14605"/>
            <wp:docPr id="2" name="图片 2" descr="Figure S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Figure S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5598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rFonts w:ascii="Times New Roman" w:hAnsi="Times New Roman"/>
          <w:color w:val="auto"/>
          <w:sz w:val="24"/>
        </w:rPr>
      </w:pPr>
      <w:r>
        <w:rPr>
          <w:rFonts w:ascii="Times New Roman" w:hAnsi="Times New Roman"/>
          <w:b/>
          <w:bCs/>
          <w:color w:val="auto"/>
          <w:sz w:val="24"/>
        </w:rPr>
        <w:t xml:space="preserve">Figure S2. </w:t>
      </w:r>
      <w:r>
        <w:rPr>
          <w:rFonts w:ascii="Times New Roman" w:hAnsi="Times New Roman"/>
          <w:color w:val="auto"/>
          <w:sz w:val="24"/>
        </w:rPr>
        <w:t xml:space="preserve">cZNF215 promotes cell proliferation of iCCA cells </w:t>
      </w:r>
      <w:r>
        <w:rPr>
          <w:rFonts w:ascii="Times New Roman" w:hAnsi="Times New Roman"/>
          <w:i/>
          <w:iCs/>
          <w:color w:val="C00000"/>
          <w:sz w:val="24"/>
        </w:rPr>
        <w:t>in vitro</w:t>
      </w:r>
      <w:r>
        <w:rPr>
          <w:rFonts w:ascii="Times New Roman" w:hAnsi="Times New Roman"/>
          <w:color w:val="auto"/>
          <w:sz w:val="24"/>
        </w:rPr>
        <w:t xml:space="preserve">. </w:t>
      </w:r>
      <w:r>
        <w:rPr>
          <w:rFonts w:ascii="Times New Roman" w:hAnsi="Times New Roman"/>
          <w:b/>
          <w:bCs/>
          <w:color w:val="auto"/>
          <w:sz w:val="24"/>
        </w:rPr>
        <w:t xml:space="preserve">(A) </w:t>
      </w:r>
      <w:r>
        <w:rPr>
          <w:rFonts w:ascii="Times New Roman" w:hAnsi="Times New Roman"/>
          <w:color w:val="auto"/>
          <w:sz w:val="24"/>
        </w:rPr>
        <w:t>and</w:t>
      </w:r>
      <w:r>
        <w:rPr>
          <w:rFonts w:ascii="Times New Roman" w:hAnsi="Times New Roman"/>
          <w:b/>
          <w:bCs/>
          <w:color w:val="auto"/>
          <w:sz w:val="24"/>
        </w:rPr>
        <w:t xml:space="preserve"> (B) </w:t>
      </w:r>
      <w:r>
        <w:rPr>
          <w:rFonts w:ascii="Times New Roman" w:hAnsi="Times New Roman"/>
          <w:color w:val="auto"/>
          <w:sz w:val="24"/>
        </w:rPr>
        <w:t xml:space="preserve">Relative RNA levels of cZNF215 and ZNF215 mRNA after knockdown of cZNF215 in RBE and HuCCT1 cells. </w:t>
      </w:r>
      <w:r>
        <w:rPr>
          <w:rFonts w:ascii="Times New Roman" w:hAnsi="Times New Roman"/>
          <w:b/>
          <w:bCs/>
          <w:color w:val="auto"/>
          <w:sz w:val="24"/>
        </w:rPr>
        <w:t>(C)</w:t>
      </w:r>
      <w:r>
        <w:rPr>
          <w:rFonts w:ascii="Times New Roman" w:hAnsi="Times New Roman"/>
          <w:color w:val="auto"/>
          <w:sz w:val="24"/>
        </w:rPr>
        <w:t xml:space="preserve"> and </w:t>
      </w:r>
      <w:r>
        <w:rPr>
          <w:rFonts w:ascii="Times New Roman" w:hAnsi="Times New Roman"/>
          <w:b/>
          <w:bCs/>
          <w:color w:val="auto"/>
          <w:sz w:val="24"/>
        </w:rPr>
        <w:t xml:space="preserve">(D) </w:t>
      </w:r>
      <w:r>
        <w:rPr>
          <w:rFonts w:ascii="Times New Roman" w:hAnsi="Times New Roman"/>
          <w:color w:val="auto"/>
          <w:sz w:val="24"/>
        </w:rPr>
        <w:t xml:space="preserve">Relative RNA levels of cZNF215 and ZNF215 mRNA after overexpression of cZNF215 in HuCCT1 and HCCC9810 cells. </w:t>
      </w:r>
      <w:r>
        <w:rPr>
          <w:rFonts w:ascii="Times New Roman" w:hAnsi="Times New Roman"/>
          <w:b/>
          <w:bCs/>
          <w:color w:val="auto"/>
          <w:sz w:val="24"/>
        </w:rPr>
        <w:t>(E)</w:t>
      </w:r>
      <w:r>
        <w:rPr>
          <w:rFonts w:ascii="Times New Roman" w:hAnsi="Times New Roman"/>
          <w:color w:val="auto"/>
          <w:sz w:val="24"/>
        </w:rPr>
        <w:t xml:space="preserve"> and </w:t>
      </w:r>
      <w:r>
        <w:rPr>
          <w:rFonts w:ascii="Times New Roman" w:hAnsi="Times New Roman"/>
          <w:b/>
          <w:bCs/>
          <w:color w:val="auto"/>
          <w:sz w:val="24"/>
        </w:rPr>
        <w:t xml:space="preserve">(F) </w:t>
      </w:r>
      <w:r>
        <w:rPr>
          <w:rFonts w:ascii="Times New Roman" w:hAnsi="Times New Roman"/>
          <w:color w:val="auto"/>
          <w:sz w:val="24"/>
        </w:rPr>
        <w:t xml:space="preserve">Cell cycle analyses </w:t>
      </w:r>
      <w:r>
        <w:rPr>
          <w:rFonts w:hint="eastAsia" w:ascii="Times New Roman" w:hAnsi="Times New Roman"/>
          <w:color w:val="auto"/>
          <w:sz w:val="24"/>
        </w:rPr>
        <w:t>were performed to</w:t>
      </w:r>
      <w:r>
        <w:rPr>
          <w:rFonts w:ascii="Times New Roman" w:hAnsi="Times New Roman"/>
          <w:color w:val="auto"/>
          <w:sz w:val="24"/>
        </w:rPr>
        <w:t xml:space="preserve"> </w:t>
      </w:r>
      <w:r>
        <w:rPr>
          <w:rFonts w:hint="eastAsia" w:ascii="Times New Roman" w:hAnsi="Times New Roman"/>
          <w:color w:val="auto"/>
          <w:sz w:val="24"/>
        </w:rPr>
        <w:t>evaluate</w:t>
      </w:r>
      <w:r>
        <w:rPr>
          <w:rFonts w:ascii="Times New Roman" w:hAnsi="Times New Roman"/>
          <w:color w:val="auto"/>
          <w:sz w:val="24"/>
        </w:rPr>
        <w:t xml:space="preserve"> the effects</w:t>
      </w:r>
      <w:r>
        <w:rPr>
          <w:rFonts w:hint="eastAsia" w:ascii="Times New Roman" w:hAnsi="Times New Roman"/>
          <w:color w:val="auto"/>
          <w:sz w:val="24"/>
        </w:rPr>
        <w:t xml:space="preserve"> </w:t>
      </w:r>
      <w:r>
        <w:rPr>
          <w:rFonts w:ascii="Times New Roman" w:hAnsi="Times New Roman"/>
          <w:color w:val="auto"/>
          <w:sz w:val="24"/>
        </w:rPr>
        <w:t xml:space="preserve">of cZNF215 on cell cycle of iCCA cells. </w:t>
      </w:r>
      <w:r>
        <w:rPr>
          <w:rFonts w:ascii="Times New Roman" w:hAnsi="Times New Roman"/>
          <w:b/>
          <w:bCs/>
          <w:color w:val="auto"/>
          <w:sz w:val="24"/>
        </w:rPr>
        <w:t>(G)</w:t>
      </w:r>
      <w:r>
        <w:rPr>
          <w:rFonts w:ascii="Times New Roman" w:hAnsi="Times New Roman"/>
          <w:color w:val="auto"/>
          <w:sz w:val="24"/>
        </w:rPr>
        <w:t xml:space="preserve"> and </w:t>
      </w:r>
      <w:r>
        <w:rPr>
          <w:rFonts w:ascii="Times New Roman" w:hAnsi="Times New Roman"/>
          <w:b/>
          <w:bCs/>
          <w:color w:val="auto"/>
          <w:sz w:val="24"/>
        </w:rPr>
        <w:t xml:space="preserve">(H) </w:t>
      </w:r>
      <w:r>
        <w:rPr>
          <w:rFonts w:hint="eastAsia" w:ascii="Times New Roman" w:hAnsi="Times New Roman"/>
          <w:color w:val="auto"/>
          <w:sz w:val="24"/>
        </w:rPr>
        <w:t xml:space="preserve">Colony formation assays were </w:t>
      </w:r>
      <w:r>
        <w:rPr>
          <w:rFonts w:ascii="Times New Roman" w:hAnsi="Times New Roman"/>
          <w:color w:val="auto"/>
          <w:sz w:val="24"/>
        </w:rPr>
        <w:t>conduct</w:t>
      </w:r>
      <w:r>
        <w:rPr>
          <w:rFonts w:hint="eastAsia" w:ascii="Times New Roman" w:hAnsi="Times New Roman"/>
          <w:color w:val="auto"/>
          <w:sz w:val="24"/>
        </w:rPr>
        <w:t xml:space="preserve">ed to </w:t>
      </w:r>
      <w:r>
        <w:rPr>
          <w:rFonts w:ascii="Times New Roman" w:hAnsi="Times New Roman"/>
          <w:color w:val="auto"/>
          <w:sz w:val="24"/>
        </w:rPr>
        <w:t>assess</w:t>
      </w:r>
      <w:r>
        <w:rPr>
          <w:rFonts w:hint="eastAsia" w:ascii="Times New Roman" w:hAnsi="Times New Roman"/>
          <w:color w:val="auto"/>
          <w:sz w:val="24"/>
        </w:rPr>
        <w:t xml:space="preserve"> the effects of </w:t>
      </w:r>
      <w:r>
        <w:rPr>
          <w:rFonts w:ascii="Times New Roman" w:hAnsi="Times New Roman"/>
          <w:color w:val="auto"/>
          <w:sz w:val="24"/>
        </w:rPr>
        <w:t>cZNF215</w:t>
      </w:r>
      <w:r>
        <w:rPr>
          <w:rFonts w:hint="eastAsia" w:ascii="Times New Roman" w:hAnsi="Times New Roman"/>
          <w:color w:val="auto"/>
          <w:sz w:val="24"/>
        </w:rPr>
        <w:t xml:space="preserve"> </w:t>
      </w:r>
      <w:r>
        <w:rPr>
          <w:rFonts w:ascii="Times New Roman" w:hAnsi="Times New Roman"/>
          <w:color w:val="auto"/>
          <w:sz w:val="24"/>
        </w:rPr>
        <w:t xml:space="preserve">on cell </w:t>
      </w:r>
      <w:r>
        <w:rPr>
          <w:rFonts w:hint="eastAsia" w:ascii="Times New Roman" w:hAnsi="Times New Roman"/>
          <w:color w:val="auto"/>
          <w:sz w:val="24"/>
        </w:rPr>
        <w:t>proliferati</w:t>
      </w:r>
      <w:r>
        <w:rPr>
          <w:rFonts w:ascii="Times New Roman" w:hAnsi="Times New Roman"/>
          <w:color w:val="auto"/>
          <w:sz w:val="24"/>
        </w:rPr>
        <w:t>on</w:t>
      </w:r>
      <w:r>
        <w:rPr>
          <w:rFonts w:hint="eastAsia" w:ascii="Times New Roman" w:hAnsi="Times New Roman"/>
          <w:color w:val="auto"/>
          <w:sz w:val="24"/>
        </w:rPr>
        <w:t xml:space="preserve"> </w:t>
      </w:r>
      <w:r>
        <w:rPr>
          <w:rFonts w:ascii="Times New Roman" w:hAnsi="Times New Roman"/>
          <w:color w:val="auto"/>
          <w:sz w:val="24"/>
        </w:rPr>
        <w:t>of iCCA cells.</w:t>
      </w:r>
    </w:p>
    <w:p>
      <w:pPr>
        <w:spacing w:line="360" w:lineRule="auto"/>
        <w:rPr>
          <w:rFonts w:ascii="Times New Roman" w:hAnsi="Times New Roman"/>
          <w:color w:val="auto"/>
          <w:sz w:val="24"/>
        </w:rPr>
      </w:pPr>
    </w:p>
    <w:p>
      <w:pPr>
        <w:spacing w:line="360" w:lineRule="auto"/>
        <w:rPr>
          <w:rFonts w:ascii="Times New Roman" w:hAnsi="Times New Roman"/>
          <w:color w:val="auto"/>
          <w:sz w:val="24"/>
        </w:rPr>
      </w:pPr>
    </w:p>
    <w:p>
      <w:pPr>
        <w:spacing w:line="360" w:lineRule="auto"/>
        <w:rPr>
          <w:rFonts w:ascii="Times New Roman" w:hAnsi="Times New Roman"/>
          <w:color w:val="auto"/>
          <w:sz w:val="24"/>
        </w:rPr>
      </w:pPr>
    </w:p>
    <w:p>
      <w:pPr>
        <w:spacing w:line="360" w:lineRule="auto"/>
        <w:rPr>
          <w:rFonts w:ascii="Times New Roman" w:hAnsi="Times New Roman"/>
          <w:color w:val="auto"/>
          <w:sz w:val="24"/>
        </w:rPr>
      </w:pPr>
      <w:r>
        <w:rPr>
          <w:rFonts w:ascii="Times New Roman" w:hAnsi="Times New Roman"/>
          <w:color w:val="auto"/>
          <w:sz w:val="24"/>
        </w:rPr>
        <w:drawing>
          <wp:inline distT="0" distB="0" distL="114300" distR="114300">
            <wp:extent cx="5269865" cy="4013835"/>
            <wp:effectExtent l="0" t="0" r="13335" b="24765"/>
            <wp:docPr id="3" name="图片 3" descr="Figure S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Figure S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4013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rFonts w:ascii="Times New Roman" w:hAnsi="Times New Roman"/>
          <w:color w:val="auto"/>
          <w:sz w:val="24"/>
        </w:rPr>
      </w:pPr>
      <w:r>
        <w:rPr>
          <w:rFonts w:ascii="Times New Roman" w:hAnsi="Times New Roman"/>
          <w:b/>
          <w:bCs/>
          <w:color w:val="auto"/>
          <w:sz w:val="24"/>
        </w:rPr>
        <w:t xml:space="preserve">Figure S3. </w:t>
      </w:r>
      <w:r>
        <w:rPr>
          <w:rFonts w:ascii="Times New Roman" w:hAnsi="Times New Roman"/>
          <w:color w:val="auto"/>
          <w:sz w:val="24"/>
        </w:rPr>
        <w:t xml:space="preserve">cZNF215 facilitates tumor growth of iCCA </w:t>
      </w:r>
      <w:r>
        <w:rPr>
          <w:rFonts w:ascii="Times New Roman" w:hAnsi="Times New Roman"/>
          <w:i/>
          <w:iCs/>
          <w:color w:val="C00000"/>
          <w:sz w:val="24"/>
        </w:rPr>
        <w:t>in vivo</w:t>
      </w:r>
      <w:r>
        <w:rPr>
          <w:rFonts w:ascii="Times New Roman" w:hAnsi="Times New Roman"/>
          <w:color w:val="auto"/>
          <w:sz w:val="24"/>
        </w:rPr>
        <w:t xml:space="preserve">. </w:t>
      </w:r>
      <w:r>
        <w:rPr>
          <w:rFonts w:ascii="Times New Roman" w:hAnsi="Times New Roman"/>
          <w:b/>
          <w:bCs/>
          <w:color w:val="auto"/>
          <w:sz w:val="24"/>
        </w:rPr>
        <w:t>(A)</w:t>
      </w:r>
      <w:r>
        <w:rPr>
          <w:rFonts w:ascii="Times New Roman" w:hAnsi="Times New Roman"/>
          <w:color w:val="auto"/>
          <w:sz w:val="24"/>
        </w:rPr>
        <w:t xml:space="preserve"> and </w:t>
      </w:r>
      <w:r>
        <w:rPr>
          <w:rFonts w:ascii="Times New Roman" w:hAnsi="Times New Roman"/>
          <w:b/>
          <w:bCs/>
          <w:color w:val="auto"/>
          <w:sz w:val="24"/>
        </w:rPr>
        <w:t xml:space="preserve">(B) </w:t>
      </w:r>
      <w:r>
        <w:rPr>
          <w:rFonts w:ascii="Times New Roman" w:hAnsi="Times New Roman"/>
          <w:color w:val="auto"/>
          <w:sz w:val="24"/>
        </w:rPr>
        <w:t xml:space="preserve">Effects of cZNF215 overexpression or knockdown on tumor weight in subcutaneous xenograft models. </w:t>
      </w:r>
    </w:p>
    <w:p>
      <w:pPr>
        <w:spacing w:line="360" w:lineRule="auto"/>
        <w:rPr>
          <w:rFonts w:ascii="Times New Roman" w:hAnsi="Times New Roman"/>
          <w:color w:val="auto"/>
          <w:sz w:val="24"/>
        </w:rPr>
      </w:pPr>
    </w:p>
    <w:p>
      <w:pPr>
        <w:spacing w:line="360" w:lineRule="auto"/>
        <w:rPr>
          <w:rFonts w:ascii="Times New Roman" w:hAnsi="Times New Roman"/>
          <w:color w:val="auto"/>
          <w:sz w:val="24"/>
        </w:rPr>
      </w:pPr>
      <w:r>
        <w:rPr>
          <w:rFonts w:ascii="Times New Roman" w:hAnsi="Times New Roman"/>
          <w:color w:val="auto"/>
          <w:sz w:val="24"/>
        </w:rPr>
        <w:drawing>
          <wp:inline distT="0" distB="0" distL="114300" distR="114300">
            <wp:extent cx="5254625" cy="7537450"/>
            <wp:effectExtent l="0" t="0" r="3175" b="6350"/>
            <wp:docPr id="4" name="图片 4" descr="Figure S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Figure S4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54625" cy="753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rFonts w:ascii="Times New Roman" w:hAnsi="Times New Roman"/>
          <w:color w:val="auto"/>
          <w:sz w:val="24"/>
        </w:rPr>
      </w:pPr>
      <w:r>
        <w:rPr>
          <w:rFonts w:ascii="Times New Roman" w:hAnsi="Times New Roman"/>
          <w:b/>
          <w:bCs/>
          <w:color w:val="auto"/>
          <w:sz w:val="24"/>
        </w:rPr>
        <w:t xml:space="preserve">Figure S4. </w:t>
      </w:r>
      <w:r>
        <w:rPr>
          <w:rFonts w:ascii="Times New Roman" w:hAnsi="Times New Roman"/>
          <w:color w:val="auto"/>
          <w:sz w:val="24"/>
        </w:rPr>
        <w:t>cZNF215 promotes iCCA proliferation</w:t>
      </w:r>
      <w:r>
        <w:rPr>
          <w:rFonts w:hint="eastAsia" w:ascii="Times New Roman" w:hAnsi="Times New Roman"/>
          <w:color w:val="auto"/>
          <w:sz w:val="24"/>
        </w:rPr>
        <w:t xml:space="preserve"> </w:t>
      </w:r>
      <w:r>
        <w:rPr>
          <w:rFonts w:ascii="Times New Roman" w:hAnsi="Times New Roman"/>
          <w:color w:val="auto"/>
          <w:sz w:val="24"/>
        </w:rPr>
        <w:t xml:space="preserve">and metastasis through inactivation of PTEN/AKT pathway. </w:t>
      </w:r>
      <w:r>
        <w:rPr>
          <w:rFonts w:ascii="Times New Roman" w:hAnsi="Times New Roman"/>
          <w:b/>
          <w:bCs/>
          <w:color w:val="auto"/>
          <w:sz w:val="24"/>
        </w:rPr>
        <w:t xml:space="preserve">(A) </w:t>
      </w:r>
      <w:r>
        <w:rPr>
          <w:rFonts w:ascii="Times New Roman" w:hAnsi="Times New Roman"/>
          <w:color w:val="auto"/>
          <w:sz w:val="24"/>
        </w:rPr>
        <w:t xml:space="preserve">Heatmap of differentially expressed genes of HuCCT1 cells transfected with the control and cZNF215-overexpressing </w:t>
      </w:r>
      <w:r>
        <w:rPr>
          <w:rFonts w:hint="eastAsia" w:ascii="Times New Roman" w:hAnsi="Times New Roman"/>
          <w:color w:val="auto"/>
          <w:sz w:val="24"/>
        </w:rPr>
        <w:t>lentiviral vectors</w:t>
      </w:r>
      <w:r>
        <w:rPr>
          <w:rFonts w:ascii="Times New Roman" w:hAnsi="Times New Roman"/>
          <w:color w:val="auto"/>
          <w:sz w:val="24"/>
        </w:rPr>
        <w:t xml:space="preserve">. </w:t>
      </w:r>
      <w:r>
        <w:rPr>
          <w:rFonts w:ascii="Times New Roman" w:hAnsi="Times New Roman"/>
          <w:b/>
          <w:bCs/>
          <w:color w:val="auto"/>
          <w:sz w:val="24"/>
        </w:rPr>
        <w:t xml:space="preserve">(B) </w:t>
      </w:r>
      <w:r>
        <w:rPr>
          <w:rFonts w:ascii="Times New Roman" w:hAnsi="Times New Roman"/>
          <w:color w:val="auto"/>
          <w:sz w:val="24"/>
        </w:rPr>
        <w:t>and</w:t>
      </w:r>
      <w:r>
        <w:rPr>
          <w:rFonts w:ascii="Times New Roman" w:hAnsi="Times New Roman"/>
          <w:b/>
          <w:bCs/>
          <w:color w:val="auto"/>
          <w:sz w:val="24"/>
        </w:rPr>
        <w:t xml:space="preserve"> (C) </w:t>
      </w:r>
      <w:r>
        <w:rPr>
          <w:rFonts w:ascii="Times New Roman" w:hAnsi="Times New Roman"/>
          <w:color w:val="auto"/>
          <w:sz w:val="24"/>
        </w:rPr>
        <w:t>T</w:t>
      </w:r>
      <w:r>
        <w:rPr>
          <w:rFonts w:hint="eastAsia" w:ascii="Times New Roman" w:hAnsi="Times New Roman"/>
          <w:color w:val="auto"/>
          <w:sz w:val="24"/>
          <w:lang w:eastAsia="zh-Hans"/>
        </w:rPr>
        <w:t>he</w:t>
      </w:r>
      <w:r>
        <w:rPr>
          <w:rFonts w:ascii="Times New Roman" w:hAnsi="Times New Roman"/>
          <w:color w:val="auto"/>
          <w:sz w:val="24"/>
          <w:lang w:eastAsia="zh-Hans"/>
        </w:rPr>
        <w:t xml:space="preserve"> results of </w:t>
      </w:r>
      <w:r>
        <w:rPr>
          <w:rFonts w:hint="eastAsia" w:ascii="Times New Roman" w:hAnsi="Times New Roman"/>
          <w:color w:val="auto"/>
          <w:sz w:val="24"/>
        </w:rPr>
        <w:t>KEGG</w:t>
      </w:r>
      <w:r>
        <w:rPr>
          <w:rFonts w:ascii="Times New Roman" w:hAnsi="Times New Roman"/>
          <w:color w:val="auto"/>
          <w:sz w:val="24"/>
        </w:rPr>
        <w:t xml:space="preserve"> </w:t>
      </w:r>
      <w:r>
        <w:rPr>
          <w:rFonts w:hint="eastAsia" w:ascii="Times New Roman" w:hAnsi="Times New Roman"/>
          <w:color w:val="auto"/>
          <w:sz w:val="24"/>
        </w:rPr>
        <w:t>and</w:t>
      </w:r>
      <w:r>
        <w:rPr>
          <w:rFonts w:ascii="Times New Roman" w:hAnsi="Times New Roman"/>
          <w:color w:val="auto"/>
          <w:sz w:val="24"/>
        </w:rPr>
        <w:t xml:space="preserve"> GO analyses showed the main signaling pathways and the biological process affected by cZNF215 overexpression. </w:t>
      </w:r>
      <w:r>
        <w:rPr>
          <w:rFonts w:ascii="Times New Roman" w:hAnsi="Times New Roman"/>
          <w:b/>
          <w:bCs/>
          <w:color w:val="auto"/>
          <w:sz w:val="24"/>
        </w:rPr>
        <w:t xml:space="preserve">(D) </w:t>
      </w:r>
      <w:r>
        <w:rPr>
          <w:rFonts w:ascii="Times New Roman" w:hAnsi="Times New Roman"/>
          <w:color w:val="auto"/>
          <w:sz w:val="24"/>
        </w:rPr>
        <w:t>and</w:t>
      </w:r>
      <w:r>
        <w:rPr>
          <w:rFonts w:ascii="Times New Roman" w:hAnsi="Times New Roman"/>
          <w:b/>
          <w:bCs/>
          <w:color w:val="auto"/>
          <w:sz w:val="24"/>
        </w:rPr>
        <w:t xml:space="preserve"> (E)</w:t>
      </w:r>
      <w:r>
        <w:rPr>
          <w:rFonts w:ascii="Times New Roman" w:hAnsi="Times New Roman"/>
          <w:color w:val="auto"/>
          <w:sz w:val="24"/>
        </w:rPr>
        <w:t xml:space="preserve"> </w:t>
      </w:r>
      <w:r>
        <w:rPr>
          <w:rFonts w:hint="eastAsia" w:ascii="Times New Roman" w:hAnsi="Times New Roman"/>
          <w:color w:val="auto"/>
          <w:sz w:val="24"/>
        </w:rPr>
        <w:t>Transwell migration and</w:t>
      </w:r>
      <w:r>
        <w:rPr>
          <w:rFonts w:ascii="Times New Roman" w:hAnsi="Times New Roman"/>
          <w:color w:val="auto"/>
          <w:sz w:val="24"/>
        </w:rPr>
        <w:t xml:space="preserve"> matrigel</w:t>
      </w:r>
      <w:r>
        <w:rPr>
          <w:rFonts w:hint="eastAsia" w:ascii="Times New Roman" w:hAnsi="Times New Roman"/>
          <w:color w:val="auto"/>
          <w:sz w:val="24"/>
        </w:rPr>
        <w:t xml:space="preserve"> invasion</w:t>
      </w:r>
      <w:r>
        <w:rPr>
          <w:rFonts w:ascii="Times New Roman" w:hAnsi="Times New Roman"/>
          <w:color w:val="auto"/>
          <w:sz w:val="24"/>
        </w:rPr>
        <w:t xml:space="preserve"> </w:t>
      </w:r>
      <w:r>
        <w:rPr>
          <w:rFonts w:hint="eastAsia" w:ascii="Times New Roman" w:hAnsi="Times New Roman"/>
          <w:color w:val="auto"/>
          <w:sz w:val="24"/>
        </w:rPr>
        <w:t xml:space="preserve">assays </w:t>
      </w:r>
      <w:r>
        <w:rPr>
          <w:rFonts w:ascii="Times New Roman" w:hAnsi="Times New Roman"/>
          <w:color w:val="auto"/>
          <w:sz w:val="24"/>
        </w:rPr>
        <w:t xml:space="preserve">were performed </w:t>
      </w:r>
      <w:r>
        <w:rPr>
          <w:rFonts w:hint="eastAsia" w:ascii="Times New Roman" w:hAnsi="Times New Roman"/>
          <w:color w:val="auto"/>
          <w:sz w:val="24"/>
        </w:rPr>
        <w:t xml:space="preserve">in </w:t>
      </w:r>
      <w:r>
        <w:rPr>
          <w:rFonts w:ascii="Times New Roman" w:hAnsi="Times New Roman"/>
          <w:color w:val="auto"/>
          <w:sz w:val="24"/>
        </w:rPr>
        <w:t>HuCCT1 cells treated with indicated vectors and NAC (an antioxidant), or RBE cells treated with cZNF215 siRNAs</w:t>
      </w:r>
      <w:r>
        <w:rPr>
          <w:rFonts w:ascii="Times New Roman" w:hAnsi="Times New Roman"/>
          <w:color w:val="auto"/>
          <w:sz w:val="24"/>
          <w:szCs w:val="24"/>
        </w:rPr>
        <w:t xml:space="preserve"> and H</w:t>
      </w:r>
      <w:r>
        <w:rPr>
          <w:rFonts w:ascii="Times New Roman" w:hAnsi="Times New Roman"/>
          <w:color w:val="auto"/>
          <w:sz w:val="24"/>
          <w:szCs w:val="24"/>
          <w:vertAlign w:val="subscript"/>
        </w:rPr>
        <w:t>2</w:t>
      </w:r>
      <w:r>
        <w:rPr>
          <w:rFonts w:ascii="Times New Roman" w:hAnsi="Times New Roman"/>
          <w:color w:val="auto"/>
          <w:sz w:val="24"/>
          <w:szCs w:val="24"/>
        </w:rPr>
        <w:t>O</w:t>
      </w:r>
      <w:r>
        <w:rPr>
          <w:rFonts w:ascii="Times New Roman" w:hAnsi="Times New Roman"/>
          <w:color w:val="auto"/>
          <w:sz w:val="24"/>
          <w:szCs w:val="24"/>
          <w:vertAlign w:val="subscript"/>
        </w:rPr>
        <w:t>2</w:t>
      </w:r>
      <w:r>
        <w:rPr>
          <w:rFonts w:hint="eastAsia" w:ascii="Times New Roman" w:hAnsi="Times New Roman"/>
          <w:color w:val="auto"/>
          <w:sz w:val="24"/>
        </w:rPr>
        <w:t>.</w:t>
      </w:r>
      <w:r>
        <w:rPr>
          <w:rFonts w:ascii="Times New Roman" w:hAnsi="Times New Roman"/>
          <w:color w:val="auto"/>
          <w:sz w:val="24"/>
        </w:rPr>
        <w:t xml:space="preserve"> </w:t>
      </w:r>
      <w:r>
        <w:rPr>
          <w:rFonts w:ascii="Times New Roman" w:hAnsi="Times New Roman"/>
          <w:b/>
          <w:bCs/>
          <w:color w:val="auto"/>
          <w:sz w:val="24"/>
        </w:rPr>
        <w:t xml:space="preserve">(F) </w:t>
      </w:r>
      <w:r>
        <w:rPr>
          <w:rFonts w:ascii="Times New Roman" w:hAnsi="Times New Roman"/>
          <w:color w:val="auto"/>
          <w:sz w:val="24"/>
        </w:rPr>
        <w:t xml:space="preserve">Western blot analysis for </w:t>
      </w:r>
      <w:r>
        <w:rPr>
          <w:rFonts w:ascii="Times New Roman" w:hAnsi="Times New Roman"/>
          <w:color w:val="auto"/>
          <w:sz w:val="24"/>
          <w:szCs w:val="24"/>
        </w:rPr>
        <w:t>p-</w:t>
      </w:r>
      <w:r>
        <w:rPr>
          <w:rFonts w:ascii="Times New Roman Regular" w:hAnsi="Times New Roman Regular" w:cs="Times New Roman Regular"/>
          <w:color w:val="auto"/>
          <w:sz w:val="24"/>
          <w:szCs w:val="24"/>
        </w:rPr>
        <w:t>AKT</w:t>
      </w:r>
      <w:r>
        <w:rPr>
          <w:rFonts w:ascii="Times New Roman Regular" w:hAnsi="Times New Roman Regular" w:cs="Times New Roman Regular"/>
          <w:color w:val="auto"/>
          <w:sz w:val="24"/>
          <w:szCs w:val="24"/>
          <w:vertAlign w:val="superscript"/>
        </w:rPr>
        <w:t>Ser473/Thr308</w:t>
      </w:r>
      <w:r>
        <w:rPr>
          <w:rFonts w:ascii="Times New Roman" w:hAnsi="Times New Roman"/>
          <w:color w:val="auto"/>
          <w:sz w:val="24"/>
          <w:szCs w:val="24"/>
        </w:rPr>
        <w:t xml:space="preserve"> and t-AKT</w:t>
      </w:r>
      <w:r>
        <w:rPr>
          <w:rFonts w:ascii="Times New Roman" w:hAnsi="Times New Roman"/>
          <w:color w:val="auto"/>
          <w:sz w:val="24"/>
        </w:rPr>
        <w:t xml:space="preserve"> expression using protein extracts</w:t>
      </w:r>
      <w:r>
        <w:rPr>
          <w:rFonts w:hint="eastAsia" w:ascii="Times New Roman" w:hAnsi="Times New Roman"/>
          <w:color w:val="auto"/>
          <w:sz w:val="24"/>
        </w:rPr>
        <w:t xml:space="preserve"> </w:t>
      </w:r>
      <w:r>
        <w:rPr>
          <w:rFonts w:ascii="Times New Roman" w:hAnsi="Times New Roman"/>
          <w:color w:val="auto"/>
          <w:sz w:val="24"/>
        </w:rPr>
        <w:t xml:space="preserve">from RBE cells treated with SF1670 (a PTEN inhibitor) for 24h. </w:t>
      </w:r>
      <w:r>
        <w:rPr>
          <w:rFonts w:ascii="Times New Roman" w:hAnsi="Times New Roman"/>
          <w:b/>
          <w:bCs/>
          <w:color w:val="auto"/>
          <w:sz w:val="24"/>
        </w:rPr>
        <w:t xml:space="preserve">(G) </w:t>
      </w:r>
      <w:r>
        <w:rPr>
          <w:rFonts w:hint="eastAsia" w:ascii="Times New Roman" w:hAnsi="Times New Roman"/>
          <w:color w:val="auto"/>
          <w:sz w:val="24"/>
        </w:rPr>
        <w:t>Western blot</w:t>
      </w:r>
      <w:r>
        <w:rPr>
          <w:rFonts w:ascii="Times New Roman" w:hAnsi="Times New Roman"/>
          <w:color w:val="auto"/>
          <w:sz w:val="24"/>
        </w:rPr>
        <w:t xml:space="preserve"> </w:t>
      </w:r>
      <w:r>
        <w:rPr>
          <w:rFonts w:hint="eastAsia" w:ascii="Times New Roman" w:hAnsi="Times New Roman"/>
          <w:color w:val="auto"/>
          <w:sz w:val="24"/>
        </w:rPr>
        <w:t xml:space="preserve">assay for </w:t>
      </w:r>
      <w:r>
        <w:rPr>
          <w:rFonts w:ascii="Times New Roman" w:hAnsi="Times New Roman"/>
          <w:color w:val="auto"/>
          <w:sz w:val="24"/>
        </w:rPr>
        <w:t xml:space="preserve">PTEN, </w:t>
      </w:r>
      <w:r>
        <w:rPr>
          <w:rFonts w:ascii="Times New Roman" w:hAnsi="Times New Roman"/>
          <w:color w:val="auto"/>
          <w:sz w:val="24"/>
          <w:szCs w:val="24"/>
        </w:rPr>
        <w:t>p-</w:t>
      </w:r>
      <w:r>
        <w:rPr>
          <w:rFonts w:ascii="Times New Roman Regular" w:hAnsi="Times New Roman Regular" w:cs="Times New Roman Regular"/>
          <w:color w:val="auto"/>
          <w:sz w:val="24"/>
          <w:szCs w:val="24"/>
        </w:rPr>
        <w:t>AKT</w:t>
      </w:r>
      <w:r>
        <w:rPr>
          <w:rFonts w:ascii="Times New Roman Regular" w:hAnsi="Times New Roman Regular" w:cs="Times New Roman Regular"/>
          <w:color w:val="auto"/>
          <w:sz w:val="24"/>
          <w:szCs w:val="24"/>
          <w:vertAlign w:val="superscript"/>
        </w:rPr>
        <w:t>Ser473/Thr308</w:t>
      </w:r>
      <w:r>
        <w:rPr>
          <w:rFonts w:ascii="Times New Roman" w:hAnsi="Times New Roman"/>
          <w:color w:val="auto"/>
          <w:sz w:val="24"/>
          <w:szCs w:val="24"/>
        </w:rPr>
        <w:t xml:space="preserve"> and t-AKT</w:t>
      </w:r>
      <w:r>
        <w:rPr>
          <w:rFonts w:hint="eastAsia" w:ascii="Times New Roman" w:hAnsi="Times New Roman"/>
          <w:color w:val="auto"/>
          <w:sz w:val="24"/>
        </w:rPr>
        <w:t xml:space="preserve"> protein levels in</w:t>
      </w:r>
      <w:r>
        <w:rPr>
          <w:rFonts w:ascii="Times New Roman" w:hAnsi="Times New Roman"/>
          <w:color w:val="auto"/>
          <w:sz w:val="24"/>
        </w:rPr>
        <w:t xml:space="preserve"> RBE cells transfected with cZNF215 </w:t>
      </w:r>
      <w:r>
        <w:rPr>
          <w:rFonts w:hint="eastAsia" w:ascii="Times New Roman" w:hAnsi="Times New Roman"/>
          <w:color w:val="auto"/>
          <w:sz w:val="24"/>
        </w:rPr>
        <w:t>si</w:t>
      </w:r>
      <w:r>
        <w:rPr>
          <w:rFonts w:ascii="Times New Roman" w:hAnsi="Times New Roman"/>
          <w:color w:val="auto"/>
          <w:sz w:val="24"/>
        </w:rPr>
        <w:t xml:space="preserve">RNA or treated with SF1670 (0.4μM). GAPDH served as the internal reference. </w:t>
      </w:r>
      <w:r>
        <w:rPr>
          <w:rFonts w:ascii="Times New Roman" w:hAnsi="Times New Roman"/>
          <w:b/>
          <w:bCs/>
          <w:color w:val="auto"/>
          <w:sz w:val="24"/>
        </w:rPr>
        <w:t>(H)</w:t>
      </w:r>
      <w:r>
        <w:rPr>
          <w:rFonts w:ascii="Times New Roman" w:hAnsi="Times New Roman"/>
          <w:color w:val="auto"/>
          <w:sz w:val="24"/>
        </w:rPr>
        <w:t xml:space="preserve"> </w:t>
      </w:r>
      <w:r>
        <w:rPr>
          <w:rFonts w:hint="eastAsia" w:ascii="Times New Roman" w:hAnsi="Times New Roman"/>
          <w:color w:val="auto"/>
          <w:sz w:val="24"/>
        </w:rPr>
        <w:t xml:space="preserve">Colony formation assays were conducted to </w:t>
      </w:r>
      <w:r>
        <w:rPr>
          <w:rFonts w:ascii="Times New Roman" w:hAnsi="Times New Roman"/>
          <w:color w:val="auto"/>
          <w:sz w:val="24"/>
        </w:rPr>
        <w:t xml:space="preserve">examine colony formation capacity of RBE cells. </w:t>
      </w:r>
      <w:r>
        <w:rPr>
          <w:rFonts w:ascii="Times New Roman" w:hAnsi="Times New Roman"/>
          <w:b/>
          <w:bCs/>
          <w:color w:val="auto"/>
          <w:sz w:val="24"/>
        </w:rPr>
        <w:t xml:space="preserve">(I) </w:t>
      </w:r>
      <w:r>
        <w:rPr>
          <w:rFonts w:ascii="Times New Roman" w:hAnsi="Times New Roman"/>
          <w:color w:val="auto"/>
          <w:sz w:val="24"/>
        </w:rPr>
        <w:t xml:space="preserve">and </w:t>
      </w:r>
      <w:r>
        <w:rPr>
          <w:rFonts w:ascii="Times New Roman" w:hAnsi="Times New Roman"/>
          <w:b/>
          <w:bCs/>
          <w:color w:val="auto"/>
          <w:sz w:val="24"/>
        </w:rPr>
        <w:t xml:space="preserve">(J) </w:t>
      </w:r>
      <w:r>
        <w:rPr>
          <w:rFonts w:ascii="Times New Roman" w:hAnsi="Times New Roman"/>
          <w:color w:val="auto"/>
          <w:sz w:val="24"/>
        </w:rPr>
        <w:t xml:space="preserve">Transwell assays </w:t>
      </w:r>
      <w:r>
        <w:rPr>
          <w:rFonts w:hint="eastAsia" w:ascii="Times New Roman" w:hAnsi="Times New Roman"/>
          <w:color w:val="auto"/>
          <w:sz w:val="24"/>
        </w:rPr>
        <w:t xml:space="preserve">were </w:t>
      </w:r>
      <w:r>
        <w:rPr>
          <w:rFonts w:ascii="Times New Roman" w:hAnsi="Times New Roman"/>
          <w:color w:val="auto"/>
          <w:sz w:val="24"/>
        </w:rPr>
        <w:t>performed</w:t>
      </w:r>
      <w:r>
        <w:rPr>
          <w:rFonts w:hint="eastAsia" w:ascii="Times New Roman" w:hAnsi="Times New Roman"/>
          <w:color w:val="auto"/>
          <w:sz w:val="24"/>
        </w:rPr>
        <w:t xml:space="preserve"> to </w:t>
      </w:r>
      <w:r>
        <w:rPr>
          <w:rFonts w:ascii="Times New Roman" w:hAnsi="Times New Roman"/>
          <w:color w:val="auto"/>
          <w:sz w:val="24"/>
        </w:rPr>
        <w:t>determin</w:t>
      </w:r>
      <w:r>
        <w:rPr>
          <w:rFonts w:hint="eastAsia" w:ascii="Times New Roman" w:hAnsi="Times New Roman"/>
          <w:color w:val="auto"/>
          <w:sz w:val="24"/>
        </w:rPr>
        <w:t>e</w:t>
      </w:r>
      <w:r>
        <w:rPr>
          <w:rFonts w:ascii="Times New Roman" w:hAnsi="Times New Roman"/>
          <w:color w:val="auto"/>
          <w:sz w:val="24"/>
        </w:rPr>
        <w:t xml:space="preserve"> the migration and invasion capacity of RBE cells. Scale bars, 200 μm. </w:t>
      </w:r>
    </w:p>
    <w:p>
      <w:pPr>
        <w:spacing w:line="360" w:lineRule="auto"/>
        <w:rPr>
          <w:rFonts w:ascii="Times New Roman" w:hAnsi="Times New Roman"/>
          <w:color w:val="auto"/>
          <w:sz w:val="24"/>
        </w:rPr>
      </w:pPr>
    </w:p>
    <w:p>
      <w:pPr>
        <w:spacing w:line="360" w:lineRule="auto"/>
        <w:rPr>
          <w:rFonts w:ascii="Times New Roman" w:hAnsi="Times New Roman"/>
          <w:color w:val="auto"/>
          <w:sz w:val="24"/>
        </w:rPr>
      </w:pPr>
    </w:p>
    <w:p>
      <w:pPr>
        <w:spacing w:line="360" w:lineRule="auto"/>
        <w:rPr>
          <w:rFonts w:ascii="Times New Roman" w:hAnsi="Times New Roman"/>
          <w:color w:val="auto"/>
          <w:sz w:val="24"/>
        </w:rPr>
      </w:pPr>
      <w:r>
        <w:rPr>
          <w:rFonts w:ascii="Times New Roman" w:hAnsi="Times New Roman"/>
          <w:color w:val="auto"/>
          <w:sz w:val="24"/>
        </w:rPr>
        <w:drawing>
          <wp:inline distT="0" distB="0" distL="114300" distR="114300">
            <wp:extent cx="5257165" cy="4797425"/>
            <wp:effectExtent l="0" t="0" r="635" b="3175"/>
            <wp:docPr id="5" name="图片 5" descr="Figure S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Figure S5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57165" cy="4797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rFonts w:ascii="Times New Roman" w:hAnsi="Times New Roman"/>
          <w:color w:val="auto"/>
          <w:sz w:val="24"/>
        </w:rPr>
      </w:pPr>
      <w:r>
        <w:rPr>
          <w:rFonts w:ascii="Times New Roman" w:hAnsi="Times New Roman"/>
          <w:b/>
          <w:bCs/>
          <w:color w:val="auto"/>
          <w:sz w:val="24"/>
        </w:rPr>
        <w:t xml:space="preserve">Figure S5. </w:t>
      </w:r>
      <w:r>
        <w:rPr>
          <w:rFonts w:hint="eastAsia" w:ascii="Times New Roman" w:hAnsi="Times New Roman"/>
          <w:color w:val="C00000"/>
          <w:sz w:val="24"/>
        </w:rPr>
        <w:t>P</w:t>
      </w:r>
      <w:r>
        <w:rPr>
          <w:rFonts w:hint="default" w:ascii="Times New Roman" w:hAnsi="Times New Roman"/>
          <w:color w:val="C00000"/>
          <w:sz w:val="24"/>
        </w:rPr>
        <w:t>RDX</w:t>
      </w:r>
      <w:r>
        <w:rPr>
          <w:rFonts w:hint="eastAsia" w:ascii="Times New Roman" w:hAnsi="Times New Roman"/>
          <w:color w:val="C00000"/>
          <w:sz w:val="24"/>
        </w:rPr>
        <w:t>1</w:t>
      </w:r>
      <w:r>
        <w:rPr>
          <w:rFonts w:hint="eastAsia" w:ascii="Times New Roman" w:hAnsi="Times New Roman"/>
          <w:color w:val="auto"/>
          <w:sz w:val="24"/>
        </w:rPr>
        <w:t xml:space="preserve"> </w:t>
      </w:r>
      <w:r>
        <w:rPr>
          <w:rFonts w:hint="default" w:ascii="Times New Roman" w:hAnsi="Times New Roman"/>
          <w:color w:val="auto"/>
          <w:sz w:val="24"/>
        </w:rPr>
        <w:t xml:space="preserve">is </w:t>
      </w:r>
      <w:r>
        <w:rPr>
          <w:rFonts w:hint="eastAsia" w:ascii="Times New Roman" w:hAnsi="Times New Roman"/>
          <w:color w:val="auto"/>
          <w:sz w:val="24"/>
        </w:rPr>
        <w:t>involve</w:t>
      </w:r>
      <w:r>
        <w:rPr>
          <w:rFonts w:hint="default" w:ascii="Times New Roman" w:hAnsi="Times New Roman"/>
          <w:color w:val="auto"/>
          <w:sz w:val="24"/>
        </w:rPr>
        <w:t>d</w:t>
      </w:r>
      <w:r>
        <w:rPr>
          <w:rFonts w:hint="eastAsia" w:ascii="Times New Roman" w:hAnsi="Times New Roman"/>
          <w:color w:val="auto"/>
          <w:sz w:val="24"/>
        </w:rPr>
        <w:t xml:space="preserve"> in cZNF215-mediated PTEN/AKT pathway inactivation by interacting with cZNF215.</w:t>
      </w:r>
      <w:r>
        <w:rPr>
          <w:rFonts w:ascii="Times New Roman" w:hAnsi="Times New Roman"/>
          <w:color w:val="auto"/>
          <w:sz w:val="24"/>
        </w:rPr>
        <w:t xml:space="preserve"> </w:t>
      </w:r>
      <w:r>
        <w:rPr>
          <w:rFonts w:ascii="Times New Roman" w:hAnsi="Times New Roman"/>
          <w:b/>
          <w:bCs/>
          <w:color w:val="auto"/>
          <w:sz w:val="24"/>
        </w:rPr>
        <w:t xml:space="preserve">(A) </w:t>
      </w:r>
      <w:r>
        <w:rPr>
          <w:rFonts w:ascii="Times New Roman" w:hAnsi="Times New Roman"/>
          <w:color w:val="auto"/>
          <w:sz w:val="24"/>
        </w:rPr>
        <w:t xml:space="preserve">Prediction of protein-coding potential of cZNF215 using the circRNADb algorithm. </w:t>
      </w:r>
      <w:r>
        <w:rPr>
          <w:rFonts w:ascii="Times New Roman" w:hAnsi="Times New Roman"/>
          <w:b/>
          <w:bCs/>
          <w:color w:val="auto"/>
          <w:sz w:val="24"/>
        </w:rPr>
        <w:t xml:space="preserve">(B) </w:t>
      </w:r>
      <w:r>
        <w:rPr>
          <w:rFonts w:ascii="Times New Roman" w:hAnsi="Times New Roman"/>
          <w:color w:val="auto"/>
          <w:sz w:val="24"/>
        </w:rPr>
        <w:t xml:space="preserve">RIP assays were conducted in HuCCT1 and RBE cells </w:t>
      </w:r>
      <w:r>
        <w:rPr>
          <w:rFonts w:hint="eastAsia" w:ascii="Times New Roman" w:hAnsi="Times New Roman"/>
          <w:color w:val="auto"/>
          <w:sz w:val="24"/>
        </w:rPr>
        <w:t>to</w:t>
      </w:r>
      <w:r>
        <w:rPr>
          <w:rFonts w:ascii="Times New Roman" w:hAnsi="Times New Roman"/>
          <w:color w:val="auto"/>
          <w:sz w:val="24"/>
        </w:rPr>
        <w:t xml:space="preserve"> determine the interaction between cZNF215 and AGO2. </w:t>
      </w:r>
      <w:r>
        <w:rPr>
          <w:rFonts w:ascii="Times New Roman" w:hAnsi="Times New Roman"/>
          <w:b/>
          <w:bCs/>
          <w:color w:val="auto"/>
          <w:sz w:val="24"/>
        </w:rPr>
        <w:t xml:space="preserve">(C, D and E) </w:t>
      </w:r>
      <w:r>
        <w:rPr>
          <w:rFonts w:hint="eastAsia" w:ascii="Times New Roman" w:hAnsi="Times New Roman"/>
          <w:color w:val="auto"/>
          <w:sz w:val="24"/>
        </w:rPr>
        <w:t>Transwell migration and</w:t>
      </w:r>
      <w:r>
        <w:rPr>
          <w:rFonts w:ascii="Times New Roman" w:hAnsi="Times New Roman"/>
          <w:color w:val="auto"/>
          <w:sz w:val="24"/>
        </w:rPr>
        <w:t xml:space="preserve"> matrigel</w:t>
      </w:r>
      <w:r>
        <w:rPr>
          <w:rFonts w:hint="eastAsia" w:ascii="Times New Roman" w:hAnsi="Times New Roman"/>
          <w:color w:val="auto"/>
          <w:sz w:val="24"/>
        </w:rPr>
        <w:t xml:space="preserve"> invasion</w:t>
      </w:r>
      <w:r>
        <w:rPr>
          <w:rFonts w:ascii="Times New Roman" w:hAnsi="Times New Roman"/>
          <w:color w:val="auto"/>
          <w:sz w:val="24"/>
        </w:rPr>
        <w:t xml:space="preserve"> </w:t>
      </w:r>
      <w:r>
        <w:rPr>
          <w:rFonts w:hint="eastAsia" w:ascii="Times New Roman" w:hAnsi="Times New Roman"/>
          <w:color w:val="auto"/>
          <w:sz w:val="24"/>
        </w:rPr>
        <w:t xml:space="preserve">assays </w:t>
      </w:r>
      <w:r>
        <w:rPr>
          <w:rFonts w:ascii="Times New Roman" w:hAnsi="Times New Roman"/>
          <w:color w:val="auto"/>
          <w:sz w:val="24"/>
        </w:rPr>
        <w:t>were conducted</w:t>
      </w:r>
      <w:r>
        <w:rPr>
          <w:rFonts w:hint="eastAsia" w:ascii="Times New Roman" w:hAnsi="Times New Roman"/>
          <w:color w:val="auto"/>
          <w:sz w:val="24"/>
        </w:rPr>
        <w:t xml:space="preserve"> in </w:t>
      </w:r>
      <w:r>
        <w:rPr>
          <w:rFonts w:ascii="Times New Roman" w:hAnsi="Times New Roman"/>
          <w:color w:val="auto"/>
          <w:sz w:val="24"/>
        </w:rPr>
        <w:t>HuCCT1 cells treated with Prdx1 (</w:t>
      </w:r>
      <w:r>
        <w:rPr>
          <w:rFonts w:hint="eastAsia" w:ascii="Times New Roman" w:hAnsi="Times New Roman"/>
          <w:color w:val="auto"/>
          <w:sz w:val="24"/>
        </w:rPr>
        <w:t>an antioxidant enzyme</w:t>
      </w:r>
      <w:r>
        <w:rPr>
          <w:rFonts w:ascii="Times New Roman" w:hAnsi="Times New Roman"/>
          <w:color w:val="auto"/>
          <w:sz w:val="24"/>
        </w:rPr>
        <w:t xml:space="preserve">) vectors and </w:t>
      </w:r>
      <w:r>
        <w:rPr>
          <w:rFonts w:ascii="Times New Roman" w:hAnsi="Times New Roman"/>
          <w:color w:val="auto"/>
          <w:sz w:val="24"/>
          <w:szCs w:val="24"/>
        </w:rPr>
        <w:t>H</w:t>
      </w:r>
      <w:r>
        <w:rPr>
          <w:rFonts w:ascii="Times New Roman" w:hAnsi="Times New Roman"/>
          <w:color w:val="auto"/>
          <w:sz w:val="24"/>
          <w:szCs w:val="24"/>
          <w:vertAlign w:val="subscript"/>
        </w:rPr>
        <w:t>2</w:t>
      </w:r>
      <w:r>
        <w:rPr>
          <w:rFonts w:ascii="Times New Roman" w:hAnsi="Times New Roman"/>
          <w:color w:val="auto"/>
          <w:sz w:val="24"/>
          <w:szCs w:val="24"/>
        </w:rPr>
        <w:t>O</w:t>
      </w:r>
      <w:r>
        <w:rPr>
          <w:rFonts w:ascii="Times New Roman" w:hAnsi="Times New Roman"/>
          <w:color w:val="auto"/>
          <w:sz w:val="24"/>
          <w:szCs w:val="24"/>
          <w:vertAlign w:val="subscript"/>
        </w:rPr>
        <w:t>2</w:t>
      </w:r>
      <w:r>
        <w:rPr>
          <w:rFonts w:ascii="Times New Roman" w:hAnsi="Times New Roman"/>
          <w:color w:val="auto"/>
          <w:sz w:val="24"/>
        </w:rPr>
        <w:t>, or RBE cells treated with Prdx1 siRNAs</w:t>
      </w:r>
      <w:r>
        <w:rPr>
          <w:rFonts w:ascii="Times New Roman" w:hAnsi="Times New Roman"/>
          <w:color w:val="auto"/>
          <w:sz w:val="24"/>
          <w:szCs w:val="24"/>
        </w:rPr>
        <w:t xml:space="preserve"> and </w:t>
      </w:r>
      <w:r>
        <w:rPr>
          <w:rFonts w:ascii="Times New Roman" w:hAnsi="Times New Roman"/>
          <w:color w:val="auto"/>
          <w:sz w:val="24"/>
        </w:rPr>
        <w:t>NAC</w:t>
      </w:r>
      <w:r>
        <w:rPr>
          <w:rFonts w:hint="eastAsia" w:ascii="Times New Roman" w:hAnsi="Times New Roman"/>
          <w:color w:val="auto"/>
          <w:sz w:val="24"/>
        </w:rPr>
        <w:t>.</w:t>
      </w:r>
      <w:r>
        <w:rPr>
          <w:rFonts w:ascii="Times New Roman" w:hAnsi="Times New Roman"/>
          <w:color w:val="auto"/>
          <w:sz w:val="24"/>
        </w:rPr>
        <w:t xml:space="preserve"> </w:t>
      </w:r>
      <w:r>
        <w:rPr>
          <w:rFonts w:ascii="Times New Roman" w:hAnsi="Times New Roman"/>
          <w:b/>
          <w:bCs/>
          <w:color w:val="auto"/>
          <w:sz w:val="24"/>
        </w:rPr>
        <w:t xml:space="preserve">(F) </w:t>
      </w:r>
      <w:r>
        <w:rPr>
          <w:rFonts w:ascii="Times New Roman" w:hAnsi="Times New Roman"/>
          <w:color w:val="auto"/>
          <w:sz w:val="24"/>
          <w:szCs w:val="24"/>
        </w:rPr>
        <w:t xml:space="preserve">CCK8 assays showed the proliferation ability </w:t>
      </w:r>
      <w:r>
        <w:rPr>
          <w:rFonts w:ascii="Times New Roman" w:hAnsi="Times New Roman"/>
          <w:color w:val="auto"/>
          <w:sz w:val="24"/>
        </w:rPr>
        <w:t>of HuCCT1 and RBE cells</w:t>
      </w:r>
      <w:r>
        <w:rPr>
          <w:rFonts w:ascii="Times New Roman" w:hAnsi="Times New Roman"/>
          <w:color w:val="auto"/>
          <w:sz w:val="24"/>
          <w:szCs w:val="24"/>
        </w:rPr>
        <w:t>.</w:t>
      </w:r>
      <w:r>
        <w:rPr>
          <w:rFonts w:ascii="Times New Roman" w:hAnsi="Times New Roman"/>
          <w:color w:val="auto"/>
          <w:sz w:val="24"/>
        </w:rPr>
        <w:t xml:space="preserve"> Scale bars, 200 μm.</w:t>
      </w:r>
    </w:p>
    <w:p>
      <w:pPr>
        <w:spacing w:line="360" w:lineRule="auto"/>
        <w:rPr>
          <w:rFonts w:ascii="Times New Roman" w:hAnsi="Times New Roman"/>
          <w:color w:val="auto"/>
          <w:sz w:val="24"/>
        </w:rPr>
      </w:pPr>
    </w:p>
    <w:p>
      <w:pPr>
        <w:spacing w:line="360" w:lineRule="auto"/>
        <w:rPr>
          <w:rFonts w:ascii="Times New Roman" w:hAnsi="Times New Roman"/>
          <w:color w:val="auto"/>
          <w:sz w:val="24"/>
        </w:rPr>
      </w:pPr>
    </w:p>
    <w:p>
      <w:pPr>
        <w:spacing w:line="360" w:lineRule="auto"/>
        <w:rPr>
          <w:rFonts w:ascii="Times New Roman" w:hAnsi="Times New Roman"/>
          <w:color w:val="auto"/>
          <w:sz w:val="24"/>
        </w:rPr>
      </w:pPr>
      <w:r>
        <w:rPr>
          <w:rFonts w:ascii="Times New Roman" w:hAnsi="Times New Roman"/>
          <w:color w:val="auto"/>
          <w:sz w:val="24"/>
        </w:rPr>
        <w:drawing>
          <wp:inline distT="0" distB="0" distL="114300" distR="114300">
            <wp:extent cx="5255895" cy="2924810"/>
            <wp:effectExtent l="0" t="0" r="1905" b="21590"/>
            <wp:docPr id="6" name="图片 6" descr="Figure S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Figure S6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55895" cy="2924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rFonts w:ascii="Times New Roman" w:hAnsi="Times New Roman"/>
          <w:b/>
          <w:bCs/>
          <w:color w:val="auto"/>
          <w:sz w:val="24"/>
        </w:rPr>
      </w:pPr>
      <w:r>
        <w:rPr>
          <w:rFonts w:ascii="Times New Roman" w:hAnsi="Times New Roman"/>
          <w:b/>
          <w:bCs/>
          <w:color w:val="auto"/>
          <w:sz w:val="24"/>
        </w:rPr>
        <w:t xml:space="preserve">Figure S6. </w:t>
      </w:r>
      <w:r>
        <w:rPr>
          <w:rFonts w:ascii="Times New Roman" w:hAnsi="Times New Roman"/>
          <w:color w:val="auto"/>
          <w:sz w:val="24"/>
        </w:rPr>
        <w:t xml:space="preserve">cZNF215 serves as a potential therapeutic target of iCCA. </w:t>
      </w:r>
      <w:r>
        <w:rPr>
          <w:rFonts w:ascii="Times New Roman" w:hAnsi="Times New Roman"/>
          <w:b/>
          <w:bCs/>
          <w:color w:val="auto"/>
          <w:sz w:val="24"/>
        </w:rPr>
        <w:t xml:space="preserve">(A) </w:t>
      </w:r>
      <w:r>
        <w:rPr>
          <w:rFonts w:ascii="Times New Roman" w:hAnsi="Times New Roman"/>
          <w:color w:val="auto"/>
          <w:sz w:val="24"/>
        </w:rPr>
        <w:t>and</w:t>
      </w:r>
      <w:r>
        <w:rPr>
          <w:rFonts w:ascii="Times New Roman" w:hAnsi="Times New Roman"/>
          <w:b/>
          <w:bCs/>
          <w:color w:val="auto"/>
          <w:sz w:val="24"/>
        </w:rPr>
        <w:t xml:space="preserve"> (B) </w:t>
      </w:r>
      <w:r>
        <w:rPr>
          <w:rFonts w:ascii="Times New Roman" w:hAnsi="Times New Roman"/>
          <w:color w:val="auto"/>
          <w:sz w:val="24"/>
        </w:rPr>
        <w:t xml:space="preserve">Ipatasertib was used to incubate with HuCCT1 or RBE cells for 72h and the IC50 value was calculated by CCK-8 assays. </w:t>
      </w:r>
    </w:p>
    <w:p>
      <w:pPr>
        <w:spacing w:line="360" w:lineRule="auto"/>
        <w:rPr>
          <w:rFonts w:ascii="Times New Roman" w:hAnsi="Times New Roman"/>
          <w:color w:val="auto"/>
          <w:sz w:val="24"/>
        </w:rPr>
      </w:pPr>
    </w:p>
    <w:p>
      <w:pPr>
        <w:spacing w:line="360" w:lineRule="auto"/>
        <w:rPr>
          <w:rFonts w:ascii="Times New Roman" w:hAnsi="Times New Roman"/>
          <w:color w:val="auto"/>
          <w:sz w:val="24"/>
        </w:rPr>
      </w:pPr>
      <w:r>
        <w:rPr>
          <w:rFonts w:ascii="Times New Roman" w:hAnsi="Times New Roman"/>
          <w:color w:val="auto"/>
          <w:sz w:val="24"/>
        </w:rPr>
        <w:drawing>
          <wp:inline distT="0" distB="0" distL="114300" distR="114300">
            <wp:extent cx="4266565" cy="8863330"/>
            <wp:effectExtent l="0" t="0" r="635" b="1270"/>
            <wp:docPr id="7" name="图片 7" descr="Figure S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Figure S7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266565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rFonts w:hint="default" w:ascii="Times New Roman" w:hAnsi="Times New Roman" w:cs="Times New Roman"/>
          <w:b/>
          <w:bCs/>
          <w:sz w:val="24"/>
        </w:rPr>
      </w:pPr>
      <w:bookmarkStart w:id="0" w:name="_GoBack"/>
      <w:r>
        <w:rPr>
          <w:rFonts w:ascii="Times New Roman" w:hAnsi="Times New Roman"/>
          <w:b/>
          <w:bCs/>
          <w:color w:val="auto"/>
          <w:sz w:val="24"/>
        </w:rPr>
        <w:t>Figure S7.</w:t>
      </w:r>
      <w:r>
        <w:rPr>
          <w:rFonts w:ascii="Times New Roman" w:hAnsi="Times New Roman"/>
          <w:color w:val="auto"/>
          <w:sz w:val="24"/>
        </w:rPr>
        <w:t xml:space="preserve"> Silencing of</w:t>
      </w:r>
      <w:r>
        <w:rPr>
          <w:rFonts w:ascii="Times New Roman" w:hAnsi="Times New Roman"/>
          <w:b/>
          <w:bCs/>
          <w:color w:val="auto"/>
          <w:sz w:val="24"/>
        </w:rPr>
        <w:t xml:space="preserve"> </w:t>
      </w:r>
      <w:r>
        <w:rPr>
          <w:rFonts w:ascii="Times New Roman" w:hAnsi="Times New Roman"/>
          <w:color w:val="auto"/>
          <w:sz w:val="24"/>
        </w:rPr>
        <w:t>cZNF215 enhances antitumor effect of ipatasertib</w:t>
      </w:r>
      <w:r>
        <w:rPr>
          <w:rFonts w:ascii="Times New Roman" w:hAnsi="Times New Roman"/>
          <w:i/>
          <w:iCs/>
          <w:color w:val="auto"/>
          <w:sz w:val="24"/>
        </w:rPr>
        <w:t xml:space="preserve"> </w:t>
      </w:r>
      <w:r>
        <w:rPr>
          <w:rFonts w:ascii="Times New Roman" w:hAnsi="Times New Roman"/>
          <w:i/>
          <w:iCs/>
          <w:color w:val="C00000"/>
          <w:sz w:val="24"/>
        </w:rPr>
        <w:t>in vi</w:t>
      </w:r>
      <w:r>
        <w:rPr>
          <w:rFonts w:hint="eastAsia" w:ascii="Times New Roman" w:hAnsi="Times New Roman"/>
          <w:i/>
          <w:iCs/>
          <w:color w:val="C00000"/>
          <w:sz w:val="24"/>
        </w:rPr>
        <w:t>vo</w:t>
      </w:r>
      <w:r>
        <w:rPr>
          <w:rFonts w:ascii="Times New Roman" w:hAnsi="Times New Roman"/>
          <w:color w:val="auto"/>
          <w:sz w:val="24"/>
        </w:rPr>
        <w:t xml:space="preserve">. </w:t>
      </w:r>
      <w:r>
        <w:rPr>
          <w:rFonts w:ascii="Times New Roman" w:hAnsi="Times New Roman"/>
          <w:b/>
          <w:bCs/>
          <w:color w:val="auto"/>
          <w:sz w:val="24"/>
        </w:rPr>
        <w:t xml:space="preserve">(A) </w:t>
      </w:r>
      <w:r>
        <w:rPr>
          <w:rFonts w:ascii="Times New Roman" w:hAnsi="Times New Roman"/>
          <w:color w:val="auto"/>
          <w:sz w:val="24"/>
        </w:rPr>
        <w:t>and</w:t>
      </w:r>
      <w:r>
        <w:rPr>
          <w:rFonts w:ascii="Times New Roman" w:hAnsi="Times New Roman"/>
          <w:b/>
          <w:bCs/>
          <w:color w:val="auto"/>
          <w:sz w:val="24"/>
        </w:rPr>
        <w:t xml:space="preserve"> (B)</w:t>
      </w:r>
      <w:r>
        <w:rPr>
          <w:rFonts w:ascii="Times New Roman" w:hAnsi="Times New Roman"/>
          <w:color w:val="auto"/>
          <w:sz w:val="24"/>
        </w:rPr>
        <w:t xml:space="preserve"> Representative IHC staining of p-AKT</w:t>
      </w:r>
      <w:r>
        <w:rPr>
          <w:rFonts w:hint="eastAsia" w:ascii="Times New Roman" w:hAnsi="Times New Roman"/>
          <w:color w:val="C00000"/>
          <w:sz w:val="24"/>
          <w:vertAlign w:val="superscript"/>
        </w:rPr>
        <w:t>Ser473/Thr308</w:t>
      </w:r>
      <w:r>
        <w:rPr>
          <w:rFonts w:ascii="Times New Roman" w:hAnsi="Times New Roman"/>
          <w:color w:val="auto"/>
          <w:sz w:val="24"/>
        </w:rPr>
        <w:t xml:space="preserve"> and Ki-67, and </w:t>
      </w:r>
      <w:r>
        <w:rPr>
          <w:rFonts w:ascii="Times New Roman" w:hAnsi="Times New Roman"/>
          <w:color w:val="auto"/>
          <w:sz w:val="24"/>
          <w:szCs w:val="24"/>
        </w:rPr>
        <w:t xml:space="preserve">quantitative analysis of </w:t>
      </w:r>
      <w:r>
        <w:rPr>
          <w:rFonts w:ascii="Times New Roman" w:hAnsi="Times New Roman"/>
          <w:color w:val="auto"/>
          <w:sz w:val="24"/>
        </w:rPr>
        <w:t>p-AKT</w:t>
      </w:r>
      <w:r>
        <w:rPr>
          <w:rFonts w:hint="eastAsia" w:ascii="Times New Roman" w:hAnsi="Times New Roman"/>
          <w:color w:val="C00000"/>
          <w:sz w:val="24"/>
          <w:vertAlign w:val="superscript"/>
        </w:rPr>
        <w:t>Ser473/Thr308</w:t>
      </w:r>
      <w:r>
        <w:rPr>
          <w:rFonts w:ascii="Times New Roman" w:hAnsi="Times New Roman"/>
          <w:color w:val="auto"/>
          <w:sz w:val="24"/>
        </w:rPr>
        <w:t xml:space="preserve"> and Ki-67</w:t>
      </w:r>
      <w:r>
        <w:rPr>
          <w:rFonts w:ascii="Times New Roman" w:hAnsi="Times New Roman"/>
          <w:color w:val="auto"/>
          <w:sz w:val="24"/>
          <w:szCs w:val="24"/>
        </w:rPr>
        <w:t xml:space="preserve"> stain</w:t>
      </w:r>
      <w:bookmarkEnd w:id="0"/>
      <w:r>
        <w:rPr>
          <w:rFonts w:ascii="Times New Roman" w:hAnsi="Times New Roman"/>
          <w:color w:val="auto"/>
          <w:sz w:val="24"/>
          <w:szCs w:val="24"/>
        </w:rPr>
        <w:t>ing results</w:t>
      </w:r>
      <w:r>
        <w:rPr>
          <w:rFonts w:ascii="Times New Roman" w:hAnsi="Times New Roman"/>
          <w:color w:val="auto"/>
          <w:sz w:val="24"/>
        </w:rPr>
        <w:t xml:space="preserve"> in xenografts. Scale bars, 100 μm</w:t>
      </w:r>
      <w:r>
        <w:rPr>
          <w:rFonts w:ascii="Times New Roman" w:hAnsi="Times New Roman"/>
          <w:color w:val="auto"/>
          <w:sz w:val="24"/>
          <w:szCs w:val="24"/>
        </w:rPr>
        <w:t xml:space="preserve">. </w:t>
      </w:r>
      <w:r>
        <w:rPr>
          <w:rFonts w:ascii="Times New Roman" w:hAnsi="Times New Roman"/>
          <w:b/>
          <w:bCs/>
          <w:color w:val="auto"/>
          <w:sz w:val="24"/>
        </w:rPr>
        <w:t xml:space="preserve">(C) </w:t>
      </w:r>
      <w:r>
        <w:rPr>
          <w:rFonts w:ascii="Times New Roman" w:hAnsi="Times New Roman"/>
          <w:color w:val="auto"/>
          <w:sz w:val="24"/>
        </w:rPr>
        <w:t>T</w:t>
      </w:r>
      <w:r>
        <w:rPr>
          <w:rFonts w:hint="eastAsia" w:ascii="Times New Roman" w:hAnsi="Times New Roman"/>
          <w:color w:val="auto"/>
          <w:sz w:val="24"/>
          <w:lang w:eastAsia="zh-Hans"/>
        </w:rPr>
        <w:t>op</w:t>
      </w:r>
      <w:r>
        <w:rPr>
          <w:rFonts w:ascii="Times New Roman" w:hAnsi="Times New Roman"/>
          <w:color w:val="auto"/>
          <w:sz w:val="24"/>
          <w:lang w:eastAsia="zh-Hans"/>
        </w:rPr>
        <w:t>,</w:t>
      </w:r>
      <w:r>
        <w:rPr>
          <w:rFonts w:ascii="Times New Roman" w:hAnsi="Times New Roman"/>
          <w:b/>
          <w:bCs/>
          <w:color w:val="auto"/>
          <w:sz w:val="24"/>
          <w:lang w:eastAsia="zh-Hans"/>
        </w:rPr>
        <w:t xml:space="preserve"> </w:t>
      </w:r>
      <w:r>
        <w:rPr>
          <w:rFonts w:ascii="Times New Roman" w:hAnsi="Times New Roman"/>
          <w:color w:val="auto"/>
          <w:sz w:val="24"/>
        </w:rPr>
        <w:t>representative HE staining of metastatic foci in the livers. Scale bars, 200 μm. Bottom, representative IHC staining of Ki-67 in the livers. Scale bars, 100 μm.</w:t>
      </w:r>
    </w:p>
    <w:sectPr>
      <w:headerReference r:id="rId4" w:type="first"/>
      <w:footerReference r:id="rId7" w:type="first"/>
      <w:footerReference r:id="rId5" w:type="default"/>
      <w:headerReference r:id="rId3" w:type="even"/>
      <w:footerReference r:id="rId6" w:type="even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等线">
    <w:altName w:val="汉仪中等线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汉仪中等线KW">
    <w:panose1 w:val="01010104010101010101"/>
    <w:charset w:val="86"/>
    <w:family w:val="auto"/>
    <w:pitch w:val="default"/>
    <w:sig w:usb0="00000000" w:usb1="00000000" w:usb2="00000000" w:usb3="00000000" w:csb0="00160000" w:csb1="00000000"/>
  </w:font>
  <w:font w:name="等线">
    <w:altName w:val="汉仪中等线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imes New Roman Regular">
    <w:panose1 w:val="02020603050405020304"/>
    <w:charset w:val="00"/>
    <w:family w:val="auto"/>
    <w:pitch w:val="default"/>
    <w:sig w:usb0="00000000" w:usb1="00000000" w:usb2="00000000" w:usb3="00000000" w:csb0="00000000" w:csb1="0000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WAAAAZHJzL1BLAQIUABQAAAAIAIdO4kCzSVju0AAAAAUBAAAPAAAAAAAAAAEAIAAAADgAAABk&#10;cnMvZG93bnJldi54bWxQSwECFAAUAAAACACHTuJAx5e1zjECAABhBAAADgAAAAAAAAABACAAAAA1&#10;AQAAZHJzL2Uyb0RvYy54bWxQSwUGAAAAAAYABgBZAQAA2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5415"/>
    <w:rsid w:val="00003F96"/>
    <w:rsid w:val="000165CA"/>
    <w:rsid w:val="000270A0"/>
    <w:rsid w:val="00032AA6"/>
    <w:rsid w:val="00046898"/>
    <w:rsid w:val="00061709"/>
    <w:rsid w:val="00065F52"/>
    <w:rsid w:val="000701B4"/>
    <w:rsid w:val="00093F89"/>
    <w:rsid w:val="000A7266"/>
    <w:rsid w:val="000B47BE"/>
    <w:rsid w:val="000C035C"/>
    <w:rsid w:val="000C179B"/>
    <w:rsid w:val="000C3E31"/>
    <w:rsid w:val="000D2E63"/>
    <w:rsid w:val="000D48BF"/>
    <w:rsid w:val="000D7C6B"/>
    <w:rsid w:val="000E0491"/>
    <w:rsid w:val="000E4B29"/>
    <w:rsid w:val="000E6C64"/>
    <w:rsid w:val="000F176B"/>
    <w:rsid w:val="00114E6C"/>
    <w:rsid w:val="00116E61"/>
    <w:rsid w:val="0013760D"/>
    <w:rsid w:val="001410FF"/>
    <w:rsid w:val="001425B6"/>
    <w:rsid w:val="00195B9D"/>
    <w:rsid w:val="001D3ADB"/>
    <w:rsid w:val="001F6331"/>
    <w:rsid w:val="00202F29"/>
    <w:rsid w:val="00210F66"/>
    <w:rsid w:val="0021407E"/>
    <w:rsid w:val="00224897"/>
    <w:rsid w:val="00225128"/>
    <w:rsid w:val="00226AA9"/>
    <w:rsid w:val="00235ED0"/>
    <w:rsid w:val="002375DC"/>
    <w:rsid w:val="0024060A"/>
    <w:rsid w:val="00251E27"/>
    <w:rsid w:val="0028720D"/>
    <w:rsid w:val="0029089A"/>
    <w:rsid w:val="00293ACA"/>
    <w:rsid w:val="002A5B14"/>
    <w:rsid w:val="002C13FE"/>
    <w:rsid w:val="002D0895"/>
    <w:rsid w:val="002D4490"/>
    <w:rsid w:val="002D5839"/>
    <w:rsid w:val="002E781D"/>
    <w:rsid w:val="002F50C1"/>
    <w:rsid w:val="002F7484"/>
    <w:rsid w:val="00313455"/>
    <w:rsid w:val="00332DE1"/>
    <w:rsid w:val="003338FB"/>
    <w:rsid w:val="00341E99"/>
    <w:rsid w:val="00365939"/>
    <w:rsid w:val="00371078"/>
    <w:rsid w:val="00386B1A"/>
    <w:rsid w:val="0039103F"/>
    <w:rsid w:val="003B0A9A"/>
    <w:rsid w:val="003B4983"/>
    <w:rsid w:val="003C3C78"/>
    <w:rsid w:val="003D245D"/>
    <w:rsid w:val="003D3CA1"/>
    <w:rsid w:val="003E7FDF"/>
    <w:rsid w:val="003F568A"/>
    <w:rsid w:val="00400747"/>
    <w:rsid w:val="004057A1"/>
    <w:rsid w:val="00406037"/>
    <w:rsid w:val="00406708"/>
    <w:rsid w:val="004131A8"/>
    <w:rsid w:val="004158A3"/>
    <w:rsid w:val="004263DB"/>
    <w:rsid w:val="0043032B"/>
    <w:rsid w:val="00433DF2"/>
    <w:rsid w:val="004538C4"/>
    <w:rsid w:val="0045531B"/>
    <w:rsid w:val="00460B67"/>
    <w:rsid w:val="004679A5"/>
    <w:rsid w:val="00467B98"/>
    <w:rsid w:val="00473EBD"/>
    <w:rsid w:val="00473F3D"/>
    <w:rsid w:val="004820C7"/>
    <w:rsid w:val="00483D65"/>
    <w:rsid w:val="00485188"/>
    <w:rsid w:val="004875D8"/>
    <w:rsid w:val="004A38F7"/>
    <w:rsid w:val="004B77D0"/>
    <w:rsid w:val="004C66FC"/>
    <w:rsid w:val="004D5521"/>
    <w:rsid w:val="004E11CC"/>
    <w:rsid w:val="004E44E1"/>
    <w:rsid w:val="004E6296"/>
    <w:rsid w:val="004F24F2"/>
    <w:rsid w:val="004F2C70"/>
    <w:rsid w:val="004F479C"/>
    <w:rsid w:val="004F5518"/>
    <w:rsid w:val="00514B90"/>
    <w:rsid w:val="0053190D"/>
    <w:rsid w:val="0053224D"/>
    <w:rsid w:val="00534688"/>
    <w:rsid w:val="00565415"/>
    <w:rsid w:val="00565884"/>
    <w:rsid w:val="00572011"/>
    <w:rsid w:val="00592321"/>
    <w:rsid w:val="005968E7"/>
    <w:rsid w:val="005A549E"/>
    <w:rsid w:val="005A6163"/>
    <w:rsid w:val="005B18A8"/>
    <w:rsid w:val="005B27F7"/>
    <w:rsid w:val="005B2AB5"/>
    <w:rsid w:val="005D3048"/>
    <w:rsid w:val="005D4167"/>
    <w:rsid w:val="006100A9"/>
    <w:rsid w:val="006114F8"/>
    <w:rsid w:val="006205D5"/>
    <w:rsid w:val="00651962"/>
    <w:rsid w:val="0065742E"/>
    <w:rsid w:val="00661D04"/>
    <w:rsid w:val="006640F2"/>
    <w:rsid w:val="006806ED"/>
    <w:rsid w:val="00692798"/>
    <w:rsid w:val="0069504E"/>
    <w:rsid w:val="006950BF"/>
    <w:rsid w:val="006B273F"/>
    <w:rsid w:val="006C0CC6"/>
    <w:rsid w:val="006C5DFB"/>
    <w:rsid w:val="006D3974"/>
    <w:rsid w:val="006E4951"/>
    <w:rsid w:val="006E5EBE"/>
    <w:rsid w:val="006F7252"/>
    <w:rsid w:val="006F7587"/>
    <w:rsid w:val="007037A5"/>
    <w:rsid w:val="00705887"/>
    <w:rsid w:val="00706033"/>
    <w:rsid w:val="007121E1"/>
    <w:rsid w:val="00716EE9"/>
    <w:rsid w:val="00730938"/>
    <w:rsid w:val="00733E92"/>
    <w:rsid w:val="00737F56"/>
    <w:rsid w:val="007545EA"/>
    <w:rsid w:val="007776E5"/>
    <w:rsid w:val="00781273"/>
    <w:rsid w:val="007966D6"/>
    <w:rsid w:val="007A5898"/>
    <w:rsid w:val="007D3513"/>
    <w:rsid w:val="007D775B"/>
    <w:rsid w:val="007E256D"/>
    <w:rsid w:val="007E5BA8"/>
    <w:rsid w:val="007F2B7F"/>
    <w:rsid w:val="007F4933"/>
    <w:rsid w:val="00800AF1"/>
    <w:rsid w:val="0080423F"/>
    <w:rsid w:val="008221A0"/>
    <w:rsid w:val="00824D72"/>
    <w:rsid w:val="008309BE"/>
    <w:rsid w:val="00846358"/>
    <w:rsid w:val="00855729"/>
    <w:rsid w:val="00883F05"/>
    <w:rsid w:val="00897215"/>
    <w:rsid w:val="008B2357"/>
    <w:rsid w:val="008B7A54"/>
    <w:rsid w:val="008D70E4"/>
    <w:rsid w:val="008E7631"/>
    <w:rsid w:val="00901768"/>
    <w:rsid w:val="00903882"/>
    <w:rsid w:val="00911B83"/>
    <w:rsid w:val="00914DF2"/>
    <w:rsid w:val="00936219"/>
    <w:rsid w:val="00943A10"/>
    <w:rsid w:val="009642DB"/>
    <w:rsid w:val="00966CB5"/>
    <w:rsid w:val="00994F3E"/>
    <w:rsid w:val="00996DB2"/>
    <w:rsid w:val="009B3ADA"/>
    <w:rsid w:val="009D07CD"/>
    <w:rsid w:val="009D18B6"/>
    <w:rsid w:val="009D2D0C"/>
    <w:rsid w:val="009D6281"/>
    <w:rsid w:val="009E7547"/>
    <w:rsid w:val="00A25423"/>
    <w:rsid w:val="00A26BC8"/>
    <w:rsid w:val="00A35139"/>
    <w:rsid w:val="00A36E3F"/>
    <w:rsid w:val="00A56A54"/>
    <w:rsid w:val="00A646A7"/>
    <w:rsid w:val="00A753AF"/>
    <w:rsid w:val="00A7742B"/>
    <w:rsid w:val="00A84674"/>
    <w:rsid w:val="00A93BF6"/>
    <w:rsid w:val="00AC5BEB"/>
    <w:rsid w:val="00AE0B41"/>
    <w:rsid w:val="00AE3289"/>
    <w:rsid w:val="00AF2ED2"/>
    <w:rsid w:val="00B00AF8"/>
    <w:rsid w:val="00B0403D"/>
    <w:rsid w:val="00B041FD"/>
    <w:rsid w:val="00B104AF"/>
    <w:rsid w:val="00B11B5E"/>
    <w:rsid w:val="00B25E0A"/>
    <w:rsid w:val="00B330FA"/>
    <w:rsid w:val="00B37E7C"/>
    <w:rsid w:val="00B4126E"/>
    <w:rsid w:val="00B51F4B"/>
    <w:rsid w:val="00B52211"/>
    <w:rsid w:val="00B6558A"/>
    <w:rsid w:val="00B70B99"/>
    <w:rsid w:val="00B70F9E"/>
    <w:rsid w:val="00B75FE0"/>
    <w:rsid w:val="00B762D9"/>
    <w:rsid w:val="00BA1EDB"/>
    <w:rsid w:val="00BB1F12"/>
    <w:rsid w:val="00BB2692"/>
    <w:rsid w:val="00BB6EE6"/>
    <w:rsid w:val="00BC1D04"/>
    <w:rsid w:val="00BC7DC3"/>
    <w:rsid w:val="00BD2445"/>
    <w:rsid w:val="00BD7946"/>
    <w:rsid w:val="00BE53A3"/>
    <w:rsid w:val="00BE639C"/>
    <w:rsid w:val="00BE6633"/>
    <w:rsid w:val="00BF4C37"/>
    <w:rsid w:val="00C14653"/>
    <w:rsid w:val="00C1530E"/>
    <w:rsid w:val="00C15D4A"/>
    <w:rsid w:val="00C24358"/>
    <w:rsid w:val="00C40933"/>
    <w:rsid w:val="00C4717B"/>
    <w:rsid w:val="00C508E0"/>
    <w:rsid w:val="00C54727"/>
    <w:rsid w:val="00C70F72"/>
    <w:rsid w:val="00C73F85"/>
    <w:rsid w:val="00C74340"/>
    <w:rsid w:val="00C800CD"/>
    <w:rsid w:val="00C8014F"/>
    <w:rsid w:val="00CA5616"/>
    <w:rsid w:val="00CB3810"/>
    <w:rsid w:val="00CB4408"/>
    <w:rsid w:val="00CC557D"/>
    <w:rsid w:val="00CC6160"/>
    <w:rsid w:val="00CE2B4E"/>
    <w:rsid w:val="00CF0F7B"/>
    <w:rsid w:val="00D10A24"/>
    <w:rsid w:val="00D11EE4"/>
    <w:rsid w:val="00D21CB6"/>
    <w:rsid w:val="00D22E13"/>
    <w:rsid w:val="00D24E33"/>
    <w:rsid w:val="00D3003F"/>
    <w:rsid w:val="00D319B5"/>
    <w:rsid w:val="00D41117"/>
    <w:rsid w:val="00D44903"/>
    <w:rsid w:val="00D50A7D"/>
    <w:rsid w:val="00D5761D"/>
    <w:rsid w:val="00D618C7"/>
    <w:rsid w:val="00D63D34"/>
    <w:rsid w:val="00D7504B"/>
    <w:rsid w:val="00D86764"/>
    <w:rsid w:val="00DA1692"/>
    <w:rsid w:val="00DA3946"/>
    <w:rsid w:val="00DB75E2"/>
    <w:rsid w:val="00DD0356"/>
    <w:rsid w:val="00DD2C1C"/>
    <w:rsid w:val="00DE01D8"/>
    <w:rsid w:val="00DE0D6E"/>
    <w:rsid w:val="00DE587C"/>
    <w:rsid w:val="00E009B4"/>
    <w:rsid w:val="00E04050"/>
    <w:rsid w:val="00E13B30"/>
    <w:rsid w:val="00E23543"/>
    <w:rsid w:val="00E434BF"/>
    <w:rsid w:val="00E46E33"/>
    <w:rsid w:val="00E66530"/>
    <w:rsid w:val="00E75C42"/>
    <w:rsid w:val="00E77598"/>
    <w:rsid w:val="00E90DEC"/>
    <w:rsid w:val="00EA2A07"/>
    <w:rsid w:val="00EA4196"/>
    <w:rsid w:val="00EA423E"/>
    <w:rsid w:val="00EB1F31"/>
    <w:rsid w:val="00EC07A9"/>
    <w:rsid w:val="00EC4C25"/>
    <w:rsid w:val="00ED55EF"/>
    <w:rsid w:val="00EE2DB8"/>
    <w:rsid w:val="00EE30FD"/>
    <w:rsid w:val="00EE522C"/>
    <w:rsid w:val="00EE7650"/>
    <w:rsid w:val="00F13492"/>
    <w:rsid w:val="00F212F1"/>
    <w:rsid w:val="00F30282"/>
    <w:rsid w:val="00F349EC"/>
    <w:rsid w:val="00F44FCA"/>
    <w:rsid w:val="00F54D1C"/>
    <w:rsid w:val="00F62DBF"/>
    <w:rsid w:val="00F7240E"/>
    <w:rsid w:val="00F8107D"/>
    <w:rsid w:val="00F967B0"/>
    <w:rsid w:val="00F97C06"/>
    <w:rsid w:val="00FC691F"/>
    <w:rsid w:val="00FE5F8C"/>
    <w:rsid w:val="00FF55F5"/>
    <w:rsid w:val="0EE78C49"/>
    <w:rsid w:val="0EE7A36C"/>
    <w:rsid w:val="134DD96F"/>
    <w:rsid w:val="1BDFA649"/>
    <w:rsid w:val="1CFE7679"/>
    <w:rsid w:val="1E767245"/>
    <w:rsid w:val="1EFCD204"/>
    <w:rsid w:val="1F773355"/>
    <w:rsid w:val="1F7FD3D0"/>
    <w:rsid w:val="1F9F759B"/>
    <w:rsid w:val="1FF225D2"/>
    <w:rsid w:val="1FF75346"/>
    <w:rsid w:val="1FFB5430"/>
    <w:rsid w:val="27E67DCD"/>
    <w:rsid w:val="293951FA"/>
    <w:rsid w:val="2D5B8436"/>
    <w:rsid w:val="2DFEB5A8"/>
    <w:rsid w:val="2E3F5307"/>
    <w:rsid w:val="2F95F585"/>
    <w:rsid w:val="2FC73345"/>
    <w:rsid w:val="32EB58D5"/>
    <w:rsid w:val="35EE613E"/>
    <w:rsid w:val="35FEE157"/>
    <w:rsid w:val="37D38393"/>
    <w:rsid w:val="37EB9BAF"/>
    <w:rsid w:val="392D48B8"/>
    <w:rsid w:val="3AF75878"/>
    <w:rsid w:val="3AFBA282"/>
    <w:rsid w:val="3BCD502B"/>
    <w:rsid w:val="3BDD37C4"/>
    <w:rsid w:val="3BDE5CE3"/>
    <w:rsid w:val="3BEFE33B"/>
    <w:rsid w:val="3BF3CEF4"/>
    <w:rsid w:val="3BFD56D3"/>
    <w:rsid w:val="3CEF9131"/>
    <w:rsid w:val="3D2F7868"/>
    <w:rsid w:val="3E021E44"/>
    <w:rsid w:val="3EF57FF2"/>
    <w:rsid w:val="3EFA5075"/>
    <w:rsid w:val="3F356200"/>
    <w:rsid w:val="3F3F3C3A"/>
    <w:rsid w:val="3FB5FB19"/>
    <w:rsid w:val="3FFBFF8B"/>
    <w:rsid w:val="3FFF8C2A"/>
    <w:rsid w:val="3FFFDDF5"/>
    <w:rsid w:val="417FEF5B"/>
    <w:rsid w:val="43FCC1BC"/>
    <w:rsid w:val="479E7388"/>
    <w:rsid w:val="47ADF41F"/>
    <w:rsid w:val="4B9F5E54"/>
    <w:rsid w:val="4EC78585"/>
    <w:rsid w:val="4FEF8A89"/>
    <w:rsid w:val="4FF7542F"/>
    <w:rsid w:val="5197D455"/>
    <w:rsid w:val="51BFC3EA"/>
    <w:rsid w:val="525F8626"/>
    <w:rsid w:val="537AF4B6"/>
    <w:rsid w:val="53BB49BA"/>
    <w:rsid w:val="55DE1D76"/>
    <w:rsid w:val="55EF2D46"/>
    <w:rsid w:val="563E4890"/>
    <w:rsid w:val="56EC79D8"/>
    <w:rsid w:val="57BA829A"/>
    <w:rsid w:val="57FE8C59"/>
    <w:rsid w:val="58593C59"/>
    <w:rsid w:val="58DE5C37"/>
    <w:rsid w:val="5ABD5633"/>
    <w:rsid w:val="5AEF202F"/>
    <w:rsid w:val="5BB79894"/>
    <w:rsid w:val="5BF622D7"/>
    <w:rsid w:val="5BF73700"/>
    <w:rsid w:val="5C399F95"/>
    <w:rsid w:val="5CFB6790"/>
    <w:rsid w:val="5D7F690B"/>
    <w:rsid w:val="5DCE2B72"/>
    <w:rsid w:val="5DEB3593"/>
    <w:rsid w:val="5DEBAA75"/>
    <w:rsid w:val="5DF6FFE2"/>
    <w:rsid w:val="5DFD0AD5"/>
    <w:rsid w:val="5DFF441B"/>
    <w:rsid w:val="5EFF4667"/>
    <w:rsid w:val="5F7A3258"/>
    <w:rsid w:val="5F7F1C35"/>
    <w:rsid w:val="5F9D2107"/>
    <w:rsid w:val="5FBF6CFD"/>
    <w:rsid w:val="5FE5A235"/>
    <w:rsid w:val="5FF10D60"/>
    <w:rsid w:val="5FFAE111"/>
    <w:rsid w:val="635B615E"/>
    <w:rsid w:val="657FF025"/>
    <w:rsid w:val="66FAA059"/>
    <w:rsid w:val="66FFAAA1"/>
    <w:rsid w:val="673CC7D4"/>
    <w:rsid w:val="67ACBB9D"/>
    <w:rsid w:val="69B30290"/>
    <w:rsid w:val="6AFFE750"/>
    <w:rsid w:val="6B5B550F"/>
    <w:rsid w:val="6B8FE97C"/>
    <w:rsid w:val="6BDBF05D"/>
    <w:rsid w:val="6BEFD8EB"/>
    <w:rsid w:val="6BFFDA46"/>
    <w:rsid w:val="6DBFD08A"/>
    <w:rsid w:val="6DF338CE"/>
    <w:rsid w:val="6DFF5B1F"/>
    <w:rsid w:val="6E735C66"/>
    <w:rsid w:val="6EF9B71A"/>
    <w:rsid w:val="6F35786D"/>
    <w:rsid w:val="6F3F7BAB"/>
    <w:rsid w:val="6F460487"/>
    <w:rsid w:val="6F7FA4EE"/>
    <w:rsid w:val="6FB5D41B"/>
    <w:rsid w:val="6FBF9662"/>
    <w:rsid w:val="6FDF78A3"/>
    <w:rsid w:val="6FEBEEB2"/>
    <w:rsid w:val="6FF7E176"/>
    <w:rsid w:val="6FFA9D42"/>
    <w:rsid w:val="6FFB844B"/>
    <w:rsid w:val="6FFDEDD8"/>
    <w:rsid w:val="713F979A"/>
    <w:rsid w:val="71CB3664"/>
    <w:rsid w:val="737CFF3E"/>
    <w:rsid w:val="73DFACB6"/>
    <w:rsid w:val="73EB1B3C"/>
    <w:rsid w:val="73FF3CD7"/>
    <w:rsid w:val="7527122B"/>
    <w:rsid w:val="753FE521"/>
    <w:rsid w:val="754E2002"/>
    <w:rsid w:val="75ACA6DB"/>
    <w:rsid w:val="75B55C4F"/>
    <w:rsid w:val="75EF94B6"/>
    <w:rsid w:val="75FD99E6"/>
    <w:rsid w:val="75FDC1B4"/>
    <w:rsid w:val="75FFBCAA"/>
    <w:rsid w:val="76696427"/>
    <w:rsid w:val="76F128D3"/>
    <w:rsid w:val="76FB7145"/>
    <w:rsid w:val="76FBA1C0"/>
    <w:rsid w:val="76FD1198"/>
    <w:rsid w:val="76FF0E4A"/>
    <w:rsid w:val="775E89A3"/>
    <w:rsid w:val="777FE6E6"/>
    <w:rsid w:val="77AFD426"/>
    <w:rsid w:val="77B76A59"/>
    <w:rsid w:val="77BD9DCE"/>
    <w:rsid w:val="77CAC513"/>
    <w:rsid w:val="77DF2483"/>
    <w:rsid w:val="77E739E6"/>
    <w:rsid w:val="77EB8D9D"/>
    <w:rsid w:val="77F7F4BA"/>
    <w:rsid w:val="77FDDCF0"/>
    <w:rsid w:val="787A1CCB"/>
    <w:rsid w:val="78EDEF84"/>
    <w:rsid w:val="791FE01A"/>
    <w:rsid w:val="79278A8D"/>
    <w:rsid w:val="799F642B"/>
    <w:rsid w:val="79CF11B8"/>
    <w:rsid w:val="79FFAFBF"/>
    <w:rsid w:val="7A3D5610"/>
    <w:rsid w:val="7ABD1959"/>
    <w:rsid w:val="7B1D2062"/>
    <w:rsid w:val="7B1F2ADE"/>
    <w:rsid w:val="7B7C82E3"/>
    <w:rsid w:val="7B7FEA47"/>
    <w:rsid w:val="7BB4F427"/>
    <w:rsid w:val="7BB91E53"/>
    <w:rsid w:val="7BDB1011"/>
    <w:rsid w:val="7BDE5502"/>
    <w:rsid w:val="7BEE7076"/>
    <w:rsid w:val="7BF69E91"/>
    <w:rsid w:val="7BFD60FE"/>
    <w:rsid w:val="7BFF2F22"/>
    <w:rsid w:val="7BFF7FB5"/>
    <w:rsid w:val="7BFFCFCE"/>
    <w:rsid w:val="7CDF9A48"/>
    <w:rsid w:val="7D2EF443"/>
    <w:rsid w:val="7D7B625B"/>
    <w:rsid w:val="7D7F61A7"/>
    <w:rsid w:val="7DA70CDB"/>
    <w:rsid w:val="7DFAF543"/>
    <w:rsid w:val="7E7E024A"/>
    <w:rsid w:val="7E7F029B"/>
    <w:rsid w:val="7EB765B9"/>
    <w:rsid w:val="7EBB3D35"/>
    <w:rsid w:val="7EBD325F"/>
    <w:rsid w:val="7EBF2921"/>
    <w:rsid w:val="7EEF9EFF"/>
    <w:rsid w:val="7EF8B076"/>
    <w:rsid w:val="7EFD7E00"/>
    <w:rsid w:val="7EFE04F0"/>
    <w:rsid w:val="7F0F0C06"/>
    <w:rsid w:val="7F277881"/>
    <w:rsid w:val="7F2926E0"/>
    <w:rsid w:val="7F3EA7E7"/>
    <w:rsid w:val="7F5F4281"/>
    <w:rsid w:val="7F7A9587"/>
    <w:rsid w:val="7F7DD4C6"/>
    <w:rsid w:val="7F7E581A"/>
    <w:rsid w:val="7F7E78EA"/>
    <w:rsid w:val="7F7EBE48"/>
    <w:rsid w:val="7F7F4C5D"/>
    <w:rsid w:val="7F7F9794"/>
    <w:rsid w:val="7F9B5B55"/>
    <w:rsid w:val="7F9CB367"/>
    <w:rsid w:val="7FAFBBC0"/>
    <w:rsid w:val="7FB57F29"/>
    <w:rsid w:val="7FBB666C"/>
    <w:rsid w:val="7FBF2F6B"/>
    <w:rsid w:val="7FD67FFF"/>
    <w:rsid w:val="7FDE659A"/>
    <w:rsid w:val="7FDE7F19"/>
    <w:rsid w:val="7FE77614"/>
    <w:rsid w:val="7FED5B41"/>
    <w:rsid w:val="7FF7769C"/>
    <w:rsid w:val="7FFD8D0D"/>
    <w:rsid w:val="7FFDDEE3"/>
    <w:rsid w:val="7FFFE3C0"/>
    <w:rsid w:val="8E9D150B"/>
    <w:rsid w:val="8EEE1A31"/>
    <w:rsid w:val="8FFFB152"/>
    <w:rsid w:val="96EE55EE"/>
    <w:rsid w:val="97EFB636"/>
    <w:rsid w:val="99F79CC6"/>
    <w:rsid w:val="9B9F6E0F"/>
    <w:rsid w:val="9CBF0E21"/>
    <w:rsid w:val="9D6BBA20"/>
    <w:rsid w:val="9ED77794"/>
    <w:rsid w:val="9F6E3808"/>
    <w:rsid w:val="9F7DC4D9"/>
    <w:rsid w:val="9FF92B77"/>
    <w:rsid w:val="9FFB1B23"/>
    <w:rsid w:val="9FFD4558"/>
    <w:rsid w:val="A6F7CBEA"/>
    <w:rsid w:val="A7FACAAB"/>
    <w:rsid w:val="AAF50312"/>
    <w:rsid w:val="ABE51A0E"/>
    <w:rsid w:val="ABFE7407"/>
    <w:rsid w:val="AC7D364B"/>
    <w:rsid w:val="AD27C208"/>
    <w:rsid w:val="AECF849A"/>
    <w:rsid w:val="AEEF89F2"/>
    <w:rsid w:val="AFD5528D"/>
    <w:rsid w:val="AFEB863F"/>
    <w:rsid w:val="AFFF2BFC"/>
    <w:rsid w:val="B2E7DC5E"/>
    <w:rsid w:val="B5F8267C"/>
    <w:rsid w:val="B61E883A"/>
    <w:rsid w:val="B6DD4E50"/>
    <w:rsid w:val="B6EBF3D6"/>
    <w:rsid w:val="B6FB0002"/>
    <w:rsid w:val="B77F30D8"/>
    <w:rsid w:val="B799ACB8"/>
    <w:rsid w:val="B7DFD89E"/>
    <w:rsid w:val="B7EDF371"/>
    <w:rsid w:val="B7EE70AA"/>
    <w:rsid w:val="B7F7B94E"/>
    <w:rsid w:val="BA6F099F"/>
    <w:rsid w:val="BB7FBDA5"/>
    <w:rsid w:val="BBC6BBC5"/>
    <w:rsid w:val="BC747A62"/>
    <w:rsid w:val="BDBEDA9E"/>
    <w:rsid w:val="BEFDD4F3"/>
    <w:rsid w:val="BF564D19"/>
    <w:rsid w:val="BFEA655D"/>
    <w:rsid w:val="BFFD1503"/>
    <w:rsid w:val="C1FF5739"/>
    <w:rsid w:val="C7BFFAC8"/>
    <w:rsid w:val="CCFFDF01"/>
    <w:rsid w:val="CD9F3B42"/>
    <w:rsid w:val="CDCFCA13"/>
    <w:rsid w:val="CDDAFFD8"/>
    <w:rsid w:val="CF36E1D5"/>
    <w:rsid w:val="CFBAA797"/>
    <w:rsid w:val="D2E70A8D"/>
    <w:rsid w:val="D3B5DE4E"/>
    <w:rsid w:val="D43716CC"/>
    <w:rsid w:val="D4F56B0F"/>
    <w:rsid w:val="D73B2DB9"/>
    <w:rsid w:val="D77FFCA5"/>
    <w:rsid w:val="D91DDA25"/>
    <w:rsid w:val="DA371BA7"/>
    <w:rsid w:val="DAF3A545"/>
    <w:rsid w:val="DB7B3A74"/>
    <w:rsid w:val="DBFCAC73"/>
    <w:rsid w:val="DBFF8C8A"/>
    <w:rsid w:val="DD571A36"/>
    <w:rsid w:val="DD79572F"/>
    <w:rsid w:val="DDD87D53"/>
    <w:rsid w:val="DDFE8985"/>
    <w:rsid w:val="DE5F0990"/>
    <w:rsid w:val="DE6DCC3C"/>
    <w:rsid w:val="DECE257B"/>
    <w:rsid w:val="DEF6BBD6"/>
    <w:rsid w:val="DEF9DD7F"/>
    <w:rsid w:val="DEFD1A6B"/>
    <w:rsid w:val="DF3FC67F"/>
    <w:rsid w:val="DFAD2AF3"/>
    <w:rsid w:val="DFAF2AEE"/>
    <w:rsid w:val="DFBF74A0"/>
    <w:rsid w:val="DFDD74CF"/>
    <w:rsid w:val="DFEB53CD"/>
    <w:rsid w:val="DFED8361"/>
    <w:rsid w:val="DFEFC1F5"/>
    <w:rsid w:val="DFF52AE2"/>
    <w:rsid w:val="DFFFCFA3"/>
    <w:rsid w:val="E6FF057F"/>
    <w:rsid w:val="E729A619"/>
    <w:rsid w:val="E7761155"/>
    <w:rsid w:val="E7778B52"/>
    <w:rsid w:val="E9DBA0D7"/>
    <w:rsid w:val="E9FD5498"/>
    <w:rsid w:val="EBF7291B"/>
    <w:rsid w:val="EBFF390E"/>
    <w:rsid w:val="ED3E323F"/>
    <w:rsid w:val="ED3F7801"/>
    <w:rsid w:val="EDBF7CAB"/>
    <w:rsid w:val="EDF30C3E"/>
    <w:rsid w:val="EEACB999"/>
    <w:rsid w:val="EEF5E944"/>
    <w:rsid w:val="EEFF81CC"/>
    <w:rsid w:val="EF6DCB9D"/>
    <w:rsid w:val="EF7FABB8"/>
    <w:rsid w:val="EFDED972"/>
    <w:rsid w:val="EFEA0632"/>
    <w:rsid w:val="EFF571AC"/>
    <w:rsid w:val="EFFAEA81"/>
    <w:rsid w:val="EFFBC520"/>
    <w:rsid w:val="EFFEA268"/>
    <w:rsid w:val="EFFFF9F3"/>
    <w:rsid w:val="F1DDEB67"/>
    <w:rsid w:val="F25F6AB0"/>
    <w:rsid w:val="F2D4A92D"/>
    <w:rsid w:val="F2FF746C"/>
    <w:rsid w:val="F3BE8EA0"/>
    <w:rsid w:val="F3D5FD4C"/>
    <w:rsid w:val="F3EF83C4"/>
    <w:rsid w:val="F3F1750D"/>
    <w:rsid w:val="F43F1DAE"/>
    <w:rsid w:val="F4FF0802"/>
    <w:rsid w:val="F57B9F58"/>
    <w:rsid w:val="F5FB7ACF"/>
    <w:rsid w:val="F5FC840A"/>
    <w:rsid w:val="F6BF2962"/>
    <w:rsid w:val="F6EF37E6"/>
    <w:rsid w:val="F71D6F02"/>
    <w:rsid w:val="F71FA281"/>
    <w:rsid w:val="F737DF86"/>
    <w:rsid w:val="F76C9550"/>
    <w:rsid w:val="F77D70D9"/>
    <w:rsid w:val="F7ACFAB6"/>
    <w:rsid w:val="F7DF4033"/>
    <w:rsid w:val="F7E7E97B"/>
    <w:rsid w:val="F7F55C54"/>
    <w:rsid w:val="F7F58CEB"/>
    <w:rsid w:val="F86FBD3D"/>
    <w:rsid w:val="F955DE78"/>
    <w:rsid w:val="F9E299CB"/>
    <w:rsid w:val="F9FFE664"/>
    <w:rsid w:val="FAA5361A"/>
    <w:rsid w:val="FAB7BA6A"/>
    <w:rsid w:val="FABF48BB"/>
    <w:rsid w:val="FAEFC1B7"/>
    <w:rsid w:val="FAFA9092"/>
    <w:rsid w:val="FAFF6CA0"/>
    <w:rsid w:val="FB853EB0"/>
    <w:rsid w:val="FBA7A90A"/>
    <w:rsid w:val="FBB7A2C4"/>
    <w:rsid w:val="FBBDF96F"/>
    <w:rsid w:val="FBCBEAA8"/>
    <w:rsid w:val="FBD71A51"/>
    <w:rsid w:val="FBDF5B06"/>
    <w:rsid w:val="FBDFF227"/>
    <w:rsid w:val="FBF265D9"/>
    <w:rsid w:val="FBF37F1B"/>
    <w:rsid w:val="FBF3B2D5"/>
    <w:rsid w:val="FBFB36FC"/>
    <w:rsid w:val="FBFB86D0"/>
    <w:rsid w:val="FBFF423C"/>
    <w:rsid w:val="FBFFF849"/>
    <w:rsid w:val="FCBDAD68"/>
    <w:rsid w:val="FCD91449"/>
    <w:rsid w:val="FCDD78A9"/>
    <w:rsid w:val="FCE55C03"/>
    <w:rsid w:val="FD4A87EB"/>
    <w:rsid w:val="FD67A82C"/>
    <w:rsid w:val="FD734B84"/>
    <w:rsid w:val="FD7F45F8"/>
    <w:rsid w:val="FDA806CA"/>
    <w:rsid w:val="FDB75FA7"/>
    <w:rsid w:val="FDEDC6F4"/>
    <w:rsid w:val="FDF35465"/>
    <w:rsid w:val="FDF75062"/>
    <w:rsid w:val="FDFF2B8E"/>
    <w:rsid w:val="FE3E3122"/>
    <w:rsid w:val="FE5A49B0"/>
    <w:rsid w:val="FE73D249"/>
    <w:rsid w:val="FE7BF5ED"/>
    <w:rsid w:val="FE7F8145"/>
    <w:rsid w:val="FE99CD9B"/>
    <w:rsid w:val="FE99EF25"/>
    <w:rsid w:val="FE9F1421"/>
    <w:rsid w:val="FEAB45CC"/>
    <w:rsid w:val="FEB5D96A"/>
    <w:rsid w:val="FEBF47E7"/>
    <w:rsid w:val="FECD19A6"/>
    <w:rsid w:val="FED59D01"/>
    <w:rsid w:val="FEDE10D7"/>
    <w:rsid w:val="FEEF5830"/>
    <w:rsid w:val="FEFBA22E"/>
    <w:rsid w:val="FEFD4D1D"/>
    <w:rsid w:val="FEFFAA54"/>
    <w:rsid w:val="FEFFFE4E"/>
    <w:rsid w:val="FF39F910"/>
    <w:rsid w:val="FF550DFF"/>
    <w:rsid w:val="FF68270D"/>
    <w:rsid w:val="FF7EA992"/>
    <w:rsid w:val="FFA376C6"/>
    <w:rsid w:val="FFBAD8F5"/>
    <w:rsid w:val="FFBD028D"/>
    <w:rsid w:val="FFC937AB"/>
    <w:rsid w:val="FFCE859B"/>
    <w:rsid w:val="FFD7A3FB"/>
    <w:rsid w:val="FFDAC0C1"/>
    <w:rsid w:val="FFDB0B51"/>
    <w:rsid w:val="FFDD9384"/>
    <w:rsid w:val="FFDF4AA1"/>
    <w:rsid w:val="FFDF4BAB"/>
    <w:rsid w:val="FFE4F51B"/>
    <w:rsid w:val="FFEB59EC"/>
    <w:rsid w:val="FFED67F7"/>
    <w:rsid w:val="FFEF2A8E"/>
    <w:rsid w:val="FFFB969E"/>
    <w:rsid w:val="FFFBD2DC"/>
    <w:rsid w:val="FFFD6C6A"/>
    <w:rsid w:val="FFFDDD54"/>
    <w:rsid w:val="FFFDE6AB"/>
    <w:rsid w:val="FFFEB883"/>
    <w:rsid w:val="FFFECDC9"/>
    <w:rsid w:val="FFFF537F"/>
    <w:rsid w:val="FFFF5723"/>
    <w:rsid w:val="FFFF59B2"/>
    <w:rsid w:val="FFFFDA73"/>
    <w:rsid w:val="FFFFE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1.png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customXml" Target="../customXml/item1.xml"/><Relationship Id="rId15" Type="http://schemas.openxmlformats.org/officeDocument/2006/relationships/image" Target="media/image7.png"/><Relationship Id="rId14" Type="http://schemas.openxmlformats.org/officeDocument/2006/relationships/image" Target="media/image6.png"/><Relationship Id="rId13" Type="http://schemas.openxmlformats.org/officeDocument/2006/relationships/image" Target="media/image5.png"/><Relationship Id="rId12" Type="http://schemas.openxmlformats.org/officeDocument/2006/relationships/image" Target="media/image4.png"/><Relationship Id="rId11" Type="http://schemas.openxmlformats.org/officeDocument/2006/relationships/image" Target="media/image3.png"/><Relationship Id="rId10" Type="http://schemas.openxmlformats.org/officeDocument/2006/relationships/image" Target="media/image2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1197</Words>
  <Characters>6826</Characters>
  <Lines>56</Lines>
  <Paragraphs>16</Paragraphs>
  <TotalTime>1</TotalTime>
  <ScaleCrop>false</ScaleCrop>
  <LinksUpToDate>false</LinksUpToDate>
  <CharactersWithSpaces>8007</CharactersWithSpaces>
  <Application>WPS Office_5.2.1.7798_F1E327BC-269C-435d-A152-05C5408002CA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2021-08-31T22:31:00Z</dcterms:created>
  <dc:creator>杜 锦鹏</dc:creator>
  <cp:lastModifiedBy>Dr. Liao</cp:lastModifiedBy>
  <dcterms:modified xsi:type="dcterms:W3CDTF">2023-04-19T16:05:50Z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2052-5.2.1.7798</vt:lpwstr>
  </property>
  <property fmtid="{D5CDD505-2E9C-101B-9397-08002B2CF9AE}" pid="3" name="ICV">
    <vt:lpwstr>93F54D186748ADB22FAA1E642341FE4D_42</vt:lpwstr>
  </property>
</Properties>
</file>