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D311B" w14:textId="65FE97F0" w:rsidR="000F15F9" w:rsidRDefault="00DE5861" w:rsidP="00942988">
      <w:r>
        <w:rPr>
          <w:noProof/>
        </w:rPr>
        <w:drawing>
          <wp:inline distT="0" distB="0" distL="0" distR="0" wp14:anchorId="5A94F4CF" wp14:editId="0C9CA798">
            <wp:extent cx="5274310" cy="3427730"/>
            <wp:effectExtent l="0" t="0" r="0" b="0"/>
            <wp:docPr id="38611806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427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3E1133" w14:textId="2D4B19F9" w:rsidR="00942988" w:rsidRPr="00942988" w:rsidRDefault="00942988" w:rsidP="00D61D38">
      <w:r>
        <w:rPr>
          <w:rFonts w:ascii="Times New Roman" w:hAnsi="Times New Roman" w:cs="Times New Roman"/>
          <w:b/>
          <w:bCs/>
          <w:szCs w:val="21"/>
        </w:rPr>
        <w:t xml:space="preserve">Figure S1. </w:t>
      </w:r>
      <w:r w:rsidR="00D61D38" w:rsidRPr="00D61D38">
        <w:rPr>
          <w:rFonts w:ascii="Times New Roman" w:hAnsi="Times New Roman" w:cs="Times New Roman"/>
          <w:b/>
          <w:bCs/>
          <w:szCs w:val="21"/>
        </w:rPr>
        <w:t>GUCY1A2 did not significantly affect the proliferation of NSCLC cells</w:t>
      </w:r>
      <w:r w:rsidR="00D61D38">
        <w:rPr>
          <w:rFonts w:ascii="Times New Roman" w:hAnsi="Times New Roman" w:cs="Times New Roman"/>
          <w:b/>
          <w:bCs/>
          <w:szCs w:val="21"/>
        </w:rPr>
        <w:t xml:space="preserve">. </w:t>
      </w:r>
      <w:r w:rsidR="00D61D38" w:rsidRPr="00D61D38">
        <w:rPr>
          <w:rFonts w:ascii="Times New Roman" w:hAnsi="Times New Roman" w:cs="Times New Roman"/>
          <w:b/>
          <w:bCs/>
          <w:szCs w:val="21"/>
        </w:rPr>
        <w:t>(</w:t>
      </w:r>
      <w:r w:rsidR="00D61D38">
        <w:rPr>
          <w:rFonts w:ascii="Times New Roman" w:hAnsi="Times New Roman" w:cs="Times New Roman"/>
          <w:b/>
          <w:bCs/>
          <w:szCs w:val="21"/>
        </w:rPr>
        <w:t>A</w:t>
      </w:r>
      <w:r w:rsidR="00D61D38" w:rsidRPr="00D61D38">
        <w:rPr>
          <w:rFonts w:ascii="Times New Roman" w:hAnsi="Times New Roman" w:cs="Times New Roman"/>
          <w:b/>
          <w:bCs/>
          <w:szCs w:val="21"/>
        </w:rPr>
        <w:t>) The expressions of mRNA-GUCY1A2 were determined with qPCR in NSCLC cells transfected with negative control or GUCY1A2.</w:t>
      </w:r>
      <w:r w:rsidR="007E7F3E">
        <w:rPr>
          <w:rFonts w:ascii="Times New Roman" w:hAnsi="Times New Roman" w:cs="Times New Roman"/>
          <w:b/>
          <w:bCs/>
          <w:szCs w:val="21"/>
        </w:rPr>
        <w:t xml:space="preserve"> </w:t>
      </w:r>
      <w:r w:rsidR="00D61D38" w:rsidRPr="00D61D38">
        <w:rPr>
          <w:rFonts w:ascii="Times New Roman" w:hAnsi="Times New Roman" w:cs="Times New Roman"/>
          <w:b/>
          <w:bCs/>
          <w:szCs w:val="21"/>
        </w:rPr>
        <w:t>(</w:t>
      </w:r>
      <w:r w:rsidR="007E7F3E">
        <w:rPr>
          <w:rFonts w:ascii="Times New Roman" w:hAnsi="Times New Roman" w:cs="Times New Roman"/>
          <w:b/>
          <w:bCs/>
          <w:szCs w:val="21"/>
        </w:rPr>
        <w:t>B</w:t>
      </w:r>
      <w:r w:rsidR="00D61D38" w:rsidRPr="00D61D38">
        <w:rPr>
          <w:rFonts w:ascii="Times New Roman" w:hAnsi="Times New Roman" w:cs="Times New Roman"/>
          <w:b/>
          <w:bCs/>
          <w:szCs w:val="21"/>
        </w:rPr>
        <w:t>) Assessment of proliferation of A549, H1703</w:t>
      </w:r>
      <w:r w:rsidR="007E7F3E">
        <w:rPr>
          <w:rFonts w:ascii="Times New Roman" w:hAnsi="Times New Roman" w:cs="Times New Roman"/>
          <w:b/>
          <w:bCs/>
          <w:szCs w:val="21"/>
        </w:rPr>
        <w:t>, PC-9</w:t>
      </w:r>
      <w:r w:rsidR="00D61D38" w:rsidRPr="00D61D38">
        <w:rPr>
          <w:rFonts w:ascii="Times New Roman" w:hAnsi="Times New Roman" w:cs="Times New Roman"/>
          <w:b/>
          <w:bCs/>
          <w:szCs w:val="21"/>
        </w:rPr>
        <w:t xml:space="preserve"> and </w:t>
      </w:r>
      <w:r w:rsidR="007E7F3E">
        <w:rPr>
          <w:rFonts w:ascii="Times New Roman" w:hAnsi="Times New Roman" w:cs="Times New Roman"/>
          <w:b/>
          <w:bCs/>
          <w:szCs w:val="21"/>
        </w:rPr>
        <w:t>H129</w:t>
      </w:r>
      <w:r w:rsidR="00D61D38" w:rsidRPr="00D61D38">
        <w:rPr>
          <w:rFonts w:ascii="Times New Roman" w:hAnsi="Times New Roman" w:cs="Times New Roman"/>
          <w:b/>
          <w:bCs/>
          <w:szCs w:val="21"/>
        </w:rPr>
        <w:t xml:space="preserve">9 cells transfected with negative </w:t>
      </w:r>
      <w:proofErr w:type="spellStart"/>
      <w:r w:rsidR="00D61D38" w:rsidRPr="00D61D38">
        <w:rPr>
          <w:rFonts w:ascii="Times New Roman" w:hAnsi="Times New Roman" w:cs="Times New Roman"/>
          <w:b/>
          <w:bCs/>
          <w:szCs w:val="21"/>
        </w:rPr>
        <w:t>cotnrol</w:t>
      </w:r>
      <w:proofErr w:type="spellEnd"/>
      <w:r w:rsidR="00D61D38" w:rsidRPr="00D61D38">
        <w:rPr>
          <w:rFonts w:ascii="Times New Roman" w:hAnsi="Times New Roman" w:cs="Times New Roman"/>
          <w:b/>
          <w:bCs/>
          <w:szCs w:val="21"/>
        </w:rPr>
        <w:t xml:space="preserve"> or GUCY1A2 by CCK-8 assay.</w:t>
      </w:r>
    </w:p>
    <w:p w14:paraId="26DC3790" w14:textId="77777777" w:rsidR="00942988" w:rsidRDefault="00942988" w:rsidP="00942988"/>
    <w:p w14:paraId="2F76FC5D" w14:textId="3A199FAB" w:rsidR="00942988" w:rsidRDefault="00695992" w:rsidP="00942988">
      <w:r>
        <w:rPr>
          <w:noProof/>
        </w:rPr>
        <w:drawing>
          <wp:inline distT="0" distB="0" distL="0" distR="0" wp14:anchorId="1F9D74ED" wp14:editId="4C5D94D2">
            <wp:extent cx="5274310" cy="2604135"/>
            <wp:effectExtent l="0" t="0" r="0" b="0"/>
            <wp:docPr id="116458996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04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95464A" w14:textId="4233E075" w:rsidR="001D3A5A" w:rsidRPr="000670A5" w:rsidRDefault="00485E0D" w:rsidP="00942988">
      <w:pPr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 xml:space="preserve">Figure S2. </w:t>
      </w:r>
      <w:r w:rsidR="004F265E">
        <w:rPr>
          <w:rFonts w:ascii="Times New Roman" w:hAnsi="Times New Roman" w:cs="Times New Roman"/>
          <w:b/>
          <w:bCs/>
          <w:szCs w:val="21"/>
        </w:rPr>
        <w:t>circ</w:t>
      </w:r>
      <w:r w:rsidR="0047407D" w:rsidRPr="00D61D38">
        <w:rPr>
          <w:rFonts w:ascii="Times New Roman" w:hAnsi="Times New Roman" w:cs="Times New Roman"/>
          <w:b/>
          <w:bCs/>
          <w:szCs w:val="21"/>
        </w:rPr>
        <w:t xml:space="preserve">GUCY1A2 did not significantly affect the </w:t>
      </w:r>
      <w:r w:rsidR="0047407D">
        <w:rPr>
          <w:rFonts w:ascii="Times New Roman" w:hAnsi="Times New Roman" w:cs="Times New Roman"/>
          <w:b/>
          <w:bCs/>
          <w:szCs w:val="21"/>
        </w:rPr>
        <w:t>expression</w:t>
      </w:r>
      <w:r w:rsidR="0047407D" w:rsidRPr="00D61D38">
        <w:rPr>
          <w:rFonts w:ascii="Times New Roman" w:hAnsi="Times New Roman" w:cs="Times New Roman"/>
          <w:b/>
          <w:bCs/>
          <w:szCs w:val="21"/>
        </w:rPr>
        <w:t xml:space="preserve"> of </w:t>
      </w:r>
      <w:r w:rsidR="0047407D">
        <w:rPr>
          <w:rFonts w:ascii="Times New Roman" w:hAnsi="Times New Roman" w:cs="Times New Roman"/>
          <w:b/>
          <w:bCs/>
          <w:szCs w:val="21"/>
        </w:rPr>
        <w:t>miR-148</w:t>
      </w:r>
      <w:r w:rsidR="00DE0BEE">
        <w:rPr>
          <w:rFonts w:ascii="Times New Roman" w:hAnsi="Times New Roman" w:cs="Times New Roman"/>
          <w:b/>
          <w:bCs/>
          <w:szCs w:val="21"/>
        </w:rPr>
        <w:t>a-3p and miR-17-3p</w:t>
      </w:r>
      <w:r w:rsidR="0047407D">
        <w:rPr>
          <w:rFonts w:ascii="Times New Roman" w:hAnsi="Times New Roman" w:cs="Times New Roman"/>
          <w:b/>
          <w:bCs/>
          <w:szCs w:val="21"/>
        </w:rPr>
        <w:t>.</w:t>
      </w:r>
      <w:r w:rsidR="00DE0BEE">
        <w:rPr>
          <w:rFonts w:ascii="Times New Roman" w:hAnsi="Times New Roman" w:cs="Times New Roman"/>
          <w:b/>
          <w:bCs/>
          <w:szCs w:val="21"/>
        </w:rPr>
        <w:t xml:space="preserve"> </w:t>
      </w:r>
      <w:r w:rsidR="00DE0BEE" w:rsidRPr="00D61D38">
        <w:rPr>
          <w:rFonts w:ascii="Times New Roman" w:hAnsi="Times New Roman" w:cs="Times New Roman"/>
          <w:b/>
          <w:bCs/>
          <w:szCs w:val="21"/>
        </w:rPr>
        <w:t>(</w:t>
      </w:r>
      <w:r w:rsidR="00DE0BEE">
        <w:rPr>
          <w:rFonts w:ascii="Times New Roman" w:hAnsi="Times New Roman" w:cs="Times New Roman"/>
          <w:b/>
          <w:bCs/>
          <w:szCs w:val="21"/>
        </w:rPr>
        <w:t>A</w:t>
      </w:r>
      <w:r w:rsidR="00DE0BEE" w:rsidRPr="00D61D38">
        <w:rPr>
          <w:rFonts w:ascii="Times New Roman" w:hAnsi="Times New Roman" w:cs="Times New Roman"/>
          <w:b/>
          <w:bCs/>
          <w:szCs w:val="21"/>
        </w:rPr>
        <w:t>)</w:t>
      </w:r>
      <w:r w:rsidR="00DE0BEE">
        <w:rPr>
          <w:rFonts w:ascii="Times New Roman" w:hAnsi="Times New Roman" w:cs="Times New Roman"/>
          <w:b/>
          <w:bCs/>
          <w:szCs w:val="21"/>
        </w:rPr>
        <w:t xml:space="preserve"> </w:t>
      </w:r>
      <w:r w:rsidR="00DE0BEE" w:rsidRPr="00D61D38">
        <w:rPr>
          <w:rFonts w:ascii="Times New Roman" w:hAnsi="Times New Roman" w:cs="Times New Roman"/>
          <w:b/>
          <w:bCs/>
          <w:szCs w:val="21"/>
        </w:rPr>
        <w:t xml:space="preserve">The expressions of </w:t>
      </w:r>
      <w:r w:rsidR="00DE0BEE">
        <w:rPr>
          <w:rFonts w:ascii="Times New Roman" w:hAnsi="Times New Roman" w:cs="Times New Roman"/>
          <w:b/>
          <w:bCs/>
          <w:szCs w:val="21"/>
        </w:rPr>
        <w:t>miR-148a-3p and miR-17-3p</w:t>
      </w:r>
      <w:r w:rsidR="00DE0BEE" w:rsidRPr="00D61D38">
        <w:rPr>
          <w:rFonts w:ascii="Times New Roman" w:hAnsi="Times New Roman" w:cs="Times New Roman"/>
          <w:b/>
          <w:bCs/>
          <w:szCs w:val="21"/>
        </w:rPr>
        <w:t xml:space="preserve"> were determined with qPCR in NSCLC cells transfected with negative control or </w:t>
      </w:r>
      <w:r w:rsidR="00DE0BEE">
        <w:rPr>
          <w:rFonts w:ascii="Times New Roman" w:hAnsi="Times New Roman" w:cs="Times New Roman"/>
          <w:b/>
          <w:bCs/>
          <w:szCs w:val="21"/>
        </w:rPr>
        <w:t>circ</w:t>
      </w:r>
      <w:r w:rsidR="00DE0BEE" w:rsidRPr="00D61D38">
        <w:rPr>
          <w:rFonts w:ascii="Times New Roman" w:hAnsi="Times New Roman" w:cs="Times New Roman"/>
          <w:b/>
          <w:bCs/>
          <w:szCs w:val="21"/>
        </w:rPr>
        <w:t>GUCY1A2.</w:t>
      </w:r>
      <w:r w:rsidR="00DE0BEE">
        <w:rPr>
          <w:rFonts w:ascii="Times New Roman" w:hAnsi="Times New Roman" w:cs="Times New Roman"/>
          <w:b/>
          <w:bCs/>
          <w:szCs w:val="21"/>
        </w:rPr>
        <w:t xml:space="preserve"> </w:t>
      </w:r>
      <w:r w:rsidR="00DE0BEE" w:rsidRPr="00D61D38">
        <w:rPr>
          <w:rFonts w:ascii="Times New Roman" w:hAnsi="Times New Roman" w:cs="Times New Roman"/>
          <w:b/>
          <w:bCs/>
          <w:szCs w:val="21"/>
        </w:rPr>
        <w:t>(</w:t>
      </w:r>
      <w:r w:rsidR="00DE0BEE">
        <w:rPr>
          <w:rFonts w:ascii="Times New Roman" w:hAnsi="Times New Roman" w:cs="Times New Roman"/>
          <w:b/>
          <w:bCs/>
          <w:szCs w:val="21"/>
        </w:rPr>
        <w:t>B</w:t>
      </w:r>
      <w:r w:rsidR="00DE0BEE" w:rsidRPr="00D61D38">
        <w:rPr>
          <w:rFonts w:ascii="Times New Roman" w:hAnsi="Times New Roman" w:cs="Times New Roman"/>
          <w:b/>
          <w:bCs/>
          <w:szCs w:val="21"/>
        </w:rPr>
        <w:t>)</w:t>
      </w:r>
      <w:r w:rsidR="000A36F5" w:rsidRPr="000A36F5">
        <w:t xml:space="preserve"> </w:t>
      </w:r>
      <w:r w:rsidR="000A36F5" w:rsidRPr="000A36F5">
        <w:rPr>
          <w:rFonts w:ascii="Times New Roman" w:hAnsi="Times New Roman" w:cs="Times New Roman"/>
          <w:b/>
          <w:bCs/>
          <w:szCs w:val="21"/>
        </w:rPr>
        <w:t xml:space="preserve">Schematic of circGUCY1A2 wild-type (WT) and mutant (Mut) luciferase reporter vectors. The relative luciferase activities were analyzed in A549 cells co-transfected with </w:t>
      </w:r>
      <w:r w:rsidR="000A36F5">
        <w:rPr>
          <w:rFonts w:ascii="Times New Roman" w:hAnsi="Times New Roman" w:cs="Times New Roman"/>
          <w:b/>
          <w:bCs/>
          <w:szCs w:val="21"/>
        </w:rPr>
        <w:t>miR-148a-3p</w:t>
      </w:r>
      <w:r w:rsidR="000A36F5" w:rsidRPr="000A36F5">
        <w:rPr>
          <w:rFonts w:ascii="Times New Roman" w:hAnsi="Times New Roman" w:cs="Times New Roman"/>
          <w:b/>
          <w:bCs/>
          <w:szCs w:val="21"/>
        </w:rPr>
        <w:t xml:space="preserve"> mimics or </w:t>
      </w:r>
      <w:proofErr w:type="spellStart"/>
      <w:r w:rsidR="000A36F5" w:rsidRPr="000A36F5">
        <w:rPr>
          <w:rFonts w:ascii="Times New Roman" w:hAnsi="Times New Roman" w:cs="Times New Roman"/>
          <w:b/>
          <w:bCs/>
          <w:szCs w:val="21"/>
        </w:rPr>
        <w:t>miR</w:t>
      </w:r>
      <w:proofErr w:type="spellEnd"/>
      <w:r w:rsidR="000A36F5" w:rsidRPr="000A36F5">
        <w:rPr>
          <w:rFonts w:ascii="Times New Roman" w:hAnsi="Times New Roman" w:cs="Times New Roman"/>
          <w:b/>
          <w:bCs/>
          <w:szCs w:val="21"/>
        </w:rPr>
        <w:t>-NC and luciferase reporter vectors pLCDH-circGUCY1A2-WT or pLCDH-circGUCY1A2-Mut.</w:t>
      </w:r>
    </w:p>
    <w:p w14:paraId="49380A09" w14:textId="17E17D5E" w:rsidR="00942988" w:rsidRDefault="004F265E" w:rsidP="00942988">
      <w:r>
        <w:rPr>
          <w:noProof/>
        </w:rPr>
        <w:lastRenderedPageBreak/>
        <w:drawing>
          <wp:inline distT="0" distB="0" distL="0" distR="0" wp14:anchorId="49D41ED1" wp14:editId="346EC0A6">
            <wp:extent cx="5267325" cy="2609850"/>
            <wp:effectExtent l="0" t="0" r="0" b="0"/>
            <wp:docPr id="177294247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FC7363" w14:textId="7FD80FC6" w:rsidR="00027B8E" w:rsidRDefault="004F265E" w:rsidP="00942988">
      <w:pPr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>Figure S</w:t>
      </w:r>
      <w:r w:rsidR="000670A5">
        <w:rPr>
          <w:rFonts w:ascii="Times New Roman" w:hAnsi="Times New Roman" w:cs="Times New Roman"/>
          <w:b/>
          <w:bCs/>
          <w:szCs w:val="21"/>
        </w:rPr>
        <w:t>3</w:t>
      </w:r>
      <w:r>
        <w:rPr>
          <w:rFonts w:ascii="Times New Roman" w:hAnsi="Times New Roman" w:cs="Times New Roman"/>
          <w:b/>
          <w:bCs/>
          <w:szCs w:val="21"/>
        </w:rPr>
        <w:t xml:space="preserve">. </w:t>
      </w:r>
      <w:r w:rsidR="000670A5">
        <w:rPr>
          <w:rFonts w:ascii="Times New Roman" w:hAnsi="Times New Roman" w:cs="Times New Roman"/>
          <w:b/>
          <w:bCs/>
          <w:szCs w:val="21"/>
        </w:rPr>
        <w:t xml:space="preserve">miR-200c-3p </w:t>
      </w:r>
      <w:r w:rsidR="000670A5" w:rsidRPr="000670A5">
        <w:rPr>
          <w:rFonts w:ascii="Times New Roman" w:hAnsi="Times New Roman" w:cs="Times New Roman"/>
          <w:b/>
          <w:bCs/>
          <w:szCs w:val="21"/>
        </w:rPr>
        <w:t>affects the expression of PTEN and NOTCH1</w:t>
      </w:r>
      <w:r w:rsidR="000670A5">
        <w:rPr>
          <w:rFonts w:ascii="Times New Roman" w:hAnsi="Times New Roman" w:cs="Times New Roman"/>
          <w:b/>
          <w:bCs/>
          <w:szCs w:val="21"/>
        </w:rPr>
        <w:t xml:space="preserve"> </w:t>
      </w:r>
      <w:r w:rsidR="000670A5">
        <w:rPr>
          <w:rFonts w:ascii="Times New Roman" w:hAnsi="Times New Roman" w:cs="Times New Roman" w:hint="eastAsia"/>
          <w:b/>
          <w:bCs/>
          <w:szCs w:val="21"/>
        </w:rPr>
        <w:t>in</w:t>
      </w:r>
      <w:r w:rsidR="000670A5">
        <w:rPr>
          <w:rFonts w:ascii="Times New Roman" w:hAnsi="Times New Roman" w:cs="Times New Roman"/>
          <w:b/>
          <w:bCs/>
          <w:szCs w:val="21"/>
        </w:rPr>
        <w:t xml:space="preserve"> (A) </w:t>
      </w:r>
      <w:r w:rsidR="000670A5">
        <w:rPr>
          <w:rFonts w:ascii="Times New Roman" w:hAnsi="Times New Roman" w:cs="Times New Roman" w:hint="eastAsia"/>
          <w:b/>
          <w:bCs/>
          <w:szCs w:val="21"/>
        </w:rPr>
        <w:t>A</w:t>
      </w:r>
      <w:r w:rsidR="000670A5">
        <w:rPr>
          <w:rFonts w:ascii="Times New Roman" w:hAnsi="Times New Roman" w:cs="Times New Roman"/>
          <w:b/>
          <w:bCs/>
          <w:szCs w:val="21"/>
        </w:rPr>
        <w:t xml:space="preserve">549 </w:t>
      </w:r>
      <w:r w:rsidR="000670A5">
        <w:rPr>
          <w:rFonts w:ascii="Times New Roman" w:hAnsi="Times New Roman" w:cs="Times New Roman" w:hint="eastAsia"/>
          <w:b/>
          <w:bCs/>
          <w:szCs w:val="21"/>
        </w:rPr>
        <w:t>and</w:t>
      </w:r>
      <w:r w:rsidR="000670A5">
        <w:rPr>
          <w:rFonts w:ascii="Times New Roman" w:hAnsi="Times New Roman" w:cs="Times New Roman"/>
          <w:b/>
          <w:bCs/>
          <w:szCs w:val="21"/>
        </w:rPr>
        <w:t xml:space="preserve"> </w:t>
      </w:r>
      <w:r w:rsidR="000670A5">
        <w:rPr>
          <w:rFonts w:ascii="Times New Roman" w:hAnsi="Times New Roman" w:cs="Times New Roman" w:hint="eastAsia"/>
          <w:b/>
          <w:bCs/>
          <w:szCs w:val="21"/>
        </w:rPr>
        <w:t>(</w:t>
      </w:r>
      <w:r w:rsidR="000670A5">
        <w:rPr>
          <w:rFonts w:ascii="Times New Roman" w:hAnsi="Times New Roman" w:cs="Times New Roman"/>
          <w:b/>
          <w:bCs/>
          <w:szCs w:val="21"/>
        </w:rPr>
        <w:t>B) H1703.</w:t>
      </w:r>
    </w:p>
    <w:p w14:paraId="5A7E6412" w14:textId="65B272D8" w:rsidR="00F305CE" w:rsidRDefault="00CC3097" w:rsidP="00942988">
      <w:pPr>
        <w:rPr>
          <w:rFonts w:ascii="Times New Roman" w:hAnsi="Times New Roman" w:cs="Times New Roman"/>
          <w:b/>
          <w:bCs/>
          <w:szCs w:val="21"/>
        </w:rPr>
      </w:pPr>
      <w:r>
        <w:rPr>
          <w:noProof/>
        </w:rPr>
        <w:lastRenderedPageBreak/>
        <w:drawing>
          <wp:inline distT="0" distB="0" distL="0" distR="0" wp14:anchorId="56A81263" wp14:editId="48ED39C4">
            <wp:extent cx="5274310" cy="7765415"/>
            <wp:effectExtent l="0" t="0" r="0" b="0"/>
            <wp:docPr id="76231420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76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34A44B" w14:textId="36367720" w:rsidR="00027B8E" w:rsidRPr="00DE0BEE" w:rsidRDefault="00027B8E" w:rsidP="00942988"/>
    <w:p w14:paraId="0884848A" w14:textId="6FCDB1BD" w:rsidR="00751FF5" w:rsidRDefault="00027B8E" w:rsidP="00751FF5">
      <w:pPr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 xml:space="preserve">Figure S4. </w:t>
      </w:r>
      <w:r w:rsidR="00751FF5" w:rsidRPr="00751FF5">
        <w:rPr>
          <w:rFonts w:ascii="Times New Roman" w:hAnsi="Times New Roman" w:cs="Times New Roman"/>
          <w:b/>
          <w:bCs/>
          <w:szCs w:val="21"/>
        </w:rPr>
        <w:t>Inhibition of miR-200c-3p suppresses cell proliferation but is rescued when PTEN is KO</w:t>
      </w:r>
      <w:r w:rsidR="00751FF5">
        <w:rPr>
          <w:rFonts w:ascii="Times New Roman" w:hAnsi="Times New Roman" w:cs="Times New Roman"/>
          <w:b/>
          <w:bCs/>
          <w:szCs w:val="21"/>
        </w:rPr>
        <w:t xml:space="preserve">. (A) </w:t>
      </w:r>
      <w:r w:rsidR="00751FF5">
        <w:rPr>
          <w:rFonts w:ascii="Times New Roman" w:hAnsi="Times New Roman" w:cs="Times New Roman" w:hint="eastAsia"/>
          <w:b/>
          <w:bCs/>
          <w:szCs w:val="21"/>
        </w:rPr>
        <w:t>A</w:t>
      </w:r>
      <w:r w:rsidR="00751FF5">
        <w:rPr>
          <w:rFonts w:ascii="Times New Roman" w:hAnsi="Times New Roman" w:cs="Times New Roman"/>
          <w:b/>
          <w:bCs/>
          <w:szCs w:val="21"/>
        </w:rPr>
        <w:t xml:space="preserve">549 </w:t>
      </w:r>
      <w:r w:rsidR="00751FF5">
        <w:rPr>
          <w:rFonts w:ascii="Times New Roman" w:hAnsi="Times New Roman" w:cs="Times New Roman" w:hint="eastAsia"/>
          <w:b/>
          <w:bCs/>
          <w:szCs w:val="21"/>
        </w:rPr>
        <w:t>and</w:t>
      </w:r>
      <w:r w:rsidR="00751FF5">
        <w:rPr>
          <w:rFonts w:ascii="Times New Roman" w:hAnsi="Times New Roman" w:cs="Times New Roman"/>
          <w:b/>
          <w:bCs/>
          <w:szCs w:val="21"/>
        </w:rPr>
        <w:t xml:space="preserve"> </w:t>
      </w:r>
      <w:r w:rsidR="00751FF5">
        <w:rPr>
          <w:rFonts w:ascii="Times New Roman" w:hAnsi="Times New Roman" w:cs="Times New Roman" w:hint="eastAsia"/>
          <w:b/>
          <w:bCs/>
          <w:szCs w:val="21"/>
        </w:rPr>
        <w:t>(</w:t>
      </w:r>
      <w:r w:rsidR="00751FF5">
        <w:rPr>
          <w:rFonts w:ascii="Times New Roman" w:hAnsi="Times New Roman" w:cs="Times New Roman"/>
          <w:b/>
          <w:bCs/>
          <w:szCs w:val="21"/>
        </w:rPr>
        <w:t>B) H1703.</w:t>
      </w:r>
      <w:r w:rsidR="00695992">
        <w:rPr>
          <w:rFonts w:ascii="Times New Roman" w:hAnsi="Times New Roman" w:cs="Times New Roman"/>
          <w:b/>
          <w:bCs/>
          <w:szCs w:val="21"/>
        </w:rPr>
        <w:t xml:space="preserve"> </w:t>
      </w:r>
      <w:r w:rsidR="00CC3097">
        <w:rPr>
          <w:rFonts w:ascii="Times New Roman" w:hAnsi="Times New Roman" w:cs="Times New Roman"/>
          <w:b/>
          <w:bCs/>
          <w:szCs w:val="21"/>
        </w:rPr>
        <w:t>(C)</w:t>
      </w:r>
      <w:r w:rsidR="00971107" w:rsidRPr="00971107">
        <w:t xml:space="preserve"> </w:t>
      </w:r>
      <w:r w:rsidR="00971107" w:rsidRPr="00971107">
        <w:rPr>
          <w:rFonts w:ascii="Times New Roman" w:hAnsi="Times New Roman" w:cs="Times New Roman"/>
          <w:b/>
          <w:bCs/>
          <w:szCs w:val="21"/>
        </w:rPr>
        <w:t>The grey value analysis</w:t>
      </w:r>
      <w:r w:rsidR="00971107">
        <w:rPr>
          <w:rFonts w:ascii="Times New Roman" w:hAnsi="Times New Roman" w:cs="Times New Roman"/>
          <w:b/>
          <w:bCs/>
          <w:szCs w:val="21"/>
        </w:rPr>
        <w:t xml:space="preserve"> of figure 4F</w:t>
      </w:r>
      <w:r w:rsidR="00971107" w:rsidRPr="00971107">
        <w:rPr>
          <w:rFonts w:ascii="Times New Roman" w:hAnsi="Times New Roman" w:cs="Times New Roman"/>
          <w:b/>
          <w:bCs/>
          <w:szCs w:val="21"/>
        </w:rPr>
        <w:t>.</w:t>
      </w:r>
      <w:r w:rsidR="00971107" w:rsidRPr="00971107">
        <w:rPr>
          <w:rFonts w:ascii="Times New Roman" w:hAnsi="Times New Roman" w:cs="Times New Roman"/>
          <w:b/>
          <w:bCs/>
          <w:szCs w:val="21"/>
        </w:rPr>
        <w:t xml:space="preserve"> </w:t>
      </w:r>
      <w:r w:rsidR="00CC3097">
        <w:rPr>
          <w:rFonts w:ascii="Times New Roman" w:hAnsi="Times New Roman" w:cs="Times New Roman"/>
          <w:b/>
          <w:bCs/>
          <w:szCs w:val="21"/>
        </w:rPr>
        <w:t>(D)</w:t>
      </w:r>
      <w:r w:rsidR="00971107" w:rsidRPr="00971107">
        <w:rPr>
          <w:rFonts w:ascii="Times New Roman" w:hAnsi="Times New Roman" w:cs="Times New Roman"/>
          <w:b/>
          <w:bCs/>
          <w:szCs w:val="21"/>
        </w:rPr>
        <w:t xml:space="preserve"> </w:t>
      </w:r>
      <w:r w:rsidR="00971107" w:rsidRPr="00971107">
        <w:rPr>
          <w:rFonts w:ascii="Times New Roman" w:hAnsi="Times New Roman" w:cs="Times New Roman"/>
          <w:b/>
          <w:bCs/>
          <w:szCs w:val="21"/>
        </w:rPr>
        <w:t>The grey value analysis</w:t>
      </w:r>
      <w:r w:rsidR="00971107">
        <w:rPr>
          <w:rFonts w:ascii="Times New Roman" w:hAnsi="Times New Roman" w:cs="Times New Roman"/>
          <w:b/>
          <w:bCs/>
          <w:szCs w:val="21"/>
        </w:rPr>
        <w:t xml:space="preserve"> of figure 4</w:t>
      </w:r>
      <w:r w:rsidR="00971107">
        <w:rPr>
          <w:rFonts w:ascii="Times New Roman" w:hAnsi="Times New Roman" w:cs="Times New Roman"/>
          <w:b/>
          <w:bCs/>
          <w:szCs w:val="21"/>
        </w:rPr>
        <w:t>G</w:t>
      </w:r>
      <w:r w:rsidR="00971107" w:rsidRPr="00971107">
        <w:rPr>
          <w:rFonts w:ascii="Times New Roman" w:hAnsi="Times New Roman" w:cs="Times New Roman"/>
          <w:b/>
          <w:bCs/>
          <w:szCs w:val="21"/>
        </w:rPr>
        <w:t>.</w:t>
      </w:r>
      <w:r w:rsidR="00971107"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 w:rsidR="00695992">
        <w:rPr>
          <w:rFonts w:ascii="Times New Roman" w:hAnsi="Times New Roman" w:cs="Times New Roman" w:hint="eastAsia"/>
          <w:b/>
          <w:bCs/>
          <w:szCs w:val="21"/>
        </w:rPr>
        <w:t>(</w:t>
      </w:r>
      <w:r w:rsidR="00CC3097">
        <w:rPr>
          <w:rFonts w:ascii="Times New Roman" w:hAnsi="Times New Roman" w:cs="Times New Roman" w:hint="eastAsia"/>
          <w:b/>
          <w:bCs/>
          <w:szCs w:val="21"/>
        </w:rPr>
        <w:t>E</w:t>
      </w:r>
      <w:r w:rsidR="00695992">
        <w:rPr>
          <w:rFonts w:ascii="Times New Roman" w:hAnsi="Times New Roman" w:cs="Times New Roman"/>
          <w:b/>
          <w:bCs/>
          <w:szCs w:val="21"/>
        </w:rPr>
        <w:t>)</w:t>
      </w:r>
      <w:r w:rsidR="00C97D30" w:rsidRPr="00C97D30">
        <w:t xml:space="preserve"> </w:t>
      </w:r>
      <w:r w:rsidR="00C97D30" w:rsidRPr="00C97D30">
        <w:rPr>
          <w:rFonts w:ascii="Times New Roman" w:hAnsi="Times New Roman" w:cs="Times New Roman"/>
          <w:b/>
          <w:bCs/>
          <w:szCs w:val="21"/>
        </w:rPr>
        <w:t>the expression of PTEN</w:t>
      </w:r>
      <w:r w:rsidR="00C97D30">
        <w:rPr>
          <w:rFonts w:ascii="Times New Roman" w:hAnsi="Times New Roman" w:cs="Times New Roman"/>
          <w:b/>
          <w:bCs/>
          <w:szCs w:val="21"/>
        </w:rPr>
        <w:t xml:space="preserve"> between </w:t>
      </w:r>
      <w:r w:rsidR="00C97D30" w:rsidRPr="00C97D30">
        <w:rPr>
          <w:rFonts w:ascii="Times New Roman" w:hAnsi="Times New Roman" w:cs="Times New Roman"/>
          <w:b/>
          <w:bCs/>
          <w:szCs w:val="21"/>
        </w:rPr>
        <w:t>high</w:t>
      </w:r>
      <w:r w:rsidR="00C97D30">
        <w:rPr>
          <w:rFonts w:ascii="Times New Roman" w:hAnsi="Times New Roman" w:cs="Times New Roman"/>
          <w:b/>
          <w:bCs/>
          <w:szCs w:val="21"/>
        </w:rPr>
        <w:t>- and low-</w:t>
      </w:r>
      <w:r w:rsidR="00C97D30" w:rsidRPr="00C97D30">
        <w:rPr>
          <w:rFonts w:ascii="Times New Roman" w:hAnsi="Times New Roman" w:cs="Times New Roman"/>
          <w:b/>
          <w:bCs/>
          <w:szCs w:val="21"/>
        </w:rPr>
        <w:t xml:space="preserve"> expression of </w:t>
      </w:r>
      <w:r w:rsidR="00C97D30" w:rsidRPr="00C97D30">
        <w:rPr>
          <w:rFonts w:ascii="Times New Roman" w:hAnsi="Times New Roman" w:cs="Times New Roman"/>
          <w:b/>
          <w:bCs/>
          <w:szCs w:val="21"/>
        </w:rPr>
        <w:lastRenderedPageBreak/>
        <w:t>circGUCY1A2</w:t>
      </w:r>
      <w:r w:rsidR="00C97D30">
        <w:rPr>
          <w:rFonts w:ascii="Times New Roman" w:hAnsi="Times New Roman" w:cs="Times New Roman"/>
          <w:b/>
          <w:bCs/>
          <w:szCs w:val="21"/>
        </w:rPr>
        <w:t xml:space="preserve"> patients. (</w:t>
      </w:r>
      <w:r w:rsidR="00CC3097">
        <w:rPr>
          <w:rFonts w:ascii="Times New Roman" w:hAnsi="Times New Roman" w:cs="Times New Roman" w:hint="eastAsia"/>
          <w:b/>
          <w:bCs/>
          <w:szCs w:val="21"/>
        </w:rPr>
        <w:t>F</w:t>
      </w:r>
      <w:r w:rsidR="00C97D30">
        <w:rPr>
          <w:rFonts w:ascii="Times New Roman" w:hAnsi="Times New Roman" w:cs="Times New Roman"/>
          <w:b/>
          <w:bCs/>
          <w:szCs w:val="21"/>
        </w:rPr>
        <w:t xml:space="preserve">) </w:t>
      </w:r>
      <w:r w:rsidR="00C97D30" w:rsidRPr="00C97D30">
        <w:rPr>
          <w:rFonts w:ascii="Times New Roman" w:hAnsi="Times New Roman" w:cs="Times New Roman"/>
          <w:b/>
          <w:bCs/>
          <w:szCs w:val="21"/>
        </w:rPr>
        <w:t xml:space="preserve">overall survival </w:t>
      </w:r>
      <w:r w:rsidR="00C97D30">
        <w:rPr>
          <w:rFonts w:ascii="Times New Roman" w:hAnsi="Times New Roman" w:cs="Times New Roman"/>
          <w:b/>
          <w:bCs/>
          <w:szCs w:val="21"/>
        </w:rPr>
        <w:t xml:space="preserve">between </w:t>
      </w:r>
      <w:r w:rsidR="00C97D30" w:rsidRPr="00C97D30">
        <w:rPr>
          <w:rFonts w:ascii="Times New Roman" w:hAnsi="Times New Roman" w:cs="Times New Roman"/>
          <w:b/>
          <w:bCs/>
          <w:szCs w:val="21"/>
        </w:rPr>
        <w:t>high</w:t>
      </w:r>
      <w:r w:rsidR="00C97D30">
        <w:rPr>
          <w:rFonts w:ascii="Times New Roman" w:hAnsi="Times New Roman" w:cs="Times New Roman"/>
          <w:b/>
          <w:bCs/>
          <w:szCs w:val="21"/>
        </w:rPr>
        <w:t>- and low-</w:t>
      </w:r>
      <w:r w:rsidR="00C97D30" w:rsidRPr="00C97D30">
        <w:rPr>
          <w:rFonts w:ascii="Times New Roman" w:hAnsi="Times New Roman" w:cs="Times New Roman"/>
          <w:b/>
          <w:bCs/>
          <w:szCs w:val="21"/>
        </w:rPr>
        <w:t xml:space="preserve"> expression of </w:t>
      </w:r>
      <w:r w:rsidR="00C05568">
        <w:rPr>
          <w:rFonts w:ascii="Times New Roman" w:hAnsi="Times New Roman" w:cs="Times New Roman"/>
          <w:b/>
          <w:bCs/>
          <w:szCs w:val="21"/>
        </w:rPr>
        <w:t>PTEN</w:t>
      </w:r>
      <w:r w:rsidR="00C97D30">
        <w:rPr>
          <w:rFonts w:ascii="Times New Roman" w:hAnsi="Times New Roman" w:cs="Times New Roman"/>
          <w:b/>
          <w:bCs/>
          <w:szCs w:val="21"/>
        </w:rPr>
        <w:t xml:space="preserve"> patients</w:t>
      </w:r>
      <w:r w:rsidR="00C97D30" w:rsidRPr="00C97D30">
        <w:rPr>
          <w:rFonts w:ascii="Times New Roman" w:hAnsi="Times New Roman" w:cs="Times New Roman"/>
          <w:b/>
          <w:bCs/>
          <w:szCs w:val="21"/>
        </w:rPr>
        <w:t>.</w:t>
      </w:r>
      <w:r w:rsidR="00141645">
        <w:rPr>
          <w:rFonts w:ascii="Times New Roman" w:hAnsi="Times New Roman" w:cs="Times New Roman"/>
          <w:b/>
          <w:bCs/>
          <w:szCs w:val="21"/>
        </w:rPr>
        <w:t xml:space="preserve"> </w:t>
      </w:r>
    </w:p>
    <w:p w14:paraId="532B97B4" w14:textId="5EDD5263" w:rsidR="00942988" w:rsidRPr="00027B8E" w:rsidRDefault="00942988" w:rsidP="00942988"/>
    <w:p w14:paraId="0A14B6C2" w14:textId="74F90EAC" w:rsidR="00942988" w:rsidRDefault="00F12031" w:rsidP="00942988">
      <w:r>
        <w:rPr>
          <w:noProof/>
        </w:rPr>
        <w:drawing>
          <wp:inline distT="0" distB="0" distL="0" distR="0" wp14:anchorId="30CAA95D" wp14:editId="56EE635A">
            <wp:extent cx="5274310" cy="3381375"/>
            <wp:effectExtent l="0" t="0" r="0" b="0"/>
            <wp:docPr id="15112666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8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A7652D" w14:textId="5F997C9E" w:rsidR="00F12031" w:rsidRDefault="00F12031" w:rsidP="00942988">
      <w:pPr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 xml:space="preserve">Figure S5. </w:t>
      </w:r>
      <w:r w:rsidR="00C97710" w:rsidRPr="00C97710">
        <w:rPr>
          <w:rFonts w:ascii="Times New Roman" w:hAnsi="Times New Roman" w:cs="Times New Roman"/>
          <w:b/>
          <w:bCs/>
          <w:szCs w:val="21"/>
        </w:rPr>
        <w:t>The effect of overexpression of transcription factors on circGUCY1A2</w:t>
      </w:r>
      <w:r w:rsidR="00C97710">
        <w:rPr>
          <w:rFonts w:ascii="Times New Roman" w:hAnsi="Times New Roman" w:cs="Times New Roman"/>
          <w:b/>
          <w:bCs/>
          <w:szCs w:val="21"/>
        </w:rPr>
        <w:t xml:space="preserve">. (A) </w:t>
      </w:r>
      <w:proofErr w:type="spellStart"/>
      <w:r w:rsidR="00CA61F9" w:rsidRPr="00CA61F9">
        <w:rPr>
          <w:rFonts w:ascii="Times New Roman" w:hAnsi="Times New Roman" w:cs="Times New Roman"/>
          <w:b/>
          <w:bCs/>
          <w:szCs w:val="21"/>
        </w:rPr>
        <w:t>qRT</w:t>
      </w:r>
      <w:proofErr w:type="spellEnd"/>
      <w:r w:rsidR="00CA61F9" w:rsidRPr="00CA61F9">
        <w:rPr>
          <w:rFonts w:ascii="Times New Roman" w:hAnsi="Times New Roman" w:cs="Times New Roman"/>
          <w:b/>
          <w:bCs/>
          <w:szCs w:val="21"/>
        </w:rPr>
        <w:t>-PCR verification of transcription factor overexpression</w:t>
      </w:r>
      <w:r w:rsidR="00CA61F9">
        <w:rPr>
          <w:rFonts w:ascii="Times New Roman" w:hAnsi="Times New Roman" w:cs="Times New Roman"/>
          <w:b/>
          <w:bCs/>
          <w:szCs w:val="21"/>
        </w:rPr>
        <w:t xml:space="preserve">, (B) </w:t>
      </w:r>
      <w:r w:rsidR="00CA61F9" w:rsidRPr="00CA61F9">
        <w:rPr>
          <w:rFonts w:ascii="Times New Roman" w:hAnsi="Times New Roman" w:cs="Times New Roman"/>
          <w:b/>
          <w:bCs/>
          <w:szCs w:val="21"/>
        </w:rPr>
        <w:t xml:space="preserve">The effect of transcription factor overexpression on </w:t>
      </w:r>
      <w:r w:rsidR="00CA61F9" w:rsidRPr="00C97710">
        <w:rPr>
          <w:rFonts w:ascii="Times New Roman" w:hAnsi="Times New Roman" w:cs="Times New Roman"/>
          <w:b/>
          <w:bCs/>
          <w:szCs w:val="21"/>
        </w:rPr>
        <w:t>circGUCY1A2</w:t>
      </w:r>
      <w:r w:rsidR="00CA61F9">
        <w:rPr>
          <w:rFonts w:ascii="Times New Roman" w:hAnsi="Times New Roman" w:cs="Times New Roman"/>
          <w:b/>
          <w:bCs/>
          <w:szCs w:val="21"/>
        </w:rPr>
        <w:t>.</w:t>
      </w:r>
    </w:p>
    <w:p w14:paraId="4EE88EB0" w14:textId="77777777" w:rsidR="002105A8" w:rsidRDefault="002105A8" w:rsidP="00942988">
      <w:pPr>
        <w:rPr>
          <w:rFonts w:ascii="Times New Roman" w:hAnsi="Times New Roman" w:cs="Times New Roman"/>
          <w:b/>
          <w:bCs/>
          <w:szCs w:val="21"/>
        </w:rPr>
      </w:pPr>
    </w:p>
    <w:p w14:paraId="64DA599B" w14:textId="237E0302" w:rsidR="002105A8" w:rsidRDefault="002105A8" w:rsidP="00942988">
      <w:pPr>
        <w:rPr>
          <w:rFonts w:ascii="Times New Roman" w:hAnsi="Times New Roman" w:cs="Times New Roman"/>
          <w:b/>
          <w:bCs/>
          <w:szCs w:val="21"/>
        </w:rPr>
      </w:pPr>
      <w:r>
        <w:rPr>
          <w:noProof/>
        </w:rPr>
        <w:drawing>
          <wp:inline distT="0" distB="0" distL="0" distR="0" wp14:anchorId="5E693E73" wp14:editId="7F338115">
            <wp:extent cx="5274310" cy="3088640"/>
            <wp:effectExtent l="0" t="0" r="0" b="0"/>
            <wp:docPr id="433407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8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2BF9EE" w14:textId="187DDEE2" w:rsidR="002105A8" w:rsidRDefault="002105A8" w:rsidP="002105A8">
      <w:pPr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>Figure S</w:t>
      </w:r>
      <w:r>
        <w:rPr>
          <w:rFonts w:ascii="Times New Roman" w:hAnsi="Times New Roman" w:cs="Times New Roman"/>
          <w:b/>
          <w:bCs/>
          <w:szCs w:val="21"/>
        </w:rPr>
        <w:t>6</w:t>
      </w:r>
      <w:r>
        <w:rPr>
          <w:rFonts w:ascii="Times New Roman" w:hAnsi="Times New Roman" w:cs="Times New Roman"/>
          <w:b/>
          <w:bCs/>
          <w:szCs w:val="21"/>
        </w:rPr>
        <w:t xml:space="preserve">. </w:t>
      </w:r>
      <w:r>
        <w:rPr>
          <w:rFonts w:ascii="Times New Roman" w:hAnsi="Times New Roman" w:cs="Times New Roman"/>
          <w:b/>
          <w:bCs/>
          <w:szCs w:val="21"/>
        </w:rPr>
        <w:t xml:space="preserve">The </w:t>
      </w:r>
      <w:r w:rsidRPr="00141645">
        <w:rPr>
          <w:rFonts w:ascii="Times New Roman" w:hAnsi="Times New Roman" w:cs="Times New Roman"/>
          <w:b/>
          <w:bCs/>
          <w:szCs w:val="21"/>
        </w:rPr>
        <w:t>frequency of PTEN mutations and deletions</w:t>
      </w:r>
      <w:r>
        <w:rPr>
          <w:rFonts w:ascii="Times New Roman" w:hAnsi="Times New Roman" w:cs="Times New Roman"/>
          <w:b/>
          <w:bCs/>
          <w:szCs w:val="21"/>
        </w:rPr>
        <w:t xml:space="preserve"> of patients from TCGA datasets.</w:t>
      </w:r>
    </w:p>
    <w:p w14:paraId="1FC2E084" w14:textId="77777777" w:rsidR="002105A8" w:rsidRPr="002105A8" w:rsidRDefault="002105A8" w:rsidP="00942988">
      <w:pPr>
        <w:rPr>
          <w:rFonts w:hint="eastAsia"/>
        </w:rPr>
      </w:pPr>
    </w:p>
    <w:sectPr w:rsidR="002105A8" w:rsidRPr="002105A8" w:rsidSect="0094298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3CA41C" w14:textId="77777777" w:rsidR="002B483E" w:rsidRDefault="002B483E" w:rsidP="00A34706">
      <w:r>
        <w:separator/>
      </w:r>
    </w:p>
  </w:endnote>
  <w:endnote w:type="continuationSeparator" w:id="0">
    <w:p w14:paraId="1EE2D9D8" w14:textId="77777777" w:rsidR="002B483E" w:rsidRDefault="002B483E" w:rsidP="00A34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C4B696" w14:textId="77777777" w:rsidR="002B483E" w:rsidRDefault="002B483E" w:rsidP="00A34706">
      <w:r>
        <w:separator/>
      </w:r>
    </w:p>
  </w:footnote>
  <w:footnote w:type="continuationSeparator" w:id="0">
    <w:p w14:paraId="1599DFAB" w14:textId="77777777" w:rsidR="002B483E" w:rsidRDefault="002B483E" w:rsidP="00A347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5D0A"/>
    <w:rsid w:val="00027B8E"/>
    <w:rsid w:val="000670A5"/>
    <w:rsid w:val="00090296"/>
    <w:rsid w:val="000A36F5"/>
    <w:rsid w:val="000A727F"/>
    <w:rsid w:val="000E3738"/>
    <w:rsid w:val="000F15F9"/>
    <w:rsid w:val="00141645"/>
    <w:rsid w:val="001D3A5A"/>
    <w:rsid w:val="002105A8"/>
    <w:rsid w:val="002B483E"/>
    <w:rsid w:val="00380451"/>
    <w:rsid w:val="003F60EF"/>
    <w:rsid w:val="00420B40"/>
    <w:rsid w:val="0047407D"/>
    <w:rsid w:val="00485E0D"/>
    <w:rsid w:val="004F265E"/>
    <w:rsid w:val="00580EC3"/>
    <w:rsid w:val="00601551"/>
    <w:rsid w:val="006720B2"/>
    <w:rsid w:val="00691698"/>
    <w:rsid w:val="00695992"/>
    <w:rsid w:val="00751FF5"/>
    <w:rsid w:val="00792B88"/>
    <w:rsid w:val="007E7F3E"/>
    <w:rsid w:val="00817BAA"/>
    <w:rsid w:val="00823181"/>
    <w:rsid w:val="00842582"/>
    <w:rsid w:val="00845D0A"/>
    <w:rsid w:val="008C52CA"/>
    <w:rsid w:val="008C5446"/>
    <w:rsid w:val="008D403D"/>
    <w:rsid w:val="00942988"/>
    <w:rsid w:val="00947450"/>
    <w:rsid w:val="00971107"/>
    <w:rsid w:val="009837CD"/>
    <w:rsid w:val="00A1534A"/>
    <w:rsid w:val="00A34706"/>
    <w:rsid w:val="00A53B5F"/>
    <w:rsid w:val="00A93A43"/>
    <w:rsid w:val="00C05568"/>
    <w:rsid w:val="00C97710"/>
    <w:rsid w:val="00C97D30"/>
    <w:rsid w:val="00CA61F9"/>
    <w:rsid w:val="00CC3097"/>
    <w:rsid w:val="00D448EF"/>
    <w:rsid w:val="00D61D38"/>
    <w:rsid w:val="00D71160"/>
    <w:rsid w:val="00DE0BEE"/>
    <w:rsid w:val="00DE5861"/>
    <w:rsid w:val="00F12031"/>
    <w:rsid w:val="00F305CE"/>
    <w:rsid w:val="00F57EE5"/>
    <w:rsid w:val="00F74E26"/>
    <w:rsid w:val="00FE19B6"/>
    <w:rsid w:val="628C522C"/>
    <w:rsid w:val="6CD40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192426"/>
  <w15:docId w15:val="{16641EED-C858-40EB-B9B4-B4E6CC000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26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tif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83BDBD1-60C8-446C-8F0F-089A554CF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243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rrru</dc:creator>
  <cp:lastModifiedBy>tq708</cp:lastModifiedBy>
  <cp:revision>28</cp:revision>
  <dcterms:created xsi:type="dcterms:W3CDTF">2017-12-05T10:51:00Z</dcterms:created>
  <dcterms:modified xsi:type="dcterms:W3CDTF">2023-08-03T15:26:00Z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