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C24E16" w14:textId="77777777" w:rsidR="00E01070" w:rsidRPr="0067089A" w:rsidRDefault="00E01070" w:rsidP="00E01070">
      <w:pPr>
        <w:spacing w:line="480" w:lineRule="auto"/>
        <w:rPr>
          <w:rFonts w:ascii="Arial" w:hAnsi="Arial" w:cs="Arial"/>
          <w:b/>
          <w:bCs/>
          <w:color w:val="FF0000"/>
          <w:szCs w:val="21"/>
        </w:rPr>
      </w:pPr>
      <w:r w:rsidRPr="0067089A">
        <w:rPr>
          <w:rFonts w:ascii="Arial" w:hAnsi="Arial" w:cs="Arial"/>
          <w:b/>
          <w:bCs/>
          <w:color w:val="FF0000"/>
          <w:szCs w:val="21"/>
        </w:rPr>
        <w:t>Figure Legends</w:t>
      </w:r>
    </w:p>
    <w:p w14:paraId="59DE5E6C" w14:textId="70E546D5" w:rsidR="007723C8" w:rsidRPr="0067089A" w:rsidRDefault="007723C8" w:rsidP="007723C8">
      <w:pPr>
        <w:spacing w:line="480" w:lineRule="auto"/>
        <w:rPr>
          <w:rFonts w:ascii="Arial" w:hAnsi="Arial" w:cs="Arial"/>
          <w:color w:val="FF0000"/>
          <w:szCs w:val="21"/>
        </w:rPr>
      </w:pPr>
      <w:r w:rsidRPr="0067089A">
        <w:rPr>
          <w:rFonts w:ascii="Arial" w:hAnsi="Arial" w:cs="Arial"/>
          <w:b/>
          <w:bCs/>
          <w:color w:val="FF0000"/>
          <w:szCs w:val="21"/>
        </w:rPr>
        <w:t xml:space="preserve">Supple Fig </w:t>
      </w:r>
      <w:r>
        <w:rPr>
          <w:rFonts w:ascii="Arial" w:hAnsi="Arial" w:cs="Arial"/>
          <w:b/>
          <w:bCs/>
          <w:color w:val="FF0000"/>
          <w:szCs w:val="21"/>
        </w:rPr>
        <w:t>1</w:t>
      </w:r>
      <w:r w:rsidRPr="0067089A">
        <w:rPr>
          <w:rFonts w:ascii="Arial" w:hAnsi="Arial" w:cs="Arial"/>
          <w:b/>
          <w:bCs/>
          <w:color w:val="FF0000"/>
          <w:szCs w:val="21"/>
        </w:rPr>
        <w:t xml:space="preserve">. </w:t>
      </w:r>
      <w:r w:rsidRPr="0067089A">
        <w:rPr>
          <w:rFonts w:ascii="Arial" w:hAnsi="Arial" w:cs="Arial"/>
          <w:color w:val="FF0000"/>
          <w:szCs w:val="21"/>
        </w:rPr>
        <w:t xml:space="preserve">Raw western blot images. </w:t>
      </w:r>
    </w:p>
    <w:p w14:paraId="2BC96D0B" w14:textId="77777777" w:rsidR="007723C8" w:rsidRDefault="007723C8" w:rsidP="00E01070">
      <w:pPr>
        <w:spacing w:line="480" w:lineRule="auto"/>
        <w:rPr>
          <w:rFonts w:ascii="Arial" w:hAnsi="Arial" w:cs="Arial"/>
          <w:b/>
          <w:bCs/>
          <w:color w:val="FF0000"/>
          <w:szCs w:val="21"/>
        </w:rPr>
      </w:pPr>
    </w:p>
    <w:p w14:paraId="133A583E" w14:textId="1D79221C" w:rsidR="00E01070" w:rsidRPr="0067089A" w:rsidRDefault="00B30A56" w:rsidP="00E01070">
      <w:pPr>
        <w:spacing w:line="480" w:lineRule="auto"/>
        <w:rPr>
          <w:rFonts w:ascii="Arial" w:hAnsi="Arial" w:cs="Arial"/>
          <w:color w:val="FF0000"/>
          <w:szCs w:val="21"/>
        </w:rPr>
      </w:pPr>
      <w:r w:rsidRPr="0067089A">
        <w:rPr>
          <w:rFonts w:ascii="Arial" w:hAnsi="Arial" w:cs="Arial"/>
          <w:b/>
          <w:bCs/>
          <w:color w:val="FF0000"/>
          <w:szCs w:val="21"/>
        </w:rPr>
        <w:t xml:space="preserve">Supple </w:t>
      </w:r>
      <w:r w:rsidR="00E01070" w:rsidRPr="0067089A">
        <w:rPr>
          <w:rFonts w:ascii="Arial" w:hAnsi="Arial" w:cs="Arial"/>
          <w:b/>
          <w:bCs/>
          <w:color w:val="FF0000"/>
          <w:szCs w:val="21"/>
        </w:rPr>
        <w:t xml:space="preserve">Fig </w:t>
      </w:r>
      <w:r w:rsidR="007723C8">
        <w:rPr>
          <w:rFonts w:ascii="Arial" w:hAnsi="Arial" w:cs="Arial"/>
          <w:b/>
          <w:bCs/>
          <w:color w:val="FF0000"/>
          <w:szCs w:val="21"/>
        </w:rPr>
        <w:t>2</w:t>
      </w:r>
      <w:r w:rsidR="00E01070" w:rsidRPr="0067089A">
        <w:rPr>
          <w:rFonts w:ascii="Arial" w:hAnsi="Arial" w:cs="Arial"/>
          <w:b/>
          <w:bCs/>
          <w:color w:val="FF0000"/>
          <w:szCs w:val="21"/>
        </w:rPr>
        <w:t>.</w:t>
      </w:r>
      <w:r w:rsidR="00E01070" w:rsidRPr="0067089A">
        <w:rPr>
          <w:rFonts w:ascii="Arial" w:hAnsi="Arial" w:cs="Arial"/>
          <w:color w:val="FF0000"/>
          <w:szCs w:val="21"/>
        </w:rPr>
        <w:t xml:space="preserve"> </w:t>
      </w:r>
      <w:r w:rsidR="00E01070" w:rsidRPr="0067089A">
        <w:rPr>
          <w:rFonts w:ascii="Arial" w:hAnsi="Arial" w:cs="Arial"/>
          <w:b/>
          <w:bCs/>
          <w:color w:val="FF0000"/>
          <w:szCs w:val="21"/>
        </w:rPr>
        <w:t>(</w:t>
      </w:r>
      <w:r w:rsidRPr="0067089A">
        <w:rPr>
          <w:rFonts w:ascii="Arial" w:hAnsi="Arial" w:cs="Arial"/>
          <w:b/>
          <w:bCs/>
          <w:color w:val="FF0000"/>
          <w:szCs w:val="21"/>
        </w:rPr>
        <w:t>A-B</w:t>
      </w:r>
      <w:r w:rsidR="00E01070" w:rsidRPr="0067089A">
        <w:rPr>
          <w:rFonts w:ascii="Arial" w:hAnsi="Arial" w:cs="Arial"/>
          <w:b/>
          <w:bCs/>
          <w:color w:val="FF0000"/>
          <w:szCs w:val="21"/>
        </w:rPr>
        <w:t xml:space="preserve">) </w:t>
      </w:r>
      <w:r w:rsidR="00E01070" w:rsidRPr="0067089A">
        <w:rPr>
          <w:rFonts w:ascii="Arial" w:hAnsi="Arial" w:cs="Arial"/>
          <w:color w:val="FF0000"/>
          <w:szCs w:val="21"/>
        </w:rPr>
        <w:t>Thirty-nine pa</w:t>
      </w:r>
      <w:bookmarkStart w:id="0" w:name="_GoBack"/>
      <w:bookmarkEnd w:id="0"/>
      <w:r w:rsidR="00E01070" w:rsidRPr="0067089A">
        <w:rPr>
          <w:rFonts w:ascii="Arial" w:hAnsi="Arial" w:cs="Arial"/>
          <w:color w:val="FF0000"/>
          <w:szCs w:val="21"/>
        </w:rPr>
        <w:t xml:space="preserve">ncreatic cancer patients were classified into two groups according to the Regnase-1 immunostaining scores in pancreatic tumors. Representative images of </w:t>
      </w:r>
      <w:r w:rsidRPr="0067089A">
        <w:rPr>
          <w:rFonts w:ascii="Arial" w:hAnsi="Arial" w:cs="Arial"/>
          <w:color w:val="FF0000"/>
          <w:szCs w:val="21"/>
        </w:rPr>
        <w:t>CD3 (left) and CD20</w:t>
      </w:r>
      <w:r w:rsidR="00E01070" w:rsidRPr="0067089A">
        <w:rPr>
          <w:rFonts w:ascii="Arial" w:hAnsi="Arial" w:cs="Arial"/>
          <w:color w:val="FF0000"/>
          <w:szCs w:val="21"/>
        </w:rPr>
        <w:t xml:space="preserve"> </w:t>
      </w:r>
      <w:r w:rsidRPr="0067089A">
        <w:rPr>
          <w:rFonts w:ascii="Arial" w:hAnsi="Arial" w:cs="Arial"/>
          <w:color w:val="FF0000"/>
          <w:szCs w:val="21"/>
        </w:rPr>
        <w:t xml:space="preserve">(right) </w:t>
      </w:r>
      <w:r w:rsidR="00E01070" w:rsidRPr="0067089A">
        <w:rPr>
          <w:rFonts w:ascii="Arial" w:hAnsi="Arial" w:cs="Arial"/>
          <w:color w:val="FF0000"/>
          <w:szCs w:val="21"/>
        </w:rPr>
        <w:t>staining of pancreatic tumors in pancreatic cancer patients</w:t>
      </w:r>
      <w:r w:rsidRPr="0067089A">
        <w:rPr>
          <w:rFonts w:ascii="Arial" w:hAnsi="Arial" w:cs="Arial"/>
          <w:color w:val="FF0000"/>
          <w:szCs w:val="21"/>
        </w:rPr>
        <w:t xml:space="preserve"> </w:t>
      </w:r>
      <w:r w:rsidRPr="0067089A">
        <w:rPr>
          <w:rFonts w:ascii="Arial" w:hAnsi="Arial" w:cs="Arial"/>
          <w:b/>
          <w:bCs/>
          <w:color w:val="FF0000"/>
          <w:szCs w:val="21"/>
        </w:rPr>
        <w:t>(A)</w:t>
      </w:r>
      <w:r w:rsidR="00E01070" w:rsidRPr="0067089A">
        <w:rPr>
          <w:rFonts w:ascii="Arial" w:hAnsi="Arial" w:cs="Arial"/>
          <w:color w:val="FF0000"/>
          <w:szCs w:val="21"/>
        </w:rPr>
        <w:t xml:space="preserve">. Correlation between Regnase-1 immunostaining scores and </w:t>
      </w:r>
      <w:r w:rsidRPr="0067089A">
        <w:rPr>
          <w:rFonts w:ascii="Arial" w:hAnsi="Arial" w:cs="Arial"/>
          <w:color w:val="FF0000"/>
          <w:szCs w:val="21"/>
        </w:rPr>
        <w:t>CD3</w:t>
      </w:r>
      <w:r w:rsidRPr="0067089A">
        <w:rPr>
          <w:rFonts w:ascii="Arial" w:hAnsi="Arial" w:cs="Arial"/>
          <w:color w:val="FF0000"/>
          <w:szCs w:val="21"/>
          <w:vertAlign w:val="superscript"/>
        </w:rPr>
        <w:t>+</w:t>
      </w:r>
      <w:r w:rsidRPr="0067089A">
        <w:rPr>
          <w:rFonts w:ascii="Arial" w:hAnsi="Arial" w:cs="Arial"/>
          <w:color w:val="FF0000"/>
          <w:szCs w:val="21"/>
        </w:rPr>
        <w:t xml:space="preserve"> (left) and CD20</w:t>
      </w:r>
      <w:r w:rsidRPr="0067089A">
        <w:rPr>
          <w:rFonts w:ascii="Arial" w:hAnsi="Arial" w:cs="Arial"/>
          <w:color w:val="FF0000"/>
          <w:szCs w:val="21"/>
          <w:vertAlign w:val="superscript"/>
        </w:rPr>
        <w:t>+</w:t>
      </w:r>
      <w:r w:rsidRPr="0067089A">
        <w:rPr>
          <w:rFonts w:ascii="Arial" w:hAnsi="Arial" w:cs="Arial"/>
          <w:color w:val="FF0000"/>
          <w:szCs w:val="21"/>
        </w:rPr>
        <w:t xml:space="preserve"> (right) </w:t>
      </w:r>
      <w:r w:rsidR="00E01070" w:rsidRPr="0067089A">
        <w:rPr>
          <w:rFonts w:ascii="Arial" w:hAnsi="Arial" w:cs="Arial"/>
          <w:color w:val="FF0000"/>
          <w:szCs w:val="21"/>
        </w:rPr>
        <w:t>cell counts of pancreatic tumors in pancreatic cancer patients</w:t>
      </w:r>
      <w:r w:rsidRPr="0067089A">
        <w:rPr>
          <w:rFonts w:ascii="Arial" w:hAnsi="Arial" w:cs="Arial"/>
          <w:color w:val="FF0000"/>
          <w:szCs w:val="21"/>
        </w:rPr>
        <w:t xml:space="preserve"> </w:t>
      </w:r>
      <w:r w:rsidRPr="0067089A">
        <w:rPr>
          <w:rFonts w:ascii="Arial" w:hAnsi="Arial" w:cs="Arial"/>
          <w:b/>
          <w:bCs/>
          <w:color w:val="FF0000"/>
          <w:szCs w:val="21"/>
        </w:rPr>
        <w:t>(B)</w:t>
      </w:r>
      <w:r w:rsidR="00E01070" w:rsidRPr="0067089A">
        <w:rPr>
          <w:rFonts w:ascii="Arial" w:hAnsi="Arial" w:cs="Arial"/>
          <w:color w:val="FF0000"/>
          <w:szCs w:val="21"/>
        </w:rPr>
        <w:t xml:space="preserve">. </w:t>
      </w:r>
      <w:r w:rsidR="00E01070" w:rsidRPr="0067089A">
        <w:rPr>
          <w:rFonts w:ascii="Arial" w:eastAsia="Yu Mincho" w:hAnsi="Arial" w:cs="Arial"/>
          <w:color w:val="FF0000"/>
          <w:szCs w:val="21"/>
        </w:rPr>
        <w:t xml:space="preserve">The </w:t>
      </w:r>
      <w:r w:rsidR="00E01070" w:rsidRPr="0067089A">
        <w:rPr>
          <w:rFonts w:ascii="Arial" w:hAnsi="Arial" w:cs="Arial"/>
          <w:color w:val="FF0000"/>
          <w:szCs w:val="21"/>
        </w:rPr>
        <w:t>Pearson product-moment correlation coefficient was used to determine the correlation coefficient. Scale bars:</w:t>
      </w:r>
      <w:r w:rsidR="00E01070" w:rsidRPr="0067089A">
        <w:rPr>
          <w:rFonts w:ascii="Arial" w:eastAsia="Yu Mincho" w:hAnsi="Arial" w:cs="Arial"/>
          <w:color w:val="FF0000"/>
          <w:szCs w:val="21"/>
        </w:rPr>
        <w:t xml:space="preserve"> </w:t>
      </w:r>
      <w:r w:rsidR="00E163EC" w:rsidRPr="0067089A">
        <w:rPr>
          <w:rFonts w:ascii="Arial" w:hAnsi="Arial" w:cs="Arial" w:hint="eastAsia"/>
          <w:color w:val="FF0000"/>
          <w:szCs w:val="21"/>
        </w:rPr>
        <w:t>2</w:t>
      </w:r>
      <w:r w:rsidR="00E01070" w:rsidRPr="0067089A">
        <w:rPr>
          <w:rFonts w:ascii="Arial" w:hAnsi="Arial" w:cs="Arial"/>
          <w:color w:val="FF0000"/>
          <w:szCs w:val="21"/>
        </w:rPr>
        <w:t>00 μm (insets).</w:t>
      </w:r>
    </w:p>
    <w:p w14:paraId="4058097B" w14:textId="77777777" w:rsidR="00E01070" w:rsidRPr="0067089A" w:rsidRDefault="00E01070" w:rsidP="00E01070">
      <w:pPr>
        <w:spacing w:line="480" w:lineRule="auto"/>
        <w:rPr>
          <w:rFonts w:ascii="Arial" w:hAnsi="Arial" w:cs="Arial"/>
          <w:color w:val="FF0000"/>
          <w:szCs w:val="21"/>
        </w:rPr>
      </w:pPr>
    </w:p>
    <w:p w14:paraId="5EB56820" w14:textId="7BED6DD6" w:rsidR="009D0BC3" w:rsidRPr="0067089A" w:rsidRDefault="009D0BC3" w:rsidP="00E01070">
      <w:pPr>
        <w:spacing w:line="480" w:lineRule="auto"/>
        <w:rPr>
          <w:rFonts w:ascii="Arial" w:hAnsi="Arial" w:cs="Arial"/>
          <w:color w:val="FF0000"/>
          <w:szCs w:val="21"/>
        </w:rPr>
      </w:pPr>
      <w:r w:rsidRPr="0067089A">
        <w:rPr>
          <w:rFonts w:ascii="Arial" w:hAnsi="Arial" w:cs="Arial"/>
          <w:b/>
          <w:bCs/>
          <w:color w:val="FF0000"/>
          <w:szCs w:val="21"/>
        </w:rPr>
        <w:t xml:space="preserve">Supple Fig </w:t>
      </w:r>
      <w:r w:rsidR="007723C8">
        <w:rPr>
          <w:rFonts w:ascii="Arial" w:hAnsi="Arial" w:cs="Arial"/>
          <w:b/>
          <w:bCs/>
          <w:color w:val="FF0000"/>
          <w:szCs w:val="21"/>
        </w:rPr>
        <w:t>3</w:t>
      </w:r>
      <w:r w:rsidR="00E01070" w:rsidRPr="0067089A">
        <w:rPr>
          <w:rFonts w:ascii="Arial" w:hAnsi="Arial" w:cs="Arial"/>
          <w:b/>
          <w:bCs/>
          <w:color w:val="FF0000"/>
          <w:szCs w:val="21"/>
        </w:rPr>
        <w:t>.</w:t>
      </w:r>
      <w:r w:rsidR="00E01070" w:rsidRPr="0067089A">
        <w:rPr>
          <w:rFonts w:ascii="Arial" w:hAnsi="Arial" w:cs="Arial"/>
          <w:color w:val="FF0000"/>
          <w:szCs w:val="21"/>
        </w:rPr>
        <w:t xml:space="preserve"> </w:t>
      </w:r>
      <w:r w:rsidRPr="0067089A">
        <w:rPr>
          <w:rFonts w:ascii="Arial" w:hAnsi="Arial" w:cs="Arial"/>
          <w:color w:val="FF0000"/>
          <w:szCs w:val="21"/>
        </w:rPr>
        <w:t xml:space="preserve">Regnase-1 and Actb protein levels in </w:t>
      </w:r>
      <w:r w:rsidR="00E01070" w:rsidRPr="0067089A">
        <w:rPr>
          <w:rFonts w:ascii="Arial" w:hAnsi="Arial" w:cs="Arial"/>
          <w:color w:val="FF0000"/>
          <w:szCs w:val="21"/>
        </w:rPr>
        <w:t xml:space="preserve">wild-type (WT) mice and </w:t>
      </w:r>
      <w:r w:rsidRPr="0067089A">
        <w:rPr>
          <w:rFonts w:ascii="Arial" w:hAnsi="Arial" w:cs="Arial"/>
          <w:color w:val="FF0000"/>
          <w:szCs w:val="21"/>
        </w:rPr>
        <w:t xml:space="preserve">pancreas-specific Regnase-1 knockout (PR) mice. </w:t>
      </w:r>
    </w:p>
    <w:p w14:paraId="4ECBDC5A" w14:textId="77777777" w:rsidR="009D0BC3" w:rsidRPr="0067089A" w:rsidRDefault="009D0BC3" w:rsidP="00E01070">
      <w:pPr>
        <w:spacing w:line="480" w:lineRule="auto"/>
        <w:rPr>
          <w:rFonts w:ascii="Arial" w:hAnsi="Arial" w:cs="Arial"/>
          <w:color w:val="FF0000"/>
          <w:szCs w:val="21"/>
        </w:rPr>
      </w:pPr>
    </w:p>
    <w:p w14:paraId="55063E72" w14:textId="311F35BC" w:rsidR="00E01070" w:rsidRPr="0067089A" w:rsidRDefault="009D0BC3" w:rsidP="00E01070">
      <w:pPr>
        <w:spacing w:line="480" w:lineRule="auto"/>
        <w:rPr>
          <w:rFonts w:ascii="Arial" w:hAnsi="Arial" w:cs="Arial"/>
          <w:color w:val="FF0000"/>
          <w:szCs w:val="21"/>
        </w:rPr>
      </w:pPr>
      <w:bookmarkStart w:id="1" w:name="OLE_LINK1"/>
      <w:r w:rsidRPr="0067089A">
        <w:rPr>
          <w:rFonts w:ascii="Arial" w:hAnsi="Arial" w:cs="Arial"/>
          <w:b/>
          <w:bCs/>
          <w:color w:val="FF0000"/>
          <w:szCs w:val="21"/>
        </w:rPr>
        <w:t xml:space="preserve">Supple Fig </w:t>
      </w:r>
      <w:r w:rsidR="007723C8">
        <w:rPr>
          <w:rFonts w:ascii="Arial" w:hAnsi="Arial" w:cs="Arial"/>
          <w:b/>
          <w:bCs/>
          <w:color w:val="FF0000"/>
          <w:szCs w:val="21"/>
        </w:rPr>
        <w:t>4</w:t>
      </w:r>
      <w:r w:rsidRPr="0067089A">
        <w:rPr>
          <w:rFonts w:ascii="Arial" w:hAnsi="Arial" w:cs="Arial"/>
          <w:b/>
          <w:bCs/>
          <w:color w:val="FF0000"/>
          <w:szCs w:val="21"/>
        </w:rPr>
        <w:t xml:space="preserve">. </w:t>
      </w:r>
      <w:r w:rsidRPr="0067089A">
        <w:rPr>
          <w:rFonts w:ascii="Arial" w:hAnsi="Arial" w:cs="Arial"/>
          <w:color w:val="FF0000"/>
          <w:szCs w:val="21"/>
        </w:rPr>
        <w:t xml:space="preserve">Relative mRNA levels of </w:t>
      </w:r>
      <w:r w:rsidRPr="0067089A">
        <w:rPr>
          <w:rFonts w:ascii="Arial" w:hAnsi="Arial" w:cs="Arial"/>
          <w:i/>
          <w:iCs/>
          <w:color w:val="FF0000"/>
          <w:szCs w:val="21"/>
        </w:rPr>
        <w:t>Ccl2, Cox2, Cxcl12, Cxcr2, Ccr4, Il6st,</w:t>
      </w:r>
      <w:r w:rsidRPr="0067089A">
        <w:rPr>
          <w:rFonts w:ascii="Arial" w:hAnsi="Arial" w:cs="Arial"/>
          <w:color w:val="FF0000"/>
          <w:szCs w:val="21"/>
        </w:rPr>
        <w:t xml:space="preserve"> and </w:t>
      </w:r>
      <w:r w:rsidRPr="0067089A">
        <w:rPr>
          <w:rFonts w:ascii="Arial" w:hAnsi="Arial" w:cs="Arial"/>
          <w:i/>
          <w:iCs/>
          <w:color w:val="FF0000"/>
          <w:szCs w:val="21"/>
        </w:rPr>
        <w:t>Il10</w:t>
      </w:r>
      <w:r w:rsidRPr="0067089A">
        <w:rPr>
          <w:rFonts w:ascii="Arial" w:hAnsi="Arial" w:cs="Arial"/>
          <w:color w:val="FF0000"/>
          <w:szCs w:val="21"/>
        </w:rPr>
        <w:t xml:space="preserve"> in pancreatic tissue of</w:t>
      </w:r>
      <w:r w:rsidR="00E01070" w:rsidRPr="0067089A">
        <w:rPr>
          <w:rFonts w:ascii="Arial" w:hAnsi="Arial" w:cs="Arial"/>
          <w:color w:val="FF0000"/>
          <w:szCs w:val="21"/>
        </w:rPr>
        <w:t xml:space="preserve"> WT mice, pancreas-specific Regnase-1 knockout (PR) mice, pancreas-specific Kras-mutant (PK) mice, and pancreas-specific Kras-mutant Regnase-1 knockout (PKR) mice at 4 weeks of age</w:t>
      </w:r>
      <w:r w:rsidRPr="0067089A">
        <w:rPr>
          <w:rFonts w:ascii="Arial" w:hAnsi="Arial" w:cs="Arial"/>
          <w:color w:val="FF0000"/>
          <w:szCs w:val="21"/>
        </w:rPr>
        <w:t xml:space="preserve"> (N=6 per group).</w:t>
      </w:r>
      <w:r w:rsidR="0067089A" w:rsidRPr="0067089A">
        <w:rPr>
          <w:rFonts w:ascii="Arial" w:hAnsi="Arial" w:cs="Arial"/>
          <w:color w:val="FF0000"/>
          <w:szCs w:val="21"/>
        </w:rPr>
        <w:t xml:space="preserve"> One-way analysis of variance </w:t>
      </w:r>
      <w:r w:rsidR="0067089A" w:rsidRPr="0067089A">
        <w:rPr>
          <w:rFonts w:ascii="Arial" w:hAnsi="Arial" w:cs="Arial"/>
          <w:color w:val="FF0000"/>
          <w:szCs w:val="21"/>
        </w:rPr>
        <w:lastRenderedPageBreak/>
        <w:t>followed by Tukey's post hoc test was used to compare differences between the four groups. *:</w:t>
      </w:r>
      <w:r w:rsidR="0067089A" w:rsidRPr="0067089A">
        <w:rPr>
          <w:rFonts w:ascii="Arial" w:eastAsia="Yu Mincho" w:hAnsi="Arial" w:cs="Arial"/>
          <w:color w:val="FF0000"/>
          <w:szCs w:val="21"/>
        </w:rPr>
        <w:t xml:space="preserve"> P</w:t>
      </w:r>
      <w:r w:rsidR="0067089A" w:rsidRPr="0067089A">
        <w:rPr>
          <w:rFonts w:ascii="Arial" w:hAnsi="Arial" w:cs="Arial"/>
          <w:color w:val="FF0000"/>
          <w:szCs w:val="21"/>
        </w:rPr>
        <w:t xml:space="preserve"> &lt; 0.05,</w:t>
      </w:r>
    </w:p>
    <w:bookmarkEnd w:id="1"/>
    <w:p w14:paraId="537DC567" w14:textId="77777777" w:rsidR="009D0BC3" w:rsidRPr="0067089A" w:rsidRDefault="009D0BC3" w:rsidP="00E01070">
      <w:pPr>
        <w:spacing w:line="480" w:lineRule="auto"/>
        <w:rPr>
          <w:rFonts w:ascii="Arial" w:hAnsi="Arial" w:cs="Arial"/>
          <w:color w:val="FF0000"/>
          <w:szCs w:val="21"/>
        </w:rPr>
      </w:pPr>
    </w:p>
    <w:p w14:paraId="2194A4FF" w14:textId="46CA1F8D" w:rsidR="009D0BC3" w:rsidRPr="0067089A" w:rsidRDefault="009D0BC3" w:rsidP="00E01070">
      <w:pPr>
        <w:spacing w:line="480" w:lineRule="auto"/>
        <w:rPr>
          <w:rFonts w:ascii="Arial" w:hAnsi="Arial" w:cs="Arial"/>
          <w:b/>
          <w:bCs/>
          <w:color w:val="FF0000"/>
          <w:szCs w:val="21"/>
        </w:rPr>
      </w:pPr>
      <w:r w:rsidRPr="0067089A">
        <w:rPr>
          <w:rFonts w:ascii="Arial" w:hAnsi="Arial" w:cs="Arial"/>
          <w:b/>
          <w:bCs/>
          <w:color w:val="FF0000"/>
          <w:szCs w:val="21"/>
        </w:rPr>
        <w:t xml:space="preserve">Supple Fig </w:t>
      </w:r>
      <w:r w:rsidR="007723C8">
        <w:rPr>
          <w:rFonts w:ascii="Arial" w:hAnsi="Arial" w:cs="Arial"/>
          <w:b/>
          <w:bCs/>
          <w:color w:val="FF0000"/>
          <w:szCs w:val="21"/>
        </w:rPr>
        <w:t>5</w:t>
      </w:r>
      <w:r w:rsidRPr="0067089A">
        <w:rPr>
          <w:rFonts w:ascii="Arial" w:hAnsi="Arial" w:cs="Arial"/>
          <w:b/>
          <w:bCs/>
          <w:color w:val="FF0000"/>
          <w:szCs w:val="21"/>
        </w:rPr>
        <w:t>.</w:t>
      </w:r>
      <w:r w:rsidRPr="0067089A">
        <w:rPr>
          <w:rFonts w:ascii="Arial" w:hAnsi="Arial" w:cs="Arial"/>
          <w:color w:val="FF0000"/>
          <w:szCs w:val="21"/>
        </w:rPr>
        <w:t xml:space="preserve"> Dot plots and percentage of Ly6g</w:t>
      </w:r>
      <w:r w:rsidRPr="0067089A">
        <w:rPr>
          <w:rFonts w:ascii="Arial" w:hAnsi="Arial" w:cs="Arial"/>
          <w:color w:val="FF0000"/>
          <w:szCs w:val="21"/>
          <w:vertAlign w:val="superscript"/>
        </w:rPr>
        <w:t>+</w:t>
      </w:r>
      <w:r w:rsidRPr="0067089A">
        <w:rPr>
          <w:rFonts w:ascii="Arial" w:hAnsi="Arial" w:cs="Arial"/>
          <w:color w:val="FF0000"/>
          <w:szCs w:val="21"/>
        </w:rPr>
        <w:t>Ly6c</w:t>
      </w:r>
      <w:r w:rsidRPr="0067089A">
        <w:rPr>
          <w:rFonts w:ascii="Arial" w:hAnsi="Arial" w:cs="Arial"/>
          <w:color w:val="FF0000"/>
          <w:szCs w:val="21"/>
          <w:vertAlign w:val="superscript"/>
        </w:rPr>
        <w:t>low</w:t>
      </w:r>
      <w:r w:rsidRPr="0067089A">
        <w:rPr>
          <w:rFonts w:ascii="Arial" w:hAnsi="Arial" w:cs="Arial"/>
          <w:color w:val="FF0000"/>
          <w:szCs w:val="21"/>
        </w:rPr>
        <w:t xml:space="preserve"> cells and Ly6g</w:t>
      </w:r>
      <w:r w:rsidRPr="0067089A">
        <w:rPr>
          <w:rFonts w:ascii="Arial" w:hAnsi="Arial" w:cs="Arial"/>
          <w:color w:val="FF0000"/>
          <w:szCs w:val="21"/>
          <w:vertAlign w:val="superscript"/>
        </w:rPr>
        <w:t>-</w:t>
      </w:r>
      <w:r w:rsidRPr="0067089A">
        <w:rPr>
          <w:rFonts w:ascii="Arial" w:hAnsi="Arial" w:cs="Arial"/>
          <w:color w:val="FF0000"/>
          <w:szCs w:val="21"/>
        </w:rPr>
        <w:t>Ly6c</w:t>
      </w:r>
      <w:r w:rsidRPr="0067089A">
        <w:rPr>
          <w:rFonts w:ascii="Arial" w:hAnsi="Arial" w:cs="Arial"/>
          <w:color w:val="FF0000"/>
          <w:szCs w:val="21"/>
          <w:vertAlign w:val="superscript"/>
        </w:rPr>
        <w:t>+</w:t>
      </w:r>
      <w:r w:rsidRPr="0067089A">
        <w:rPr>
          <w:rFonts w:ascii="Arial" w:hAnsi="Arial" w:cs="Arial"/>
          <w:color w:val="FF0000"/>
          <w:szCs w:val="21"/>
        </w:rPr>
        <w:t xml:space="preserve"> cells among CD45</w:t>
      </w:r>
      <w:r w:rsidRPr="0067089A">
        <w:rPr>
          <w:rFonts w:ascii="Arial" w:hAnsi="Arial" w:cs="Arial"/>
          <w:color w:val="FF0000"/>
          <w:szCs w:val="21"/>
          <w:vertAlign w:val="superscript"/>
        </w:rPr>
        <w:t>+</w:t>
      </w:r>
      <w:r w:rsidRPr="0067089A">
        <w:rPr>
          <w:rFonts w:ascii="Arial" w:hAnsi="Arial" w:cs="Arial"/>
          <w:color w:val="FF0000"/>
          <w:szCs w:val="21"/>
        </w:rPr>
        <w:t>CD11b</w:t>
      </w:r>
      <w:r w:rsidRPr="0067089A">
        <w:rPr>
          <w:rFonts w:ascii="Arial" w:hAnsi="Arial" w:cs="Arial"/>
          <w:color w:val="FF0000"/>
          <w:szCs w:val="21"/>
          <w:vertAlign w:val="superscript"/>
        </w:rPr>
        <w:t>+</w:t>
      </w:r>
      <w:r w:rsidRPr="0067089A">
        <w:rPr>
          <w:rFonts w:ascii="Arial" w:hAnsi="Arial" w:cs="Arial"/>
          <w:color w:val="FF0000"/>
          <w:szCs w:val="21"/>
        </w:rPr>
        <w:t xml:space="preserve"> cells in the spleen of WT mice </w:t>
      </w:r>
      <w:r w:rsidRPr="0067089A">
        <w:rPr>
          <w:rFonts w:ascii="Arial" w:hAnsi="Arial" w:cs="Arial"/>
          <w:b/>
          <w:bCs/>
          <w:color w:val="FF0000"/>
          <w:szCs w:val="21"/>
        </w:rPr>
        <w:t xml:space="preserve">(left) </w:t>
      </w:r>
      <w:r w:rsidRPr="0067089A">
        <w:rPr>
          <w:rFonts w:ascii="Arial" w:hAnsi="Arial" w:cs="Arial"/>
          <w:color w:val="FF0000"/>
          <w:szCs w:val="21"/>
        </w:rPr>
        <w:t xml:space="preserve">and in the tumor of pancreas-specific Kras-mutant Regnase-1 knockout (PKR) mice </w:t>
      </w:r>
      <w:r w:rsidRPr="0067089A">
        <w:rPr>
          <w:rFonts w:ascii="Arial" w:hAnsi="Arial" w:cs="Arial"/>
          <w:b/>
          <w:bCs/>
          <w:color w:val="FF0000"/>
          <w:szCs w:val="21"/>
        </w:rPr>
        <w:t xml:space="preserve">(right) </w:t>
      </w:r>
      <w:r w:rsidRPr="0067089A">
        <w:rPr>
          <w:rFonts w:ascii="Arial" w:hAnsi="Arial" w:cs="Arial"/>
          <w:color w:val="FF0000"/>
          <w:szCs w:val="21"/>
        </w:rPr>
        <w:t xml:space="preserve">evaluated by flow cytometry. </w:t>
      </w:r>
    </w:p>
    <w:p w14:paraId="4FDD71BC" w14:textId="77777777" w:rsidR="009D0BC3" w:rsidRPr="0067089A" w:rsidRDefault="009D0BC3" w:rsidP="00E01070">
      <w:pPr>
        <w:spacing w:line="480" w:lineRule="auto"/>
        <w:rPr>
          <w:rFonts w:ascii="Arial" w:hAnsi="Arial" w:cs="Arial"/>
          <w:color w:val="FF0000"/>
          <w:szCs w:val="21"/>
        </w:rPr>
      </w:pPr>
    </w:p>
    <w:p w14:paraId="10843835" w14:textId="36A1D3DD" w:rsidR="009D0BC3" w:rsidRPr="0067089A" w:rsidRDefault="009D0BC3" w:rsidP="00E01070">
      <w:pPr>
        <w:spacing w:line="480" w:lineRule="auto"/>
        <w:rPr>
          <w:rFonts w:ascii="Arial" w:hAnsi="Arial" w:cs="Arial"/>
          <w:color w:val="FF0000"/>
          <w:szCs w:val="21"/>
        </w:rPr>
      </w:pPr>
      <w:r w:rsidRPr="0067089A">
        <w:rPr>
          <w:rFonts w:ascii="Arial" w:hAnsi="Arial" w:cs="Arial" w:hint="eastAsia"/>
          <w:b/>
          <w:bCs/>
          <w:color w:val="FF0000"/>
          <w:szCs w:val="21"/>
        </w:rPr>
        <w:t>S</w:t>
      </w:r>
      <w:r w:rsidRPr="0067089A">
        <w:rPr>
          <w:rFonts w:ascii="Arial" w:hAnsi="Arial" w:cs="Arial"/>
          <w:b/>
          <w:bCs/>
          <w:color w:val="FF0000"/>
          <w:szCs w:val="21"/>
        </w:rPr>
        <w:t xml:space="preserve">upple Fig </w:t>
      </w:r>
      <w:r w:rsidR="007723C8">
        <w:rPr>
          <w:rFonts w:ascii="Arial" w:hAnsi="Arial" w:cs="Arial"/>
          <w:b/>
          <w:bCs/>
          <w:color w:val="FF0000"/>
          <w:szCs w:val="21"/>
        </w:rPr>
        <w:t>6</w:t>
      </w:r>
      <w:r w:rsidRPr="0067089A">
        <w:rPr>
          <w:rFonts w:ascii="Arial" w:hAnsi="Arial" w:cs="Arial"/>
          <w:b/>
          <w:bCs/>
          <w:color w:val="FF0000"/>
          <w:szCs w:val="21"/>
        </w:rPr>
        <w:t>.</w:t>
      </w:r>
      <w:r w:rsidRPr="0067089A">
        <w:rPr>
          <w:rFonts w:ascii="Arial" w:hAnsi="Arial" w:cs="Arial"/>
          <w:color w:val="FF0000"/>
          <w:szCs w:val="21"/>
        </w:rPr>
        <w:t xml:space="preserve"> Survival of the mice with orthotopic syngeneic tumors of WT or Rengase-1</w:t>
      </w:r>
      <w:r w:rsidRPr="0067089A" w:rsidDel="005E22EB">
        <w:rPr>
          <w:rFonts w:ascii="Arial" w:hAnsi="Arial" w:cs="Arial"/>
          <w:color w:val="FF0000"/>
          <w:szCs w:val="21"/>
        </w:rPr>
        <w:t xml:space="preserve"> </w:t>
      </w:r>
      <w:r w:rsidRPr="0067089A">
        <w:rPr>
          <w:rFonts w:ascii="Arial" w:hAnsi="Arial" w:cs="Arial"/>
          <w:color w:val="FF0000"/>
          <w:szCs w:val="21"/>
        </w:rPr>
        <w:t>KO pancreatic cancer cells established from pancreas-specific Kras and Tp53 mutant (KPC) mice</w:t>
      </w:r>
      <w:r w:rsidR="0067089A" w:rsidRPr="0067089A">
        <w:rPr>
          <w:rFonts w:ascii="Arial" w:hAnsi="Arial" w:cs="Arial"/>
          <w:color w:val="FF0000"/>
          <w:szCs w:val="21"/>
        </w:rPr>
        <w:t xml:space="preserve"> (N=10 each)</w:t>
      </w:r>
      <w:r w:rsidRPr="0067089A">
        <w:rPr>
          <w:rFonts w:ascii="Arial" w:hAnsi="Arial" w:cs="Arial"/>
          <w:color w:val="FF0000"/>
          <w:szCs w:val="21"/>
        </w:rPr>
        <w:t>. The percentage of the mice that survived at 27 days after tumor inoculation was shown</w:t>
      </w:r>
      <w:r w:rsidR="0067089A" w:rsidRPr="0067089A">
        <w:rPr>
          <w:rFonts w:ascii="Arial" w:hAnsi="Arial" w:cs="Arial"/>
          <w:color w:val="FF0000"/>
          <w:szCs w:val="21"/>
        </w:rPr>
        <w:t xml:space="preserve"> (70% [7 out of 10] in the WT group and 20% [2 out of 10] in the KO group)</w:t>
      </w:r>
      <w:r w:rsidRPr="0067089A">
        <w:rPr>
          <w:rFonts w:ascii="Arial" w:hAnsi="Arial" w:cs="Arial"/>
          <w:color w:val="FF0000"/>
          <w:szCs w:val="21"/>
        </w:rPr>
        <w:t>.</w:t>
      </w:r>
      <w:r w:rsidR="0067089A" w:rsidRPr="0067089A">
        <w:rPr>
          <w:rFonts w:ascii="Arial" w:hAnsi="Arial" w:cs="Arial"/>
          <w:color w:val="FF0000"/>
          <w:szCs w:val="21"/>
        </w:rPr>
        <w:t xml:space="preserve"> * P&lt;0.05 by chi-square test. </w:t>
      </w:r>
      <w:r w:rsidRPr="0067089A">
        <w:rPr>
          <w:rFonts w:ascii="Arial" w:hAnsi="Arial" w:cs="Arial"/>
          <w:color w:val="FF0000"/>
          <w:szCs w:val="21"/>
        </w:rPr>
        <w:t xml:space="preserve"> </w:t>
      </w:r>
    </w:p>
    <w:p w14:paraId="3A7AB0EF" w14:textId="77777777" w:rsidR="009D0BC3" w:rsidRPr="0067089A" w:rsidRDefault="009D0BC3" w:rsidP="00E01070">
      <w:pPr>
        <w:spacing w:line="480" w:lineRule="auto"/>
        <w:rPr>
          <w:rFonts w:ascii="Arial" w:hAnsi="Arial" w:cs="Arial"/>
          <w:color w:val="FF0000"/>
          <w:szCs w:val="21"/>
        </w:rPr>
      </w:pPr>
    </w:p>
    <w:p w14:paraId="1F1D1F94" w14:textId="633A28F5" w:rsidR="008D772F" w:rsidRPr="0067089A" w:rsidRDefault="009D0BC3" w:rsidP="008D772F">
      <w:pPr>
        <w:spacing w:line="480" w:lineRule="auto"/>
        <w:rPr>
          <w:rFonts w:ascii="Arial" w:hAnsi="Arial" w:cs="Arial"/>
          <w:color w:val="FF0000"/>
          <w:szCs w:val="21"/>
        </w:rPr>
      </w:pPr>
      <w:r w:rsidRPr="0067089A">
        <w:rPr>
          <w:rFonts w:ascii="Arial" w:hAnsi="Arial" w:cs="Arial" w:hint="eastAsia"/>
          <w:b/>
          <w:bCs/>
          <w:color w:val="FF0000"/>
          <w:szCs w:val="21"/>
        </w:rPr>
        <w:t>S</w:t>
      </w:r>
      <w:r w:rsidRPr="0067089A">
        <w:rPr>
          <w:rFonts w:ascii="Arial" w:hAnsi="Arial" w:cs="Arial"/>
          <w:b/>
          <w:bCs/>
          <w:color w:val="FF0000"/>
          <w:szCs w:val="21"/>
        </w:rPr>
        <w:t xml:space="preserve">upple Fig </w:t>
      </w:r>
      <w:r w:rsidR="007723C8">
        <w:rPr>
          <w:rFonts w:ascii="Arial" w:hAnsi="Arial" w:cs="Arial"/>
          <w:b/>
          <w:bCs/>
          <w:color w:val="FF0000"/>
          <w:szCs w:val="21"/>
        </w:rPr>
        <w:t>7</w:t>
      </w:r>
      <w:r w:rsidRPr="0067089A">
        <w:rPr>
          <w:rFonts w:ascii="Arial" w:hAnsi="Arial" w:cs="Arial"/>
          <w:b/>
          <w:bCs/>
          <w:color w:val="FF0000"/>
          <w:szCs w:val="21"/>
        </w:rPr>
        <w:t>.</w:t>
      </w:r>
      <w:r w:rsidRPr="0067089A">
        <w:rPr>
          <w:rFonts w:ascii="Arial" w:hAnsi="Arial" w:cs="Arial"/>
          <w:color w:val="FF0000"/>
          <w:szCs w:val="21"/>
        </w:rPr>
        <w:t xml:space="preserve"> </w:t>
      </w:r>
      <w:r w:rsidR="008D772F" w:rsidRPr="0067089A">
        <w:rPr>
          <w:rFonts w:ascii="Arial" w:hAnsi="Arial" w:cs="Arial"/>
          <w:color w:val="FF0000"/>
          <w:szCs w:val="21"/>
        </w:rPr>
        <w:t xml:space="preserve">Relative mRNA levels of </w:t>
      </w:r>
      <w:r w:rsidR="008D772F" w:rsidRPr="0067089A">
        <w:rPr>
          <w:rFonts w:ascii="Arial" w:hAnsi="Arial" w:cs="Arial"/>
          <w:i/>
          <w:iCs/>
          <w:color w:val="FF0000"/>
          <w:szCs w:val="21"/>
        </w:rPr>
        <w:t xml:space="preserve">Itgam, Ly6g, Arg1, Nos2, S100a8, </w:t>
      </w:r>
      <w:r w:rsidR="008D772F" w:rsidRPr="0067089A">
        <w:rPr>
          <w:rFonts w:ascii="Arial" w:hAnsi="Arial" w:cs="Arial"/>
          <w:color w:val="FF0000"/>
          <w:szCs w:val="21"/>
        </w:rPr>
        <w:t xml:space="preserve">and </w:t>
      </w:r>
      <w:r w:rsidR="008D772F" w:rsidRPr="0067089A">
        <w:rPr>
          <w:rFonts w:ascii="Arial" w:hAnsi="Arial" w:cs="Arial"/>
          <w:i/>
          <w:iCs/>
          <w:color w:val="FF0000"/>
          <w:szCs w:val="21"/>
        </w:rPr>
        <w:t>S100a9</w:t>
      </w:r>
      <w:r w:rsidR="008D772F" w:rsidRPr="0067089A">
        <w:rPr>
          <w:rFonts w:ascii="Arial" w:hAnsi="Arial" w:cs="Arial"/>
          <w:color w:val="FF0000"/>
          <w:szCs w:val="21"/>
        </w:rPr>
        <w:t xml:space="preserve"> in </w:t>
      </w:r>
      <w:r w:rsidRPr="0067089A">
        <w:rPr>
          <w:rFonts w:ascii="Arial" w:hAnsi="Arial" w:cs="Arial"/>
          <w:color w:val="FF0000"/>
        </w:rPr>
        <w:t xml:space="preserve">CD11b+ </w:t>
      </w:r>
      <w:r w:rsidR="008D772F" w:rsidRPr="0067089A">
        <w:rPr>
          <w:rFonts w:ascii="Arial" w:hAnsi="Arial" w:cs="Arial"/>
          <w:color w:val="FF0000"/>
        </w:rPr>
        <w:t>or CD11b</w:t>
      </w:r>
      <w:r w:rsidR="008D772F" w:rsidRPr="0067089A">
        <w:rPr>
          <w:rFonts w:ascii="Arial" w:hAnsi="Arial" w:cs="Arial"/>
          <w:color w:val="FF0000"/>
          <w:vertAlign w:val="superscript"/>
        </w:rPr>
        <w:t>-</w:t>
      </w:r>
      <w:r w:rsidR="008D772F" w:rsidRPr="0067089A">
        <w:rPr>
          <w:rFonts w:ascii="Arial" w:hAnsi="Arial" w:cs="Arial"/>
          <w:color w:val="FF0000"/>
        </w:rPr>
        <w:t xml:space="preserve"> </w:t>
      </w:r>
      <w:r w:rsidRPr="0067089A">
        <w:rPr>
          <w:rFonts w:ascii="Arial" w:hAnsi="Arial" w:cs="Arial"/>
          <w:color w:val="FF0000"/>
        </w:rPr>
        <w:t xml:space="preserve">cells </w:t>
      </w:r>
      <w:r w:rsidR="008D772F" w:rsidRPr="0067089A">
        <w:rPr>
          <w:rFonts w:ascii="Arial" w:hAnsi="Arial" w:cs="Arial"/>
          <w:color w:val="FF0000"/>
        </w:rPr>
        <w:t xml:space="preserve">isolated </w:t>
      </w:r>
      <w:r w:rsidRPr="0067089A">
        <w:rPr>
          <w:rFonts w:ascii="Arial" w:hAnsi="Arial" w:cs="Arial"/>
          <w:color w:val="FF0000"/>
        </w:rPr>
        <w:t>from the Regnase-1-deficient orthotopic tumors</w:t>
      </w:r>
      <w:r w:rsidR="008D772F" w:rsidRPr="0067089A">
        <w:rPr>
          <w:rFonts w:ascii="Arial" w:hAnsi="Arial" w:cs="Arial"/>
          <w:color w:val="FF0000"/>
        </w:rPr>
        <w:t xml:space="preserve"> </w:t>
      </w:r>
      <w:r w:rsidR="008D772F" w:rsidRPr="0067089A">
        <w:rPr>
          <w:rFonts w:ascii="Arial" w:hAnsi="Arial" w:cs="Arial"/>
          <w:color w:val="FF0000"/>
          <w:szCs w:val="21"/>
        </w:rPr>
        <w:t>(N=5 per group).</w:t>
      </w:r>
      <w:r w:rsidR="0067089A" w:rsidRPr="0067089A">
        <w:rPr>
          <w:rFonts w:ascii="Arial" w:hAnsi="Arial" w:cs="Arial"/>
          <w:color w:val="FF0000"/>
          <w:szCs w:val="21"/>
        </w:rPr>
        <w:t xml:space="preserve"> Student's t test was used to evaluate the differences between the two groups. *P &lt;0.05.</w:t>
      </w:r>
    </w:p>
    <w:p w14:paraId="7FCB1628" w14:textId="3B512B49" w:rsidR="009D0BC3" w:rsidRPr="0067089A" w:rsidRDefault="008D772F" w:rsidP="00E01070">
      <w:pPr>
        <w:spacing w:line="480" w:lineRule="auto"/>
        <w:rPr>
          <w:rFonts w:ascii="Arial" w:hAnsi="Arial" w:cs="Arial"/>
          <w:color w:val="FF0000"/>
        </w:rPr>
      </w:pPr>
      <w:r w:rsidRPr="0067089A">
        <w:rPr>
          <w:rFonts w:ascii="Arial" w:hAnsi="Arial" w:cs="Arial"/>
          <w:color w:val="FF0000"/>
        </w:rPr>
        <w:t>.</w:t>
      </w:r>
      <w:r w:rsidR="009D0BC3" w:rsidRPr="0067089A">
        <w:rPr>
          <w:rFonts w:ascii="Arial" w:hAnsi="Arial" w:cs="Arial"/>
          <w:color w:val="FF0000"/>
        </w:rPr>
        <w:t xml:space="preserve"> </w:t>
      </w:r>
    </w:p>
    <w:p w14:paraId="2D29C1F5" w14:textId="6FA712EF" w:rsidR="008D772F" w:rsidRPr="0067089A" w:rsidRDefault="008D772F" w:rsidP="00E01070">
      <w:pPr>
        <w:spacing w:line="480" w:lineRule="auto"/>
        <w:rPr>
          <w:rFonts w:ascii="Arial" w:hAnsi="Arial" w:cs="Arial"/>
          <w:color w:val="FF0000"/>
          <w:szCs w:val="21"/>
        </w:rPr>
      </w:pPr>
      <w:r w:rsidRPr="0067089A">
        <w:rPr>
          <w:rFonts w:ascii="Arial" w:hAnsi="Arial" w:cs="Arial"/>
          <w:b/>
          <w:bCs/>
          <w:color w:val="FF0000"/>
          <w:szCs w:val="21"/>
        </w:rPr>
        <w:lastRenderedPageBreak/>
        <w:t xml:space="preserve">Supple Fig </w:t>
      </w:r>
      <w:r w:rsidR="007723C8">
        <w:rPr>
          <w:rFonts w:ascii="Arial" w:hAnsi="Arial" w:cs="Arial"/>
          <w:b/>
          <w:bCs/>
          <w:color w:val="FF0000"/>
          <w:szCs w:val="21"/>
        </w:rPr>
        <w:t>8</w:t>
      </w:r>
      <w:r w:rsidRPr="0067089A">
        <w:rPr>
          <w:rFonts w:ascii="Arial" w:hAnsi="Arial" w:cs="Arial"/>
          <w:b/>
          <w:bCs/>
          <w:color w:val="FF0000"/>
          <w:szCs w:val="21"/>
        </w:rPr>
        <w:t>.</w:t>
      </w:r>
      <w:r w:rsidRPr="0067089A">
        <w:rPr>
          <w:rFonts w:ascii="Arial" w:hAnsi="Arial" w:cs="Arial"/>
          <w:color w:val="FF0000"/>
          <w:szCs w:val="21"/>
        </w:rPr>
        <w:t xml:space="preserve"> Il1b and Actb protein levels in the pancreas of WT mice and and pancreatic tumors of pancreas-specific Kras-</w:t>
      </w:r>
      <w:r w:rsidRPr="0067089A">
        <w:rPr>
          <w:rFonts w:ascii="Arial" w:eastAsia="Yu Mincho" w:hAnsi="Arial" w:cs="Arial"/>
          <w:color w:val="FF0000"/>
          <w:szCs w:val="21"/>
        </w:rPr>
        <w:t xml:space="preserve"> </w:t>
      </w:r>
      <w:r w:rsidRPr="0067089A">
        <w:rPr>
          <w:rFonts w:ascii="Arial" w:hAnsi="Arial" w:cs="Arial"/>
          <w:color w:val="FF0000"/>
          <w:szCs w:val="21"/>
        </w:rPr>
        <w:t>and Tp53-mutant (KPC) mice.</w:t>
      </w:r>
    </w:p>
    <w:p w14:paraId="0C4B6B35" w14:textId="77777777" w:rsidR="008D772F" w:rsidRPr="0067089A" w:rsidRDefault="008D772F" w:rsidP="00E01070">
      <w:pPr>
        <w:spacing w:line="480" w:lineRule="auto"/>
        <w:rPr>
          <w:rFonts w:ascii="Arial" w:hAnsi="Arial" w:cs="Arial"/>
          <w:b/>
          <w:bCs/>
          <w:color w:val="FF0000"/>
          <w:szCs w:val="21"/>
        </w:rPr>
      </w:pPr>
    </w:p>
    <w:p w14:paraId="029CE390" w14:textId="24EC1C88" w:rsidR="008D772F" w:rsidRPr="0067089A" w:rsidRDefault="008D772F" w:rsidP="00E01070">
      <w:pPr>
        <w:spacing w:line="480" w:lineRule="auto"/>
        <w:rPr>
          <w:rFonts w:ascii="Arial" w:hAnsi="Arial" w:cs="Arial"/>
          <w:color w:val="FF0000"/>
          <w:szCs w:val="21"/>
        </w:rPr>
      </w:pPr>
      <w:r w:rsidRPr="0067089A">
        <w:rPr>
          <w:rFonts w:ascii="Arial" w:hAnsi="Arial" w:cs="Arial"/>
          <w:b/>
          <w:bCs/>
          <w:color w:val="FF0000"/>
          <w:szCs w:val="21"/>
        </w:rPr>
        <w:t xml:space="preserve">Supple Fig </w:t>
      </w:r>
      <w:r w:rsidR="007723C8">
        <w:rPr>
          <w:rFonts w:ascii="Arial" w:hAnsi="Arial" w:cs="Arial"/>
          <w:b/>
          <w:bCs/>
          <w:color w:val="FF0000"/>
          <w:szCs w:val="21"/>
        </w:rPr>
        <w:t>9</w:t>
      </w:r>
      <w:r w:rsidRPr="0067089A">
        <w:rPr>
          <w:rFonts w:ascii="Arial" w:hAnsi="Arial" w:cs="Arial"/>
          <w:b/>
          <w:bCs/>
          <w:color w:val="FF0000"/>
          <w:szCs w:val="21"/>
        </w:rPr>
        <w:t>.</w:t>
      </w:r>
      <w:r w:rsidRPr="0067089A">
        <w:rPr>
          <w:rFonts w:ascii="Arial" w:hAnsi="Arial" w:cs="Arial"/>
          <w:color w:val="FF0000"/>
          <w:szCs w:val="21"/>
        </w:rPr>
        <w:t xml:space="preserve"> </w:t>
      </w:r>
      <w:r w:rsidRPr="0067089A">
        <w:rPr>
          <w:rFonts w:ascii="Arial" w:hAnsi="Arial" w:cs="Arial"/>
          <w:b/>
          <w:bCs/>
          <w:color w:val="FF0000"/>
          <w:szCs w:val="21"/>
        </w:rPr>
        <w:t xml:space="preserve">(A) </w:t>
      </w:r>
      <w:r w:rsidRPr="0067089A">
        <w:rPr>
          <w:rFonts w:ascii="Arial" w:hAnsi="Arial" w:cs="Arial"/>
          <w:color w:val="FF0000"/>
          <w:szCs w:val="21"/>
        </w:rPr>
        <w:t xml:space="preserve">Relative </w:t>
      </w:r>
      <w:r w:rsidRPr="0067089A">
        <w:rPr>
          <w:rFonts w:ascii="Arial" w:hAnsi="Arial" w:cs="Arial"/>
          <w:i/>
          <w:iCs/>
          <w:color w:val="FF0000"/>
          <w:szCs w:val="21"/>
        </w:rPr>
        <w:t>Il6</w:t>
      </w:r>
      <w:r w:rsidRPr="0067089A">
        <w:rPr>
          <w:rFonts w:ascii="Arial" w:hAnsi="Arial" w:cs="Arial"/>
          <w:color w:val="FF0000"/>
          <w:szCs w:val="21"/>
        </w:rPr>
        <w:t xml:space="preserve"> mRNA levels </w:t>
      </w:r>
      <w:r w:rsidRPr="0067089A">
        <w:rPr>
          <w:rFonts w:ascii="Arial" w:hAnsi="Arial" w:cs="Arial"/>
          <w:b/>
          <w:bCs/>
          <w:color w:val="FF0000"/>
          <w:szCs w:val="21"/>
        </w:rPr>
        <w:t>i</w:t>
      </w:r>
      <w:r w:rsidRPr="0067089A">
        <w:rPr>
          <w:rFonts w:ascii="Arial" w:hAnsi="Arial" w:cs="Arial"/>
          <w:color w:val="FF0000"/>
          <w:szCs w:val="21"/>
        </w:rPr>
        <w:t>n the pancreas of WT mice and pancreatic tumors of pancreas-specific Kras-</w:t>
      </w:r>
      <w:r w:rsidRPr="0067089A">
        <w:rPr>
          <w:rFonts w:ascii="Arial" w:eastAsia="Yu Mincho" w:hAnsi="Arial" w:cs="Arial"/>
          <w:color w:val="FF0000"/>
          <w:szCs w:val="21"/>
        </w:rPr>
        <w:t xml:space="preserve"> </w:t>
      </w:r>
      <w:r w:rsidRPr="0067089A">
        <w:rPr>
          <w:rFonts w:ascii="Arial" w:hAnsi="Arial" w:cs="Arial"/>
          <w:color w:val="FF0000"/>
          <w:szCs w:val="21"/>
        </w:rPr>
        <w:t xml:space="preserve">and Tp53-mutant (KPC) mice (N=3 per group). </w:t>
      </w:r>
      <w:r w:rsidRPr="0067089A">
        <w:rPr>
          <w:rFonts w:ascii="Arial" w:hAnsi="Arial" w:cs="Arial"/>
          <w:b/>
          <w:bCs/>
          <w:color w:val="FF0000"/>
          <w:szCs w:val="21"/>
        </w:rPr>
        <w:t xml:space="preserve">(B) </w:t>
      </w:r>
      <w:r w:rsidRPr="0067089A">
        <w:rPr>
          <w:rFonts w:ascii="Arial" w:hAnsi="Arial" w:cs="Arial"/>
          <w:color w:val="FF0000"/>
          <w:szCs w:val="21"/>
        </w:rPr>
        <w:t xml:space="preserve">Relative mRNA levels of </w:t>
      </w:r>
      <w:r w:rsidRPr="0067089A">
        <w:rPr>
          <w:rFonts w:ascii="Arial" w:hAnsi="Arial" w:cs="Arial"/>
          <w:i/>
          <w:iCs/>
          <w:color w:val="FF0000"/>
          <w:szCs w:val="21"/>
        </w:rPr>
        <w:t>IL6</w:t>
      </w:r>
      <w:r w:rsidRPr="0067089A">
        <w:rPr>
          <w:rFonts w:ascii="Arial" w:hAnsi="Arial" w:cs="Arial"/>
          <w:color w:val="FF0000"/>
          <w:szCs w:val="21"/>
        </w:rPr>
        <w:t xml:space="preserve"> in </w:t>
      </w:r>
      <w:r w:rsidRPr="0067089A">
        <w:rPr>
          <w:rFonts w:ascii="Arial" w:eastAsia="Yu Mincho" w:hAnsi="Arial" w:cs="Arial"/>
          <w:color w:val="FF0000"/>
          <w:szCs w:val="21"/>
        </w:rPr>
        <w:t xml:space="preserve">the </w:t>
      </w:r>
      <w:r w:rsidRPr="0067089A">
        <w:rPr>
          <w:rFonts w:ascii="Arial" w:hAnsi="Arial" w:cs="Arial"/>
          <w:color w:val="FF0000"/>
          <w:szCs w:val="21"/>
        </w:rPr>
        <w:t xml:space="preserve">human pancreatic cancer cell lines Panc-1 </w:t>
      </w:r>
      <w:r w:rsidRPr="0067089A">
        <w:rPr>
          <w:rFonts w:ascii="Arial" w:hAnsi="Arial" w:cs="Arial"/>
          <w:b/>
          <w:bCs/>
          <w:color w:val="FF0000"/>
          <w:szCs w:val="21"/>
        </w:rPr>
        <w:t xml:space="preserve">(left) </w:t>
      </w:r>
      <w:r w:rsidRPr="0067089A">
        <w:rPr>
          <w:rFonts w:ascii="Arial" w:hAnsi="Arial" w:cs="Arial"/>
          <w:color w:val="FF0000"/>
          <w:szCs w:val="21"/>
        </w:rPr>
        <w:t xml:space="preserve">and MiaPaCa2 </w:t>
      </w:r>
      <w:r w:rsidRPr="0067089A">
        <w:rPr>
          <w:rFonts w:ascii="Arial" w:hAnsi="Arial" w:cs="Arial"/>
          <w:b/>
          <w:bCs/>
          <w:color w:val="FF0000"/>
          <w:szCs w:val="21"/>
        </w:rPr>
        <w:t>(right)</w:t>
      </w:r>
      <w:r w:rsidRPr="0067089A">
        <w:rPr>
          <w:rFonts w:ascii="Arial" w:hAnsi="Arial" w:cs="Arial"/>
          <w:color w:val="FF0000"/>
          <w:szCs w:val="21"/>
        </w:rPr>
        <w:t xml:space="preserve"> with or without IL-1β stimulation (N=3 per group). </w:t>
      </w:r>
      <w:r w:rsidRPr="0067089A">
        <w:rPr>
          <w:rFonts w:ascii="Arial" w:hAnsi="Arial" w:cs="Arial"/>
          <w:b/>
          <w:bCs/>
          <w:color w:val="FF0000"/>
          <w:szCs w:val="21"/>
        </w:rPr>
        <w:t xml:space="preserve">(C) </w:t>
      </w:r>
      <w:r w:rsidRPr="0067089A">
        <w:rPr>
          <w:rFonts w:ascii="Arial" w:hAnsi="Arial" w:cs="Arial"/>
          <w:color w:val="FF0000"/>
          <w:szCs w:val="21"/>
        </w:rPr>
        <w:t>Regnase-1 and ACTB protein levels in Panc-1 cells with or without IL-1β stimulation and/or anti-IL-6 antibody</w:t>
      </w:r>
      <w:r w:rsidR="00AA6BC5">
        <w:rPr>
          <w:rFonts w:ascii="Arial" w:hAnsi="Arial" w:cs="Arial"/>
          <w:color w:val="FF0000"/>
          <w:szCs w:val="21"/>
        </w:rPr>
        <w:t xml:space="preserve"> </w:t>
      </w:r>
      <w:r w:rsidR="00AA6BC5" w:rsidRPr="0067089A">
        <w:rPr>
          <w:rFonts w:ascii="Arial" w:hAnsi="Arial" w:cs="Arial"/>
          <w:color w:val="FF0000"/>
          <w:szCs w:val="21"/>
        </w:rPr>
        <w:t>(Tocilizumab, Selleck, 5 μg/ml)</w:t>
      </w:r>
      <w:r w:rsidRPr="0067089A">
        <w:rPr>
          <w:rFonts w:ascii="Arial" w:hAnsi="Arial" w:cs="Arial"/>
          <w:color w:val="FF0000"/>
          <w:szCs w:val="21"/>
        </w:rPr>
        <w:t xml:space="preserve">. </w:t>
      </w:r>
      <w:r w:rsidRPr="0067089A">
        <w:rPr>
          <w:rFonts w:ascii="Arial" w:hAnsi="Arial" w:cs="Arial"/>
          <w:b/>
          <w:bCs/>
          <w:color w:val="FF0000"/>
          <w:szCs w:val="21"/>
        </w:rPr>
        <w:t xml:space="preserve">(D) </w:t>
      </w:r>
      <w:r w:rsidRPr="0067089A">
        <w:rPr>
          <w:rFonts w:ascii="Arial" w:hAnsi="Arial" w:cs="Arial"/>
          <w:color w:val="FF0000"/>
          <w:szCs w:val="21"/>
        </w:rPr>
        <w:t xml:space="preserve">Relative mRNA levels of </w:t>
      </w:r>
      <w:r w:rsidRPr="0067089A">
        <w:rPr>
          <w:rFonts w:ascii="Arial" w:hAnsi="Arial" w:cs="Arial"/>
          <w:i/>
          <w:iCs/>
          <w:color w:val="FF0000"/>
          <w:szCs w:val="21"/>
        </w:rPr>
        <w:t>CXCL1</w:t>
      </w:r>
      <w:r w:rsidRPr="0067089A">
        <w:rPr>
          <w:rFonts w:ascii="Arial" w:hAnsi="Arial" w:cs="Arial"/>
          <w:color w:val="FF0000"/>
          <w:szCs w:val="21"/>
        </w:rPr>
        <w:t xml:space="preserve"> and </w:t>
      </w:r>
      <w:r w:rsidRPr="0067089A">
        <w:rPr>
          <w:rFonts w:ascii="Arial" w:hAnsi="Arial" w:cs="Arial"/>
          <w:i/>
          <w:iCs/>
          <w:color w:val="FF0000"/>
          <w:szCs w:val="21"/>
        </w:rPr>
        <w:t>CXCL2</w:t>
      </w:r>
      <w:r w:rsidRPr="0067089A">
        <w:rPr>
          <w:rFonts w:ascii="Arial" w:hAnsi="Arial" w:cs="Arial"/>
          <w:color w:val="FF0000"/>
          <w:szCs w:val="21"/>
        </w:rPr>
        <w:t xml:space="preserve"> in Panc-1 cells with or without IL-1β stimulation and/or anti-IL-6 antibody</w:t>
      </w:r>
      <w:r w:rsidR="002B4A8F" w:rsidRPr="0067089A">
        <w:rPr>
          <w:rFonts w:ascii="Arial" w:hAnsi="Arial" w:cs="Arial"/>
          <w:color w:val="FF0000"/>
          <w:szCs w:val="21"/>
        </w:rPr>
        <w:t xml:space="preserve"> (Tocilizumab, Selleck, 5 μg/ml).</w:t>
      </w:r>
      <w:r w:rsidRPr="0067089A">
        <w:rPr>
          <w:rFonts w:ascii="Arial" w:hAnsi="Arial" w:cs="Arial"/>
          <w:color w:val="FF0000"/>
          <w:szCs w:val="21"/>
        </w:rPr>
        <w:t xml:space="preserve">  (N=3 per group). </w:t>
      </w:r>
      <w:r w:rsidR="0067089A" w:rsidRPr="0067089A">
        <w:rPr>
          <w:rFonts w:ascii="Arial" w:hAnsi="Arial" w:cs="Arial"/>
          <w:color w:val="FF0000"/>
          <w:szCs w:val="21"/>
        </w:rPr>
        <w:t xml:space="preserve">Student's t test was used to evaluate differences between 2 groups. One-way ANOVA with Tukey's post hoc test was used to compare differences among 4 groups. *P &lt;0.05. </w:t>
      </w:r>
    </w:p>
    <w:p w14:paraId="6CD7AAFE" w14:textId="77777777" w:rsidR="0067089A" w:rsidRDefault="0067089A" w:rsidP="00E01070">
      <w:pPr>
        <w:spacing w:line="480" w:lineRule="auto"/>
        <w:rPr>
          <w:rFonts w:ascii="Arial" w:hAnsi="Arial" w:cs="Arial"/>
          <w:color w:val="FF0000"/>
          <w:szCs w:val="21"/>
        </w:rPr>
      </w:pPr>
    </w:p>
    <w:p w14:paraId="54F7A19F" w14:textId="1F584357" w:rsidR="004B0303" w:rsidRPr="004B0303" w:rsidRDefault="004B0303" w:rsidP="00E01070">
      <w:pPr>
        <w:spacing w:line="480" w:lineRule="auto"/>
        <w:rPr>
          <w:rFonts w:ascii="Arial" w:hAnsi="Arial" w:cs="Arial"/>
          <w:color w:val="FF0000"/>
          <w:szCs w:val="21"/>
        </w:rPr>
      </w:pPr>
      <w:r w:rsidRPr="0067089A">
        <w:rPr>
          <w:rFonts w:ascii="Arial" w:hAnsi="Arial" w:cs="Arial"/>
          <w:b/>
          <w:bCs/>
          <w:color w:val="FF0000"/>
          <w:szCs w:val="21"/>
        </w:rPr>
        <w:t xml:space="preserve">Supple Fig </w:t>
      </w:r>
      <w:r w:rsidR="007723C8">
        <w:rPr>
          <w:rFonts w:ascii="Arial" w:hAnsi="Arial" w:cs="Arial"/>
          <w:b/>
          <w:bCs/>
          <w:color w:val="FF0000"/>
          <w:szCs w:val="21"/>
        </w:rPr>
        <w:t>10</w:t>
      </w:r>
      <w:r w:rsidRPr="0067089A">
        <w:rPr>
          <w:rFonts w:ascii="Arial" w:hAnsi="Arial" w:cs="Arial"/>
          <w:b/>
          <w:bCs/>
          <w:color w:val="FF0000"/>
          <w:szCs w:val="21"/>
        </w:rPr>
        <w:t>.</w:t>
      </w:r>
      <w:r>
        <w:rPr>
          <w:rFonts w:ascii="Arial" w:hAnsi="Arial" w:cs="Arial"/>
          <w:b/>
          <w:bCs/>
          <w:color w:val="FF0000"/>
          <w:szCs w:val="21"/>
        </w:rPr>
        <w:t xml:space="preserve"> </w:t>
      </w:r>
      <w:r w:rsidRPr="004B0303">
        <w:rPr>
          <w:rFonts w:ascii="Arial" w:hAnsi="Arial" w:cs="Arial"/>
          <w:color w:val="FF0000"/>
          <w:szCs w:val="21"/>
        </w:rPr>
        <w:t xml:space="preserve">Correlation between mRNA levels of REGNASE-1 (ZC3H12A) and the clinical outcomes of pancreatic ductal adenocarcinoma (PDAC) patients was evaluated using publicly available </w:t>
      </w:r>
      <w:r>
        <w:rPr>
          <w:rFonts w:ascii="Arial" w:hAnsi="Arial" w:cs="Arial"/>
          <w:color w:val="FF0000"/>
          <w:szCs w:val="21"/>
        </w:rPr>
        <w:t xml:space="preserve">expression </w:t>
      </w:r>
      <w:r w:rsidRPr="004B0303">
        <w:rPr>
          <w:rFonts w:ascii="Arial" w:hAnsi="Arial" w:cs="Arial"/>
          <w:color w:val="FF0000"/>
          <w:szCs w:val="21"/>
        </w:rPr>
        <w:t xml:space="preserve">datasets in </w:t>
      </w:r>
      <w:r>
        <w:rPr>
          <w:rFonts w:ascii="Arial" w:hAnsi="Arial" w:cs="Arial"/>
          <w:color w:val="FF0000"/>
          <w:szCs w:val="21"/>
        </w:rPr>
        <w:t xml:space="preserve">the </w:t>
      </w:r>
      <w:r w:rsidRPr="004B0303">
        <w:rPr>
          <w:rFonts w:ascii="Arial" w:hAnsi="Arial" w:cs="Arial"/>
          <w:color w:val="FF0000"/>
          <w:szCs w:val="21"/>
        </w:rPr>
        <w:t xml:space="preserve">Kaplan–Meier </w:t>
      </w:r>
      <w:r>
        <w:rPr>
          <w:rFonts w:ascii="Arial" w:hAnsi="Arial" w:cs="Arial"/>
          <w:color w:val="FF0000"/>
          <w:szCs w:val="21"/>
        </w:rPr>
        <w:t>P</w:t>
      </w:r>
      <w:r w:rsidRPr="004B0303">
        <w:rPr>
          <w:rFonts w:ascii="Arial" w:hAnsi="Arial" w:cs="Arial"/>
          <w:color w:val="FF0000"/>
          <w:szCs w:val="21"/>
        </w:rPr>
        <w:t xml:space="preserve">lotter database. Kaplan–Meier curves of disease free survival of 150 PDAC patients stratified based on the median </w:t>
      </w:r>
      <w:r w:rsidRPr="004B0303">
        <w:rPr>
          <w:rFonts w:ascii="Arial" w:hAnsi="Arial" w:cs="Arial"/>
          <w:color w:val="FF0000"/>
          <w:szCs w:val="21"/>
        </w:rPr>
        <w:lastRenderedPageBreak/>
        <w:t xml:space="preserve">value of mRNA levels of REGNASE-1. </w:t>
      </w:r>
    </w:p>
    <w:p w14:paraId="01259B19" w14:textId="77777777" w:rsidR="004B0303" w:rsidRPr="0067089A" w:rsidRDefault="004B0303" w:rsidP="00E01070">
      <w:pPr>
        <w:spacing w:line="480" w:lineRule="auto"/>
        <w:rPr>
          <w:rFonts w:ascii="Arial" w:hAnsi="Arial" w:cs="Arial"/>
          <w:color w:val="FF0000"/>
          <w:szCs w:val="21"/>
        </w:rPr>
      </w:pPr>
    </w:p>
    <w:p w14:paraId="13A50B27" w14:textId="77777777" w:rsidR="008D772F" w:rsidRPr="0067089A" w:rsidRDefault="008D772F">
      <w:pPr>
        <w:rPr>
          <w:rFonts w:ascii="Arial" w:hAnsi="Arial" w:cs="Arial"/>
          <w:b/>
          <w:bCs/>
          <w:color w:val="FF0000"/>
          <w:szCs w:val="21"/>
        </w:rPr>
      </w:pPr>
    </w:p>
    <w:p w14:paraId="22D9A8E0" w14:textId="77777777" w:rsidR="008D772F" w:rsidRPr="0067089A" w:rsidRDefault="008D772F">
      <w:pPr>
        <w:rPr>
          <w:color w:val="FF0000"/>
        </w:rPr>
      </w:pPr>
    </w:p>
    <w:sectPr w:rsidR="008D772F" w:rsidRPr="0067089A" w:rsidSect="00D74042">
      <w:headerReference w:type="default" r:id="rId8"/>
      <w:footerReference w:type="default" r:id="rId9"/>
      <w:pgSz w:w="11906" w:h="16838"/>
      <w:pgMar w:top="1985" w:right="1701" w:bottom="1701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C92A4D" w14:textId="77777777" w:rsidR="008A66A8" w:rsidRDefault="008A66A8">
      <w:r>
        <w:separator/>
      </w:r>
    </w:p>
  </w:endnote>
  <w:endnote w:type="continuationSeparator" w:id="0">
    <w:p w14:paraId="03DF7A14" w14:textId="77777777" w:rsidR="008A66A8" w:rsidRDefault="008A6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6810333"/>
      <w:docPartObj>
        <w:docPartGallery w:val="Page Numbers (Bottom of Page)"/>
        <w:docPartUnique/>
      </w:docPartObj>
    </w:sdtPr>
    <w:sdtEndPr/>
    <w:sdtContent>
      <w:p w14:paraId="6339F4F1" w14:textId="77777777" w:rsidR="00303B50" w:rsidRPr="00C60116" w:rsidRDefault="008A66A8">
        <w:pPr>
          <w:pStyle w:val="Footer"/>
          <w:jc w:val="right"/>
        </w:pPr>
        <w:r w:rsidRPr="00C60116">
          <w:fldChar w:fldCharType="begin"/>
        </w:r>
        <w:r w:rsidRPr="00C60116">
          <w:instrText>PAGE   \* MERGEFORMAT</w:instrText>
        </w:r>
        <w:r w:rsidRPr="00C60116">
          <w:fldChar w:fldCharType="separate"/>
        </w:r>
        <w:r w:rsidR="00D74042">
          <w:rPr>
            <w:noProof/>
          </w:rPr>
          <w:t>1</w:t>
        </w:r>
        <w:r w:rsidRPr="00C60116">
          <w:fldChar w:fldCharType="end"/>
        </w:r>
      </w:p>
    </w:sdtContent>
  </w:sdt>
  <w:p w14:paraId="4176B2EB" w14:textId="77777777" w:rsidR="00303B50" w:rsidRPr="00C60116" w:rsidRDefault="00303B50">
    <w:pPr>
      <w:pStyle w:val="Footer"/>
    </w:pPr>
  </w:p>
  <w:p w14:paraId="01BAB465" w14:textId="77777777" w:rsidR="00303B50" w:rsidRDefault="00303B50"/>
  <w:p w14:paraId="72A7440E" w14:textId="77777777" w:rsidR="00303B50" w:rsidRDefault="00303B5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6BA22D" w14:textId="77777777" w:rsidR="008A66A8" w:rsidRDefault="008A66A8">
      <w:r>
        <w:separator/>
      </w:r>
    </w:p>
  </w:footnote>
  <w:footnote w:type="continuationSeparator" w:id="0">
    <w:p w14:paraId="7A19469A" w14:textId="77777777" w:rsidR="008A66A8" w:rsidRDefault="008A66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127580"/>
      <w:docPartObj>
        <w:docPartGallery w:val="Page Numbers (Top of Page)"/>
        <w:docPartUnique/>
      </w:docPartObj>
    </w:sdtPr>
    <w:sdtEndPr/>
    <w:sdtContent>
      <w:p w14:paraId="11027813" w14:textId="77777777" w:rsidR="00303B50" w:rsidRPr="00C60116" w:rsidRDefault="008A66A8">
        <w:pPr>
          <w:pStyle w:val="Header"/>
          <w:jc w:val="right"/>
        </w:pPr>
        <w:r w:rsidRPr="00C60116">
          <w:fldChar w:fldCharType="begin"/>
        </w:r>
        <w:r w:rsidRPr="00C60116">
          <w:instrText>PAGE   \* MERGEFORMAT</w:instrText>
        </w:r>
        <w:r w:rsidRPr="00C60116">
          <w:fldChar w:fldCharType="separate"/>
        </w:r>
        <w:r w:rsidR="00D74042">
          <w:rPr>
            <w:noProof/>
          </w:rPr>
          <w:t>1</w:t>
        </w:r>
        <w:r w:rsidRPr="00C60116">
          <w:fldChar w:fldCharType="end"/>
        </w:r>
      </w:p>
    </w:sdtContent>
  </w:sdt>
  <w:p w14:paraId="26C52B80" w14:textId="77777777" w:rsidR="00303B50" w:rsidRPr="00C60116" w:rsidRDefault="00303B50">
    <w:pPr>
      <w:pStyle w:val="Header"/>
    </w:pPr>
  </w:p>
  <w:p w14:paraId="7522829F" w14:textId="77777777" w:rsidR="00303B50" w:rsidRDefault="00303B50"/>
  <w:p w14:paraId="47FA05A6" w14:textId="77777777" w:rsidR="00303B50" w:rsidRDefault="00303B5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070"/>
    <w:rsid w:val="000034B7"/>
    <w:rsid w:val="000421DF"/>
    <w:rsid w:val="0006321A"/>
    <w:rsid w:val="000A1263"/>
    <w:rsid w:val="000B073B"/>
    <w:rsid w:val="000C6304"/>
    <w:rsid w:val="000F2DD1"/>
    <w:rsid w:val="00116A57"/>
    <w:rsid w:val="00121769"/>
    <w:rsid w:val="00122030"/>
    <w:rsid w:val="001339DE"/>
    <w:rsid w:val="001369E3"/>
    <w:rsid w:val="001425B8"/>
    <w:rsid w:val="00150B38"/>
    <w:rsid w:val="00150F57"/>
    <w:rsid w:val="00161DFE"/>
    <w:rsid w:val="0016765D"/>
    <w:rsid w:val="001735A4"/>
    <w:rsid w:val="00177C94"/>
    <w:rsid w:val="001921F0"/>
    <w:rsid w:val="001923CF"/>
    <w:rsid w:val="001A5480"/>
    <w:rsid w:val="001B36B3"/>
    <w:rsid w:val="001C18E8"/>
    <w:rsid w:val="001C1CE8"/>
    <w:rsid w:val="001C5891"/>
    <w:rsid w:val="001E4E4E"/>
    <w:rsid w:val="001F5857"/>
    <w:rsid w:val="001F6BC9"/>
    <w:rsid w:val="00236567"/>
    <w:rsid w:val="00260343"/>
    <w:rsid w:val="002639AB"/>
    <w:rsid w:val="00291274"/>
    <w:rsid w:val="002B4A8F"/>
    <w:rsid w:val="002D0C6A"/>
    <w:rsid w:val="002D76C0"/>
    <w:rsid w:val="00303B50"/>
    <w:rsid w:val="0031063D"/>
    <w:rsid w:val="0031711E"/>
    <w:rsid w:val="0032186B"/>
    <w:rsid w:val="003223AF"/>
    <w:rsid w:val="00333C42"/>
    <w:rsid w:val="0036410A"/>
    <w:rsid w:val="00365DA5"/>
    <w:rsid w:val="0037422A"/>
    <w:rsid w:val="00393A87"/>
    <w:rsid w:val="003958F6"/>
    <w:rsid w:val="0039747B"/>
    <w:rsid w:val="003C53C8"/>
    <w:rsid w:val="003D005E"/>
    <w:rsid w:val="003D1968"/>
    <w:rsid w:val="003D6C6D"/>
    <w:rsid w:val="003E6780"/>
    <w:rsid w:val="003F27FC"/>
    <w:rsid w:val="00401210"/>
    <w:rsid w:val="0041727D"/>
    <w:rsid w:val="004179AE"/>
    <w:rsid w:val="004335CB"/>
    <w:rsid w:val="00436CAD"/>
    <w:rsid w:val="00437DE1"/>
    <w:rsid w:val="00451E59"/>
    <w:rsid w:val="00457BD5"/>
    <w:rsid w:val="00460C39"/>
    <w:rsid w:val="00462A8B"/>
    <w:rsid w:val="00480955"/>
    <w:rsid w:val="004A59AD"/>
    <w:rsid w:val="004B0303"/>
    <w:rsid w:val="004B1218"/>
    <w:rsid w:val="004B2DD2"/>
    <w:rsid w:val="004B43C5"/>
    <w:rsid w:val="004F4EED"/>
    <w:rsid w:val="004F6B51"/>
    <w:rsid w:val="00503CF7"/>
    <w:rsid w:val="0050773E"/>
    <w:rsid w:val="00520DBF"/>
    <w:rsid w:val="00532DBE"/>
    <w:rsid w:val="0054535A"/>
    <w:rsid w:val="00577243"/>
    <w:rsid w:val="00577E08"/>
    <w:rsid w:val="00597C36"/>
    <w:rsid w:val="005D599F"/>
    <w:rsid w:val="005E0DAC"/>
    <w:rsid w:val="005E1E41"/>
    <w:rsid w:val="005E6679"/>
    <w:rsid w:val="005E6CD2"/>
    <w:rsid w:val="005F7823"/>
    <w:rsid w:val="0062640C"/>
    <w:rsid w:val="00626476"/>
    <w:rsid w:val="00636C44"/>
    <w:rsid w:val="006572C3"/>
    <w:rsid w:val="00666D12"/>
    <w:rsid w:val="0067089A"/>
    <w:rsid w:val="006835B0"/>
    <w:rsid w:val="00684C2D"/>
    <w:rsid w:val="0068683E"/>
    <w:rsid w:val="00696A6F"/>
    <w:rsid w:val="006A314C"/>
    <w:rsid w:val="006A479F"/>
    <w:rsid w:val="006B0725"/>
    <w:rsid w:val="006E74CD"/>
    <w:rsid w:val="006F1D89"/>
    <w:rsid w:val="006F260A"/>
    <w:rsid w:val="00702DC8"/>
    <w:rsid w:val="007040E2"/>
    <w:rsid w:val="0076246B"/>
    <w:rsid w:val="00765B08"/>
    <w:rsid w:val="007669D3"/>
    <w:rsid w:val="007723C8"/>
    <w:rsid w:val="00790263"/>
    <w:rsid w:val="007A04A1"/>
    <w:rsid w:val="007E6416"/>
    <w:rsid w:val="007F4273"/>
    <w:rsid w:val="008029FC"/>
    <w:rsid w:val="008105ED"/>
    <w:rsid w:val="0081428C"/>
    <w:rsid w:val="00854055"/>
    <w:rsid w:val="008618FF"/>
    <w:rsid w:val="008778A4"/>
    <w:rsid w:val="00883A2F"/>
    <w:rsid w:val="008A66A8"/>
    <w:rsid w:val="008B1E85"/>
    <w:rsid w:val="008B556F"/>
    <w:rsid w:val="008B6097"/>
    <w:rsid w:val="008D6FA3"/>
    <w:rsid w:val="008D772F"/>
    <w:rsid w:val="008E47F4"/>
    <w:rsid w:val="008F1FA2"/>
    <w:rsid w:val="008F78DA"/>
    <w:rsid w:val="00902DF5"/>
    <w:rsid w:val="00905F70"/>
    <w:rsid w:val="009224C4"/>
    <w:rsid w:val="00940572"/>
    <w:rsid w:val="00960210"/>
    <w:rsid w:val="00961EFC"/>
    <w:rsid w:val="00966950"/>
    <w:rsid w:val="00975D52"/>
    <w:rsid w:val="00983E36"/>
    <w:rsid w:val="0099343E"/>
    <w:rsid w:val="009A5CDF"/>
    <w:rsid w:val="009D0BC3"/>
    <w:rsid w:val="009D74F9"/>
    <w:rsid w:val="009E6D10"/>
    <w:rsid w:val="009E7073"/>
    <w:rsid w:val="009F24B7"/>
    <w:rsid w:val="00A0416A"/>
    <w:rsid w:val="00A05659"/>
    <w:rsid w:val="00A13E2E"/>
    <w:rsid w:val="00A32AB3"/>
    <w:rsid w:val="00A45768"/>
    <w:rsid w:val="00A52D6D"/>
    <w:rsid w:val="00A55304"/>
    <w:rsid w:val="00A62AF5"/>
    <w:rsid w:val="00A6433F"/>
    <w:rsid w:val="00A8792C"/>
    <w:rsid w:val="00AA17BB"/>
    <w:rsid w:val="00AA306B"/>
    <w:rsid w:val="00AA6BC5"/>
    <w:rsid w:val="00AB27AD"/>
    <w:rsid w:val="00AD60E5"/>
    <w:rsid w:val="00AD7D02"/>
    <w:rsid w:val="00AF005C"/>
    <w:rsid w:val="00B0120B"/>
    <w:rsid w:val="00B0356F"/>
    <w:rsid w:val="00B2675B"/>
    <w:rsid w:val="00B30A56"/>
    <w:rsid w:val="00B3783F"/>
    <w:rsid w:val="00B4760C"/>
    <w:rsid w:val="00B7528C"/>
    <w:rsid w:val="00B8416F"/>
    <w:rsid w:val="00BF3E84"/>
    <w:rsid w:val="00C0487F"/>
    <w:rsid w:val="00C0736D"/>
    <w:rsid w:val="00C16FA6"/>
    <w:rsid w:val="00C7123C"/>
    <w:rsid w:val="00C7313D"/>
    <w:rsid w:val="00C86F1B"/>
    <w:rsid w:val="00CA1BBF"/>
    <w:rsid w:val="00CA74E8"/>
    <w:rsid w:val="00CD4A5F"/>
    <w:rsid w:val="00CE74C1"/>
    <w:rsid w:val="00CF297C"/>
    <w:rsid w:val="00D12A61"/>
    <w:rsid w:val="00D74042"/>
    <w:rsid w:val="00D9008C"/>
    <w:rsid w:val="00DD424E"/>
    <w:rsid w:val="00DE7A08"/>
    <w:rsid w:val="00DF2E69"/>
    <w:rsid w:val="00E01070"/>
    <w:rsid w:val="00E07354"/>
    <w:rsid w:val="00E12CC4"/>
    <w:rsid w:val="00E163EC"/>
    <w:rsid w:val="00E20F7B"/>
    <w:rsid w:val="00E576A7"/>
    <w:rsid w:val="00E62EDE"/>
    <w:rsid w:val="00E75D48"/>
    <w:rsid w:val="00E816DD"/>
    <w:rsid w:val="00EB6BA8"/>
    <w:rsid w:val="00EC3D5A"/>
    <w:rsid w:val="00EE42F9"/>
    <w:rsid w:val="00F116C9"/>
    <w:rsid w:val="00F53A32"/>
    <w:rsid w:val="00F645C4"/>
    <w:rsid w:val="00F87870"/>
    <w:rsid w:val="00F977C3"/>
    <w:rsid w:val="00FB0431"/>
    <w:rsid w:val="00FB049D"/>
    <w:rsid w:val="00FB5B4E"/>
    <w:rsid w:val="00FC0DF1"/>
    <w:rsid w:val="00FE1557"/>
    <w:rsid w:val="00FE755E"/>
    <w:rsid w:val="00FF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8857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070"/>
    <w:pPr>
      <w:widowControl w:val="0"/>
      <w:jc w:val="both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07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01070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E0107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01070"/>
    <w:rPr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E010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070"/>
    <w:pPr>
      <w:widowControl w:val="0"/>
      <w:jc w:val="both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07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01070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E0107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01070"/>
    <w:rPr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E01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86BD8-AB62-411F-8C99-B1C1D2C57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小玉　尚宏</dc:creator>
  <cp:lastModifiedBy>E748546</cp:lastModifiedBy>
  <cp:revision>2</cp:revision>
  <dcterms:created xsi:type="dcterms:W3CDTF">2023-09-19T01:19:00Z</dcterms:created>
  <dcterms:modified xsi:type="dcterms:W3CDTF">2023-09-19T01:19:00Z</dcterms:modified>
</cp:coreProperties>
</file>