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C9" w:rsidRPr="0001456E" w:rsidRDefault="001D24C9" w:rsidP="001D24C9">
      <w:pPr>
        <w:spacing w:line="360" w:lineRule="auto"/>
        <w:rPr>
          <w:b/>
          <w:sz w:val="24"/>
          <w:szCs w:val="24"/>
        </w:rPr>
      </w:pPr>
      <w:r w:rsidRPr="0001456E">
        <w:rPr>
          <w:b/>
          <w:sz w:val="24"/>
          <w:szCs w:val="24"/>
        </w:rPr>
        <w:t>Supplemental Materials and Methods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b/>
          <w:szCs w:val="21"/>
        </w:rPr>
      </w:pPr>
      <w:r w:rsidRPr="0001456E">
        <w:rPr>
          <w:rFonts w:cs="Calibri"/>
          <w:b/>
          <w:szCs w:val="21"/>
        </w:rPr>
        <w:t>Cell viability assay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szCs w:val="21"/>
        </w:rPr>
      </w:pPr>
      <w:r w:rsidRPr="0001456E">
        <w:rPr>
          <w:rFonts w:cs="Calibri"/>
          <w:szCs w:val="21"/>
        </w:rPr>
        <w:t xml:space="preserve">The cell proliferation assay was performed using Cell Counting Kit-8 (C0038, </w:t>
      </w:r>
      <w:proofErr w:type="spellStart"/>
      <w:r w:rsidRPr="0001456E">
        <w:rPr>
          <w:rFonts w:cs="Calibri"/>
          <w:szCs w:val="21"/>
        </w:rPr>
        <w:t>Beyotime</w:t>
      </w:r>
      <w:proofErr w:type="spellEnd"/>
      <w:r w:rsidRPr="0001456E">
        <w:rPr>
          <w:rFonts w:cs="Calibri"/>
          <w:szCs w:val="21"/>
        </w:rPr>
        <w:t>). Cells were cultured in a 96-well plate for 0, 12, 24, and 48 h, respectively, and then the assay solution was added and incubated for 2 h at 37</w:t>
      </w:r>
      <w:r w:rsidRPr="0001456E">
        <w:rPr>
          <w:rFonts w:ascii="SimSun" w:hAnsi="SimSun" w:cs="SimSun" w:hint="eastAsia"/>
          <w:szCs w:val="21"/>
        </w:rPr>
        <w:t>℃</w:t>
      </w:r>
      <w:r w:rsidRPr="0001456E">
        <w:rPr>
          <w:rFonts w:cs="Calibri"/>
          <w:szCs w:val="21"/>
        </w:rPr>
        <w:t xml:space="preserve"> in the dark. A microplate reader (Beckman, Brea, CA, USA) was used to measure the results at 490 nm.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b/>
          <w:szCs w:val="21"/>
        </w:rPr>
      </w:pPr>
      <w:proofErr w:type="spellStart"/>
      <w:r w:rsidRPr="0001456E">
        <w:rPr>
          <w:rFonts w:cs="Calibri"/>
          <w:b/>
          <w:szCs w:val="21"/>
        </w:rPr>
        <w:t>Clonogenic</w:t>
      </w:r>
      <w:proofErr w:type="spellEnd"/>
      <w:r w:rsidRPr="0001456E">
        <w:rPr>
          <w:rFonts w:cs="Calibri"/>
          <w:b/>
          <w:szCs w:val="21"/>
        </w:rPr>
        <w:t xml:space="preserve"> survival assay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szCs w:val="21"/>
        </w:rPr>
      </w:pPr>
      <w:r w:rsidRPr="0001456E">
        <w:rPr>
          <w:rFonts w:cs="Calibri"/>
          <w:szCs w:val="21"/>
        </w:rPr>
        <w:t>After suspension culture of CNE1, CNE1-LMP1, HNE2, and HNE2-LMP1 cells in ultra-low-attachment 6-well plates (3471, Corning), the cells were incubated in 24-well plates until cell clones were formed. The cells were then stained with 0.5% crystal violet and counted.</w:t>
      </w:r>
    </w:p>
    <w:p w:rsidR="001D24C9" w:rsidRPr="0001456E" w:rsidRDefault="001D24C9" w:rsidP="001D24C9">
      <w:pPr>
        <w:spacing w:line="360" w:lineRule="auto"/>
        <w:rPr>
          <w:rFonts w:cs="Arial"/>
          <w:b/>
          <w:szCs w:val="21"/>
        </w:rPr>
      </w:pPr>
      <w:r w:rsidRPr="0001456E">
        <w:rPr>
          <w:rFonts w:cs="Arial"/>
          <w:b/>
          <w:szCs w:val="21"/>
        </w:rPr>
        <w:t>Cell invasion assay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szCs w:val="21"/>
        </w:rPr>
      </w:pPr>
      <w:r w:rsidRPr="0001456E">
        <w:rPr>
          <w:rFonts w:cs="Calibri"/>
          <w:szCs w:val="21"/>
        </w:rPr>
        <w:t xml:space="preserve">The cell invasion assay was conducted in a 24-well matrix gel invasion chamber. The upper surface of the invasion chamber was covered with matrix gel (356234, Corning), and the filter hole was 8.0 </w:t>
      </w:r>
      <w:proofErr w:type="spellStart"/>
      <w:r w:rsidRPr="0001456E">
        <w:rPr>
          <w:rFonts w:cs="Calibri"/>
          <w:szCs w:val="21"/>
        </w:rPr>
        <w:t>μm</w:t>
      </w:r>
      <w:proofErr w:type="spellEnd"/>
      <w:r w:rsidRPr="0001456E">
        <w:rPr>
          <w:rFonts w:cs="Calibri"/>
          <w:szCs w:val="21"/>
        </w:rPr>
        <w:t>. Briefly, the upper chamber was inoculated with 2 × 10</w:t>
      </w:r>
      <w:r w:rsidRPr="0001456E">
        <w:rPr>
          <w:rFonts w:cs="Calibri"/>
          <w:szCs w:val="21"/>
          <w:vertAlign w:val="superscript"/>
        </w:rPr>
        <w:t>5</w:t>
      </w:r>
      <w:r w:rsidRPr="0001456E">
        <w:rPr>
          <w:rFonts w:cs="Calibri"/>
          <w:szCs w:val="21"/>
        </w:rPr>
        <w:t xml:space="preserve"> cells in serum-free medium, and the lower chamber was supplemented with 10% FBS medium. After </w:t>
      </w:r>
      <w:proofErr w:type="gramStart"/>
      <w:r w:rsidRPr="0001456E">
        <w:rPr>
          <w:rFonts w:cs="Calibri"/>
          <w:szCs w:val="21"/>
        </w:rPr>
        <w:t>a 72h</w:t>
      </w:r>
      <w:proofErr w:type="gramEnd"/>
      <w:r w:rsidRPr="0001456E">
        <w:rPr>
          <w:rFonts w:cs="Calibri"/>
          <w:szCs w:val="21"/>
        </w:rPr>
        <w:t xml:space="preserve"> incubation, the cells were stained with 0.5% crystal violet solution. The number of invading cells was randomly counted under a microscope.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b/>
          <w:szCs w:val="21"/>
        </w:rPr>
      </w:pPr>
      <w:r w:rsidRPr="0001456E">
        <w:rPr>
          <w:rFonts w:cs="Calibri"/>
          <w:b/>
          <w:szCs w:val="21"/>
        </w:rPr>
        <w:t>Western blot and co-immunoprecipitation (Co-IP) analysis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szCs w:val="21"/>
        </w:rPr>
      </w:pPr>
      <w:r w:rsidRPr="0001456E">
        <w:rPr>
          <w:rFonts w:cs="Calibri"/>
          <w:szCs w:val="21"/>
        </w:rPr>
        <w:t xml:space="preserve">Cells were disrupted with IP lysis buffer (PC104, </w:t>
      </w:r>
      <w:proofErr w:type="spellStart"/>
      <w:r w:rsidRPr="0001456E">
        <w:rPr>
          <w:rFonts w:cs="Calibri"/>
          <w:szCs w:val="21"/>
        </w:rPr>
        <w:t>EpiZyme</w:t>
      </w:r>
      <w:proofErr w:type="spellEnd"/>
      <w:r w:rsidRPr="0001456E">
        <w:rPr>
          <w:rFonts w:cs="Calibri"/>
          <w:szCs w:val="21"/>
        </w:rPr>
        <w:t xml:space="preserve">) to obtain total proteins. Protein concentration was determined using a BCA assay reagent (Pierce Chemical, Rockford, IL, USA) in accordance with the manufacturer's protocol. For immunoblotting, cell lysates were separated by SDS-PAGE, blotted with appropriate primary antibody followed by an HRP-labeled secondary antibody, and then detected using a </w:t>
      </w:r>
      <w:proofErr w:type="spellStart"/>
      <w:r w:rsidRPr="0001456E">
        <w:rPr>
          <w:rFonts w:cs="Calibri"/>
          <w:szCs w:val="21"/>
        </w:rPr>
        <w:t>chemiluminescence</w:t>
      </w:r>
      <w:proofErr w:type="spellEnd"/>
      <w:r w:rsidRPr="0001456E">
        <w:rPr>
          <w:rFonts w:cs="Calibri"/>
          <w:szCs w:val="21"/>
        </w:rPr>
        <w:t xml:space="preserve"> solution (Us </w:t>
      </w:r>
      <w:proofErr w:type="spellStart"/>
      <w:r w:rsidRPr="0001456E">
        <w:rPr>
          <w:rFonts w:cs="Calibri"/>
          <w:szCs w:val="21"/>
        </w:rPr>
        <w:t>Everbright</w:t>
      </w:r>
      <w:proofErr w:type="spellEnd"/>
      <w:r w:rsidRPr="0001456E">
        <w:rPr>
          <w:rFonts w:cs="Calibri"/>
          <w:szCs w:val="21"/>
        </w:rPr>
        <w:t xml:space="preserve">, San Ramon, CA, USA). The </w:t>
      </w:r>
      <w:proofErr w:type="spellStart"/>
      <w:r w:rsidRPr="0001456E">
        <w:rPr>
          <w:rFonts w:cs="Calibri"/>
          <w:szCs w:val="21"/>
        </w:rPr>
        <w:t>ChemiDoc</w:t>
      </w:r>
      <w:proofErr w:type="spellEnd"/>
      <w:r w:rsidRPr="0001456E">
        <w:rPr>
          <w:rFonts w:cs="Calibri"/>
          <w:szCs w:val="21"/>
        </w:rPr>
        <w:t xml:space="preserve"> XRS system and Image Lab software (Bio-Rad, Hercules, CA, USA) were used for protein visualization. For immunoprecipitation, cell lysates were separated and clarified by </w:t>
      </w:r>
      <w:proofErr w:type="spellStart"/>
      <w:r w:rsidRPr="0001456E">
        <w:rPr>
          <w:rFonts w:cs="Calibri"/>
          <w:szCs w:val="21"/>
        </w:rPr>
        <w:t>immunomagnetic</w:t>
      </w:r>
      <w:proofErr w:type="spellEnd"/>
      <w:r w:rsidRPr="0001456E">
        <w:rPr>
          <w:rFonts w:cs="Calibri"/>
          <w:szCs w:val="21"/>
        </w:rPr>
        <w:t xml:space="preserve"> beads and incubated overnight with indicator antibodies plus </w:t>
      </w:r>
      <w:proofErr w:type="spellStart"/>
      <w:r w:rsidRPr="0001456E">
        <w:rPr>
          <w:rFonts w:cs="Calibri"/>
          <w:szCs w:val="21"/>
        </w:rPr>
        <w:t>Dynabeads®Protein</w:t>
      </w:r>
      <w:proofErr w:type="spellEnd"/>
      <w:r w:rsidRPr="0001456E">
        <w:rPr>
          <w:rFonts w:cs="Calibri"/>
          <w:szCs w:val="21"/>
        </w:rPr>
        <w:t xml:space="preserve"> A/G (B23202, </w:t>
      </w:r>
      <w:proofErr w:type="spellStart"/>
      <w:r w:rsidRPr="0001456E">
        <w:rPr>
          <w:rFonts w:cs="Calibri"/>
          <w:szCs w:val="21"/>
        </w:rPr>
        <w:t>Bimake</w:t>
      </w:r>
      <w:proofErr w:type="spellEnd"/>
      <w:r w:rsidRPr="0001456E">
        <w:rPr>
          <w:rFonts w:cs="Calibri"/>
          <w:szCs w:val="21"/>
        </w:rPr>
        <w:t>) at 4</w:t>
      </w:r>
      <w:r w:rsidRPr="0001456E">
        <w:rPr>
          <w:rFonts w:ascii="SimSun" w:hAnsi="SimSun" w:cs="SimSun" w:hint="eastAsia"/>
          <w:szCs w:val="21"/>
        </w:rPr>
        <w:t>℃</w:t>
      </w:r>
      <w:r w:rsidRPr="0001456E">
        <w:rPr>
          <w:rFonts w:cs="Calibri"/>
          <w:szCs w:val="21"/>
        </w:rPr>
        <w:t xml:space="preserve"> to form an immune complex. After extensive washing with PBS, the immune complexes were analyzed by Western blotting as described above.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b/>
          <w:szCs w:val="21"/>
        </w:rPr>
      </w:pPr>
      <w:r w:rsidRPr="0001456E">
        <w:rPr>
          <w:rFonts w:cs="Calibri"/>
          <w:b/>
          <w:szCs w:val="21"/>
        </w:rPr>
        <w:t>Protein half-life assays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szCs w:val="21"/>
        </w:rPr>
      </w:pPr>
      <w:r w:rsidRPr="0001456E">
        <w:rPr>
          <w:rFonts w:cs="Calibri"/>
          <w:szCs w:val="21"/>
        </w:rPr>
        <w:t xml:space="preserve">The cells were treated with </w:t>
      </w:r>
      <w:proofErr w:type="spellStart"/>
      <w:r w:rsidRPr="0001456E">
        <w:rPr>
          <w:rFonts w:cs="Calibri"/>
          <w:szCs w:val="21"/>
        </w:rPr>
        <w:t>cycloheximide</w:t>
      </w:r>
      <w:proofErr w:type="spellEnd"/>
      <w:r w:rsidRPr="0001456E">
        <w:rPr>
          <w:rFonts w:cs="Calibri"/>
          <w:szCs w:val="21"/>
        </w:rPr>
        <w:t xml:space="preserve"> </w:t>
      </w:r>
      <w:proofErr w:type="gramStart"/>
      <w:r w:rsidRPr="0001456E">
        <w:rPr>
          <w:rFonts w:cs="Calibri"/>
          <w:szCs w:val="21"/>
        </w:rPr>
        <w:t xml:space="preserve">(20 </w:t>
      </w:r>
      <w:proofErr w:type="spellStart"/>
      <w:r w:rsidRPr="0001456E">
        <w:rPr>
          <w:rFonts w:cs="Calibri"/>
          <w:szCs w:val="21"/>
        </w:rPr>
        <w:t>μg</w:t>
      </w:r>
      <w:proofErr w:type="spellEnd"/>
      <w:r w:rsidRPr="0001456E">
        <w:rPr>
          <w:rFonts w:cs="Calibri"/>
          <w:szCs w:val="21"/>
        </w:rPr>
        <w:t>/mL, Saint Louis, MO, USA)</w:t>
      </w:r>
      <w:proofErr w:type="gramEnd"/>
      <w:r w:rsidRPr="0001456E">
        <w:rPr>
          <w:rFonts w:cs="Calibri"/>
          <w:szCs w:val="21"/>
        </w:rPr>
        <w:t xml:space="preserve"> for different periods to block protein synthesis. Western blot analysis was used to detect protein levels.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b/>
          <w:szCs w:val="21"/>
        </w:rPr>
      </w:pPr>
      <w:r w:rsidRPr="0001456E">
        <w:rPr>
          <w:rFonts w:cs="Calibri"/>
          <w:b/>
          <w:szCs w:val="21"/>
        </w:rPr>
        <w:t>Immunohistochemistry (IHC)</w:t>
      </w:r>
    </w:p>
    <w:p w:rsidR="001D24C9" w:rsidRPr="0001456E" w:rsidRDefault="001D24C9" w:rsidP="001D24C9">
      <w:pPr>
        <w:spacing w:line="360" w:lineRule="auto"/>
        <w:jc w:val="left"/>
        <w:rPr>
          <w:rFonts w:cs="Calibri"/>
          <w:szCs w:val="21"/>
        </w:rPr>
      </w:pPr>
      <w:r w:rsidRPr="0001456E">
        <w:rPr>
          <w:rFonts w:cs="Calibri"/>
          <w:szCs w:val="21"/>
        </w:rPr>
        <w:t xml:space="preserve">The tissue samples from NPC patients were collected from the </w:t>
      </w:r>
      <w:proofErr w:type="spellStart"/>
      <w:r w:rsidRPr="0001456E">
        <w:rPr>
          <w:rFonts w:cs="Calibri"/>
          <w:szCs w:val="21"/>
        </w:rPr>
        <w:t>Xiangya</w:t>
      </w:r>
      <w:proofErr w:type="spellEnd"/>
      <w:r w:rsidRPr="0001456E">
        <w:rPr>
          <w:rFonts w:cs="Calibri"/>
          <w:szCs w:val="21"/>
        </w:rPr>
        <w:t xml:space="preserve"> Hospital of Central South University. IHC was performed using a SP Broad Spectrum kit (SP0041, </w:t>
      </w:r>
      <w:proofErr w:type="spellStart"/>
      <w:r w:rsidRPr="0001456E">
        <w:rPr>
          <w:rFonts w:cs="Calibri"/>
          <w:szCs w:val="21"/>
        </w:rPr>
        <w:t>Solarbio</w:t>
      </w:r>
      <w:proofErr w:type="spellEnd"/>
      <w:r w:rsidRPr="0001456E">
        <w:rPr>
          <w:rFonts w:cs="Calibri"/>
          <w:szCs w:val="21"/>
        </w:rPr>
        <w:t>). After treatment with 3% H</w:t>
      </w:r>
      <w:r w:rsidRPr="0001456E">
        <w:rPr>
          <w:rFonts w:cs="Calibri"/>
          <w:szCs w:val="21"/>
          <w:vertAlign w:val="subscript"/>
        </w:rPr>
        <w:t>2</w:t>
      </w:r>
      <w:r w:rsidRPr="0001456E">
        <w:rPr>
          <w:rFonts w:cs="Calibri"/>
          <w:szCs w:val="21"/>
        </w:rPr>
        <w:t>O</w:t>
      </w:r>
      <w:r w:rsidRPr="0001456E">
        <w:rPr>
          <w:rFonts w:cs="Calibri"/>
          <w:szCs w:val="21"/>
          <w:vertAlign w:val="subscript"/>
        </w:rPr>
        <w:t>2</w:t>
      </w:r>
      <w:r w:rsidRPr="0001456E">
        <w:rPr>
          <w:rFonts w:cs="Calibri"/>
          <w:szCs w:val="21"/>
        </w:rPr>
        <w:t xml:space="preserve">, the tissue sections were blocked with 5% normal goat serum and incubated overnight with appropriate primary </w:t>
      </w:r>
      <w:r w:rsidRPr="0001456E">
        <w:rPr>
          <w:rFonts w:cs="Calibri"/>
          <w:szCs w:val="21"/>
        </w:rPr>
        <w:lastRenderedPageBreak/>
        <w:t xml:space="preserve">antibody at 4°C. Then, the sections were sequentially incubated with biotin anti-mouse/rabbit IgG for 30 min followed by </w:t>
      </w:r>
      <w:proofErr w:type="spellStart"/>
      <w:r w:rsidRPr="0001456E">
        <w:rPr>
          <w:rFonts w:cs="Calibri"/>
          <w:szCs w:val="21"/>
        </w:rPr>
        <w:t>streptomyces</w:t>
      </w:r>
      <w:proofErr w:type="spellEnd"/>
      <w:r w:rsidRPr="0001456E">
        <w:rPr>
          <w:rFonts w:cs="Calibri"/>
          <w:szCs w:val="21"/>
        </w:rPr>
        <w:t xml:space="preserve"> anti-biotin-peroxidase for 30 min and then stained with DAB for 5-30 min. Stained slides were scored according to the intensity of staining (0: -, 1: +, 2: ++, and 3: +++) and the percentage of the cells of interest staining positive for each antigen (0: 0%, 1: 1–25%, 2: 26–50%, 3: 51–75% and 4: 76–100%). The intensity score was multiplied by the percentage score to obtain the final score for statistical analysis.</w:t>
      </w:r>
    </w:p>
    <w:p w:rsidR="002E3E18" w:rsidRDefault="002E3E18">
      <w:bookmarkStart w:id="0" w:name="_GoBack"/>
      <w:bookmarkEnd w:id="0"/>
    </w:p>
    <w:sectPr w:rsidR="002E3E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C9"/>
    <w:rsid w:val="0001409B"/>
    <w:rsid w:val="0004566B"/>
    <w:rsid w:val="000573DF"/>
    <w:rsid w:val="000A72E4"/>
    <w:rsid w:val="000B65ED"/>
    <w:rsid w:val="000C0FA5"/>
    <w:rsid w:val="000D5F32"/>
    <w:rsid w:val="000D628E"/>
    <w:rsid w:val="000D7B82"/>
    <w:rsid w:val="000E6D4D"/>
    <w:rsid w:val="000E77C1"/>
    <w:rsid w:val="000F4186"/>
    <w:rsid w:val="00113662"/>
    <w:rsid w:val="0012579F"/>
    <w:rsid w:val="00160389"/>
    <w:rsid w:val="00167FE9"/>
    <w:rsid w:val="00195ADC"/>
    <w:rsid w:val="001B02C3"/>
    <w:rsid w:val="001D24C9"/>
    <w:rsid w:val="001E1EEB"/>
    <w:rsid w:val="001F4D55"/>
    <w:rsid w:val="00210450"/>
    <w:rsid w:val="00233C0B"/>
    <w:rsid w:val="0024668C"/>
    <w:rsid w:val="00265516"/>
    <w:rsid w:val="00271A9F"/>
    <w:rsid w:val="002911EC"/>
    <w:rsid w:val="002E3E18"/>
    <w:rsid w:val="003029D5"/>
    <w:rsid w:val="003219B8"/>
    <w:rsid w:val="003A0639"/>
    <w:rsid w:val="003A565D"/>
    <w:rsid w:val="003D2FC4"/>
    <w:rsid w:val="003D581B"/>
    <w:rsid w:val="003E053C"/>
    <w:rsid w:val="003E6B3D"/>
    <w:rsid w:val="003F2D75"/>
    <w:rsid w:val="0044462F"/>
    <w:rsid w:val="0047404E"/>
    <w:rsid w:val="004D79DD"/>
    <w:rsid w:val="004E71EB"/>
    <w:rsid w:val="004F7B9B"/>
    <w:rsid w:val="00513988"/>
    <w:rsid w:val="005223B0"/>
    <w:rsid w:val="00573895"/>
    <w:rsid w:val="0057629A"/>
    <w:rsid w:val="00582A68"/>
    <w:rsid w:val="00586E52"/>
    <w:rsid w:val="005B568E"/>
    <w:rsid w:val="005B6DCA"/>
    <w:rsid w:val="005D6D4A"/>
    <w:rsid w:val="005E345B"/>
    <w:rsid w:val="005F28A7"/>
    <w:rsid w:val="00601C70"/>
    <w:rsid w:val="0060799B"/>
    <w:rsid w:val="006455BD"/>
    <w:rsid w:val="00656278"/>
    <w:rsid w:val="00665216"/>
    <w:rsid w:val="006B2F86"/>
    <w:rsid w:val="006E0532"/>
    <w:rsid w:val="006E4683"/>
    <w:rsid w:val="00700899"/>
    <w:rsid w:val="00726F24"/>
    <w:rsid w:val="00744F77"/>
    <w:rsid w:val="00753BF3"/>
    <w:rsid w:val="00765244"/>
    <w:rsid w:val="00775669"/>
    <w:rsid w:val="00793D3B"/>
    <w:rsid w:val="0079452E"/>
    <w:rsid w:val="007A0EFC"/>
    <w:rsid w:val="007A2677"/>
    <w:rsid w:val="007A5E5B"/>
    <w:rsid w:val="007C2A66"/>
    <w:rsid w:val="007D2967"/>
    <w:rsid w:val="007D5573"/>
    <w:rsid w:val="00822182"/>
    <w:rsid w:val="008459FD"/>
    <w:rsid w:val="008762D8"/>
    <w:rsid w:val="008775B5"/>
    <w:rsid w:val="00897B58"/>
    <w:rsid w:val="008C0B52"/>
    <w:rsid w:val="008C203B"/>
    <w:rsid w:val="008D08AF"/>
    <w:rsid w:val="008E0124"/>
    <w:rsid w:val="0092515F"/>
    <w:rsid w:val="00933525"/>
    <w:rsid w:val="00975E23"/>
    <w:rsid w:val="009B409D"/>
    <w:rsid w:val="00A03C9F"/>
    <w:rsid w:val="00A32B34"/>
    <w:rsid w:val="00A94D80"/>
    <w:rsid w:val="00AA4384"/>
    <w:rsid w:val="00AC64FE"/>
    <w:rsid w:val="00AD222C"/>
    <w:rsid w:val="00AD7436"/>
    <w:rsid w:val="00AE66E7"/>
    <w:rsid w:val="00AF0844"/>
    <w:rsid w:val="00B2191D"/>
    <w:rsid w:val="00B24725"/>
    <w:rsid w:val="00B415D2"/>
    <w:rsid w:val="00B53298"/>
    <w:rsid w:val="00B84D26"/>
    <w:rsid w:val="00B86B18"/>
    <w:rsid w:val="00BB0E3F"/>
    <w:rsid w:val="00BF1E52"/>
    <w:rsid w:val="00BF73C6"/>
    <w:rsid w:val="00C41D63"/>
    <w:rsid w:val="00C47180"/>
    <w:rsid w:val="00C55D59"/>
    <w:rsid w:val="00C72455"/>
    <w:rsid w:val="00C86B2D"/>
    <w:rsid w:val="00C94872"/>
    <w:rsid w:val="00CA4339"/>
    <w:rsid w:val="00CA6659"/>
    <w:rsid w:val="00CB5C5F"/>
    <w:rsid w:val="00CF3B0C"/>
    <w:rsid w:val="00CF4204"/>
    <w:rsid w:val="00D06E55"/>
    <w:rsid w:val="00D16894"/>
    <w:rsid w:val="00D172C7"/>
    <w:rsid w:val="00D2779B"/>
    <w:rsid w:val="00D52C41"/>
    <w:rsid w:val="00D545F2"/>
    <w:rsid w:val="00D757F7"/>
    <w:rsid w:val="00D76BA0"/>
    <w:rsid w:val="00DC4AB8"/>
    <w:rsid w:val="00E27562"/>
    <w:rsid w:val="00E55E51"/>
    <w:rsid w:val="00E5799A"/>
    <w:rsid w:val="00E67E23"/>
    <w:rsid w:val="00E7018A"/>
    <w:rsid w:val="00E84F42"/>
    <w:rsid w:val="00E9477B"/>
    <w:rsid w:val="00ED0279"/>
    <w:rsid w:val="00F126FF"/>
    <w:rsid w:val="00F23B75"/>
    <w:rsid w:val="00F25614"/>
    <w:rsid w:val="00F31679"/>
    <w:rsid w:val="00F638BC"/>
    <w:rsid w:val="00F757DF"/>
    <w:rsid w:val="00F87ACD"/>
    <w:rsid w:val="00FD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C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4C9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DennisRaymund Tag-at</dc:creator>
  <cp:lastModifiedBy>DennisRaymund Tag-at</cp:lastModifiedBy>
  <cp:revision>1</cp:revision>
  <dcterms:created xsi:type="dcterms:W3CDTF">2023-09-22T05:58:00Z</dcterms:created>
  <dcterms:modified xsi:type="dcterms:W3CDTF">2023-09-22T05:58:00Z</dcterms:modified>
</cp:coreProperties>
</file>