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D9D282" w14:textId="225FF942" w:rsidR="00580EB7" w:rsidRDefault="0096559C" w:rsidP="000A3EDD">
      <w:pPr>
        <w:ind w:left="-851"/>
      </w:pPr>
      <w:bookmarkStart w:id="0" w:name="_GoBack"/>
      <w:bookmarkEnd w:id="0"/>
      <w:r w:rsidRPr="0096559C">
        <w:rPr>
          <w:noProof/>
          <w:lang w:eastAsia="en-CA"/>
        </w:rPr>
        <w:drawing>
          <wp:inline distT="0" distB="0" distL="0" distR="0" wp14:anchorId="56EA0DF3" wp14:editId="16C61F2E">
            <wp:extent cx="6804660" cy="4956642"/>
            <wp:effectExtent l="0" t="0" r="0" b="0"/>
            <wp:docPr id="1" name="Picture 1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box and whisker char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11064" cy="4961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6D9793" w14:textId="0A4C70C7" w:rsidR="00CD668B" w:rsidRPr="00B5486B" w:rsidRDefault="00B5486B" w:rsidP="001354AA">
      <w:pPr>
        <w:ind w:left="-851"/>
        <w:jc w:val="both"/>
        <w:rPr>
          <w:rFonts w:ascii="Times New Roman" w:hAnsi="Times New Roman" w:cs="Times New Roman"/>
        </w:rPr>
      </w:pPr>
      <w:r w:rsidRPr="00B5486B">
        <w:rPr>
          <w:rFonts w:ascii="Times New Roman" w:hAnsi="Times New Roman" w:cs="Times New Roman"/>
          <w:b/>
        </w:rPr>
        <w:t>Supplementary Figure 3</w:t>
      </w:r>
      <w:r w:rsidR="00CD668B" w:rsidRPr="00B5486B">
        <w:rPr>
          <w:rFonts w:ascii="Times New Roman" w:hAnsi="Times New Roman" w:cs="Times New Roman"/>
          <w:b/>
        </w:rPr>
        <w:t>.</w:t>
      </w:r>
      <w:r w:rsidR="001354AA" w:rsidRPr="00B5486B">
        <w:rPr>
          <w:rFonts w:ascii="Times New Roman" w:hAnsi="Times New Roman" w:cs="Times New Roman"/>
          <w:b/>
        </w:rPr>
        <w:t xml:space="preserve"> Dynamic changes of autoAbs in</w:t>
      </w:r>
      <w:r w:rsidR="00295C6D" w:rsidRPr="00B5486B">
        <w:rPr>
          <w:rFonts w:ascii="Times New Roman" w:hAnsi="Times New Roman" w:cs="Times New Roman"/>
          <w:b/>
        </w:rPr>
        <w:t xml:space="preserve"> </w:t>
      </w:r>
      <w:r w:rsidR="001354AA" w:rsidRPr="00B5486B">
        <w:rPr>
          <w:rFonts w:ascii="Times New Roman" w:hAnsi="Times New Roman" w:cs="Times New Roman"/>
          <w:b/>
        </w:rPr>
        <w:t xml:space="preserve">patients with and without irAEs G≥2. </w:t>
      </w:r>
      <w:r w:rsidR="001354AA" w:rsidRPr="00B5486B">
        <w:rPr>
          <w:rFonts w:ascii="Times New Roman" w:hAnsi="Times New Roman" w:cs="Times New Roman"/>
        </w:rPr>
        <w:t>A) Differences in the number of IgM and IgG with MFI&gt;500 from baseline (pre-ICI collection) to the first post ICI collection in 61 patients who did not develop irAEs G≥2.B) Differences in the number of IgM and IgG with MFI&gt;500 from baseline to the time or irAEs in 24 patients with irAEs G≥2.</w:t>
      </w:r>
    </w:p>
    <w:sectPr w:rsidR="00CD668B" w:rsidRPr="00B5486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EDD"/>
    <w:rsid w:val="000A3EDD"/>
    <w:rsid w:val="001354AA"/>
    <w:rsid w:val="00295C6D"/>
    <w:rsid w:val="003C697C"/>
    <w:rsid w:val="003D422C"/>
    <w:rsid w:val="003F5158"/>
    <w:rsid w:val="00580EB7"/>
    <w:rsid w:val="006C4727"/>
    <w:rsid w:val="00783B0B"/>
    <w:rsid w:val="00927250"/>
    <w:rsid w:val="0096559C"/>
    <w:rsid w:val="00B5486B"/>
    <w:rsid w:val="00CB4080"/>
    <w:rsid w:val="00CD668B"/>
    <w:rsid w:val="00D9371A"/>
    <w:rsid w:val="00DA41D5"/>
    <w:rsid w:val="00DF7525"/>
    <w:rsid w:val="00F42C52"/>
    <w:rsid w:val="00F8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EE1AD"/>
  <w15:chartTrackingRefBased/>
  <w15:docId w15:val="{57F44D88-5E5D-4359-BD7C-FFE1F3D27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Health Network</Company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Genta, Sofia</dc:creator>
  <cp:keywords/>
  <dc:description/>
  <cp:lastModifiedBy>Spreafico, Anna</cp:lastModifiedBy>
  <cp:revision>2</cp:revision>
  <dcterms:created xsi:type="dcterms:W3CDTF">2023-06-21T17:58:00Z</dcterms:created>
  <dcterms:modified xsi:type="dcterms:W3CDTF">2023-06-21T17:58:00Z</dcterms:modified>
</cp:coreProperties>
</file>