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7E414D" w14:textId="12072574" w:rsidR="00580EB7" w:rsidRDefault="00F75AC4" w:rsidP="000A3EDD">
      <w:pPr>
        <w:ind w:left="-851"/>
      </w:pPr>
      <w:bookmarkStart w:id="0" w:name="_GoBack"/>
      <w:bookmarkEnd w:id="0"/>
      <w:r w:rsidRPr="00F75AC4">
        <w:rPr>
          <w:noProof/>
          <w:lang w:eastAsia="en-CA"/>
        </w:rPr>
        <w:drawing>
          <wp:inline distT="0" distB="0" distL="0" distR="0" wp14:anchorId="37349C46" wp14:editId="6BACA0E2">
            <wp:extent cx="6545580" cy="3751121"/>
            <wp:effectExtent l="0" t="0" r="7620" b="1905"/>
            <wp:docPr id="1" name="Picture 1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scatter char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51801" cy="375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BFD4B" w14:textId="159B4F7D" w:rsidR="00CD668B" w:rsidRPr="00326C8D" w:rsidRDefault="00326C8D" w:rsidP="00862E0C">
      <w:pPr>
        <w:ind w:left="-851"/>
        <w:jc w:val="both"/>
        <w:rPr>
          <w:rFonts w:ascii="Times New Roman" w:hAnsi="Times New Roman" w:cs="Times New Roman"/>
          <w:b/>
        </w:rPr>
      </w:pPr>
      <w:r w:rsidRPr="00326C8D">
        <w:rPr>
          <w:rFonts w:ascii="Times New Roman" w:hAnsi="Times New Roman" w:cs="Times New Roman"/>
          <w:b/>
        </w:rPr>
        <w:t>Supplementary Figure 4</w:t>
      </w:r>
      <w:r w:rsidR="00CD668B" w:rsidRPr="00326C8D">
        <w:rPr>
          <w:rFonts w:ascii="Times New Roman" w:hAnsi="Times New Roman" w:cs="Times New Roman"/>
          <w:b/>
        </w:rPr>
        <w:t>.</w:t>
      </w:r>
      <w:r w:rsidR="00617D2A" w:rsidRPr="00326C8D">
        <w:rPr>
          <w:rFonts w:ascii="Times New Roman" w:hAnsi="Times New Roman" w:cs="Times New Roman"/>
          <w:b/>
        </w:rPr>
        <w:t xml:space="preserve"> Comparison of the level of IgM and IgG with MFI&gt; 500 at the time of irAEs and post steroids administration in 9 patients. </w:t>
      </w:r>
      <w:r w:rsidR="00617D2A" w:rsidRPr="00326C8D">
        <w:rPr>
          <w:rFonts w:ascii="Times New Roman" w:hAnsi="Times New Roman" w:cs="Times New Roman"/>
        </w:rPr>
        <w:t xml:space="preserve">The number of elevated autoAbs at the time of irAEs is represented as a red </w:t>
      </w:r>
      <w:r w:rsidR="00F75AC4" w:rsidRPr="00326C8D">
        <w:rPr>
          <w:rFonts w:ascii="Times New Roman" w:hAnsi="Times New Roman" w:cs="Times New Roman"/>
        </w:rPr>
        <w:t>triangle</w:t>
      </w:r>
      <w:r w:rsidR="00617D2A" w:rsidRPr="00326C8D">
        <w:rPr>
          <w:rFonts w:ascii="Times New Roman" w:hAnsi="Times New Roman" w:cs="Times New Roman"/>
        </w:rPr>
        <w:t xml:space="preserve"> (one for each patient) while the number of elevate autoAbs after steroids administration is represented as a </w:t>
      </w:r>
      <w:r w:rsidR="00F75AC4" w:rsidRPr="00326C8D">
        <w:rPr>
          <w:rFonts w:ascii="Times New Roman" w:hAnsi="Times New Roman" w:cs="Times New Roman"/>
        </w:rPr>
        <w:t>green rhombus</w:t>
      </w:r>
      <w:r w:rsidR="00617D2A" w:rsidRPr="00326C8D">
        <w:rPr>
          <w:rFonts w:ascii="Times New Roman" w:hAnsi="Times New Roman" w:cs="Times New Roman"/>
        </w:rPr>
        <w:t>. For each patient is reported the type of irAE developed close to the plasma collection.</w:t>
      </w:r>
    </w:p>
    <w:sectPr w:rsidR="00CD668B" w:rsidRPr="00326C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EDD"/>
    <w:rsid w:val="000978FF"/>
    <w:rsid w:val="000A3EDD"/>
    <w:rsid w:val="00326C8D"/>
    <w:rsid w:val="00580EB7"/>
    <w:rsid w:val="00617D2A"/>
    <w:rsid w:val="006C4727"/>
    <w:rsid w:val="00783B0B"/>
    <w:rsid w:val="00862E0C"/>
    <w:rsid w:val="009B11B7"/>
    <w:rsid w:val="009F6FC9"/>
    <w:rsid w:val="00AB2BF4"/>
    <w:rsid w:val="00CD668B"/>
    <w:rsid w:val="00CF3BD5"/>
    <w:rsid w:val="00D9371A"/>
    <w:rsid w:val="00D93A4E"/>
    <w:rsid w:val="00DD4C97"/>
    <w:rsid w:val="00F7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D1E2C"/>
  <w15:chartTrackingRefBased/>
  <w15:docId w15:val="{57F44D88-5E5D-4359-BD7C-FFE1F3D27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Health Network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Genta, Sofia</dc:creator>
  <cp:keywords/>
  <dc:description/>
  <cp:lastModifiedBy>Spreafico, Anna</cp:lastModifiedBy>
  <cp:revision>2</cp:revision>
  <dcterms:created xsi:type="dcterms:W3CDTF">2023-06-21T17:59:00Z</dcterms:created>
  <dcterms:modified xsi:type="dcterms:W3CDTF">2023-06-21T17:59:00Z</dcterms:modified>
</cp:coreProperties>
</file>