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278AD4" w14:textId="66CB3780" w:rsidR="00580EB7" w:rsidRDefault="001F2676" w:rsidP="000A3EDD">
      <w:pPr>
        <w:ind w:left="-851"/>
      </w:pPr>
      <w:bookmarkStart w:id="0" w:name="_GoBack"/>
      <w:bookmarkEnd w:id="0"/>
      <w:r>
        <w:rPr>
          <w:noProof/>
          <w:lang w:eastAsia="en-CA"/>
        </w:rPr>
        <w:t xml:space="preserve"> </w:t>
      </w:r>
      <w:r w:rsidR="00A03B8E" w:rsidRPr="00A03B8E">
        <w:rPr>
          <w:noProof/>
          <w:lang w:eastAsia="en-CA"/>
        </w:rPr>
        <w:drawing>
          <wp:inline distT="0" distB="0" distL="0" distR="0" wp14:anchorId="1D1D183F" wp14:editId="0B83C2F0">
            <wp:extent cx="6736080" cy="5616279"/>
            <wp:effectExtent l="0" t="0" r="7620" b="3810"/>
            <wp:docPr id="1" name="Picture 1" descr="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box and whisker chart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738646" cy="5618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05CC18" w14:textId="52D391C3" w:rsidR="00CD668B" w:rsidRPr="00A03B8E" w:rsidRDefault="001F2676" w:rsidP="00F174D1">
      <w:pPr>
        <w:ind w:left="-851"/>
        <w:jc w:val="both"/>
        <w:rPr>
          <w:rFonts w:ascii="Times New Roman" w:hAnsi="Times New Roman" w:cs="Times New Roman"/>
        </w:rPr>
      </w:pPr>
      <w:r w:rsidRPr="00A03B8E">
        <w:rPr>
          <w:rFonts w:ascii="Times New Roman" w:hAnsi="Times New Roman" w:cs="Times New Roman"/>
          <w:b/>
        </w:rPr>
        <w:t xml:space="preserve">Supplementary Figure </w:t>
      </w:r>
      <w:r w:rsidR="004904B6">
        <w:rPr>
          <w:rFonts w:ascii="Times New Roman" w:hAnsi="Times New Roman" w:cs="Times New Roman"/>
          <w:b/>
        </w:rPr>
        <w:t>5</w:t>
      </w:r>
      <w:r w:rsidR="00CD668B" w:rsidRPr="00A03B8E">
        <w:rPr>
          <w:rFonts w:ascii="Times New Roman" w:hAnsi="Times New Roman" w:cs="Times New Roman"/>
          <w:b/>
        </w:rPr>
        <w:t>.</w:t>
      </w:r>
      <w:r w:rsidR="00F174D1" w:rsidRPr="00A03B8E">
        <w:rPr>
          <w:rFonts w:ascii="Times New Roman" w:hAnsi="Times New Roman" w:cs="Times New Roman"/>
          <w:b/>
        </w:rPr>
        <w:t xml:space="preserve"> Comparison of AutoAbs levels measured with ELISA in patients with and without irAEs G≥2 and dynamic changes in patients who developed irAEs G&gt;2</w:t>
      </w:r>
      <w:r w:rsidR="00F174D1" w:rsidRPr="00A03B8E">
        <w:rPr>
          <w:rFonts w:ascii="Times New Roman" w:hAnsi="Times New Roman" w:cs="Times New Roman"/>
        </w:rPr>
        <w:t>. A) Difference in the level of IgM and IgG measured with ELISA at baseline (before ICI) in patients with and without irAEs G≥2. B) Dynamic changes in the level of IgG and IgM measured with ELISA in 24 patients who developed irAEs G≥2 from baseline (before ICI administration) to the time of irAEs.</w:t>
      </w:r>
    </w:p>
    <w:sectPr w:rsidR="00CD668B" w:rsidRPr="00A03B8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EDD"/>
    <w:rsid w:val="000A3EDD"/>
    <w:rsid w:val="000D7352"/>
    <w:rsid w:val="001F2676"/>
    <w:rsid w:val="003A4E0F"/>
    <w:rsid w:val="003C697C"/>
    <w:rsid w:val="004904B6"/>
    <w:rsid w:val="00580EB7"/>
    <w:rsid w:val="006851EF"/>
    <w:rsid w:val="006C4727"/>
    <w:rsid w:val="00783B0B"/>
    <w:rsid w:val="0096618A"/>
    <w:rsid w:val="00A03B8E"/>
    <w:rsid w:val="00C91CEC"/>
    <w:rsid w:val="00CD668B"/>
    <w:rsid w:val="00D9371A"/>
    <w:rsid w:val="00F174D1"/>
    <w:rsid w:val="00F86538"/>
    <w:rsid w:val="00FC137D"/>
    <w:rsid w:val="00FF6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AA7C9"/>
  <w15:chartTrackingRefBased/>
  <w15:docId w15:val="{57F44D88-5E5D-4359-BD7C-FFE1F3D27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Health Network</Company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Genta, Sofia</dc:creator>
  <cp:keywords/>
  <dc:description/>
  <cp:lastModifiedBy>Spreafico, Anna</cp:lastModifiedBy>
  <cp:revision>2</cp:revision>
  <dcterms:created xsi:type="dcterms:W3CDTF">2023-06-21T17:59:00Z</dcterms:created>
  <dcterms:modified xsi:type="dcterms:W3CDTF">2023-06-21T17:59:00Z</dcterms:modified>
</cp:coreProperties>
</file>