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bookmarkStart w:id="0" w:name="OLE_LINK2"/>
      <w:r>
        <w:rPr>
          <w:rFonts w:hint="default" w:ascii="Arial" w:hAnsi="Arial" w:cs="Arial"/>
          <w:b/>
          <w:sz w:val="24"/>
          <w:szCs w:val="24"/>
        </w:rPr>
        <w:t xml:space="preserve">SUPPLEMENTARY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MATERIAL </w:t>
      </w:r>
      <w:r>
        <w:rPr>
          <w:rFonts w:hint="eastAsia" w:ascii="Arial" w:hAnsi="Arial" w:eastAsia="宋体" w:cs="Arial"/>
          <w:b/>
          <w:sz w:val="24"/>
          <w:szCs w:val="24"/>
          <w:lang w:val="en-US" w:eastAsia="zh-CN"/>
        </w:rPr>
        <w:t>1</w:t>
      </w:r>
    </w:p>
    <w:p>
      <w:pPr>
        <w:jc w:val="left"/>
        <w:rPr>
          <w:rFonts w:ascii="Arial" w:hAnsi="Arial" w:eastAsia="黑体" w:cs="Arial"/>
          <w:b/>
          <w:bCs/>
          <w:sz w:val="22"/>
          <w:szCs w:val="22"/>
        </w:rPr>
      </w:pPr>
      <w:r>
        <w:rPr>
          <w:rFonts w:ascii="Arial" w:hAnsi="Arial" w:eastAsia="黑体" w:cs="Arial"/>
          <w:b/>
          <w:bCs/>
          <w:sz w:val="22"/>
          <w:szCs w:val="22"/>
        </w:rPr>
        <w:t>Tumor Cell-Induced Platelet Aggregation</w:t>
      </w:r>
      <w:bookmarkEnd w:id="0"/>
      <w:r>
        <w:rPr>
          <w:rFonts w:ascii="Arial" w:hAnsi="Arial" w:eastAsia="黑体" w:cs="Arial"/>
          <w:b/>
          <w:bCs/>
          <w:sz w:val="22"/>
          <w:szCs w:val="22"/>
        </w:rPr>
        <w:t xml:space="preserve"> (TCIPA) Accelerates Hematogenous Metastasis of Melanoma by Triggering </w:t>
      </w:r>
      <w:bookmarkStart w:id="1" w:name="OLE_LINK1"/>
      <w:r>
        <w:rPr>
          <w:rFonts w:ascii="Arial" w:hAnsi="Arial" w:eastAsia="黑体" w:cs="Arial"/>
          <w:b/>
          <w:bCs/>
          <w:sz w:val="22"/>
          <w:szCs w:val="22"/>
        </w:rPr>
        <w:t>Macrophages Recruitment</w:t>
      </w:r>
      <w:bookmarkEnd w:id="1"/>
    </w:p>
    <w:p>
      <w:pPr>
        <w:jc w:val="left"/>
        <w:rPr>
          <w:rFonts w:ascii="Arial" w:hAnsi="Arial" w:eastAsia="黑体" w:cs="Arial"/>
          <w:sz w:val="22"/>
          <w:szCs w:val="22"/>
        </w:rPr>
      </w:pPr>
    </w:p>
    <w:p>
      <w:pPr>
        <w:jc w:val="center"/>
        <w:rPr>
          <w:rFonts w:ascii="Arial" w:hAnsi="Arial" w:eastAsia="黑体" w:cs="Arial"/>
          <w:sz w:val="22"/>
          <w:szCs w:val="22"/>
        </w:rPr>
      </w:pPr>
      <w:r>
        <w:rPr>
          <w:rFonts w:ascii="Arial" w:hAnsi="Arial" w:eastAsia="黑体" w:cs="Arial"/>
          <w:sz w:val="22"/>
          <w:szCs w:val="22"/>
          <w:lang w:val="en-PH" w:eastAsia="en-PH"/>
        </w:rPr>
        <w:drawing>
          <wp:inline distT="0" distB="0" distL="114300" distR="114300">
            <wp:extent cx="4421505" cy="2079625"/>
            <wp:effectExtent l="0" t="0" r="10795" b="3175"/>
            <wp:docPr id="1" name="图片 1" descr="Supplemental figur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l figure_00"/>
                    <pic:cNvPicPr>
                      <a:picLocks noChangeAspect="1"/>
                    </pic:cNvPicPr>
                  </pic:nvPicPr>
                  <pic:blipFill>
                    <a:blip r:embed="rId4"/>
                    <a:srcRect l="9429" t="14616" r="18736" b="25332"/>
                    <a:stretch>
                      <a:fillRect/>
                    </a:stretch>
                  </pic:blipFill>
                  <pic:spPr>
                    <a:xfrm>
                      <a:off x="0" y="0"/>
                      <a:ext cx="442150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Arial" w:hAnsi="Arial" w:eastAsia="黑体" w:cs="Arial"/>
          <w:sz w:val="22"/>
          <w:szCs w:val="22"/>
        </w:rPr>
      </w:pPr>
      <w:bookmarkStart w:id="2" w:name="OLE_LINK17"/>
      <w:bookmarkStart w:id="3" w:name="OLE_LINK3"/>
      <w:r>
        <w:rPr>
          <w:rFonts w:hint="eastAsia" w:ascii="Arial" w:hAnsi="Arial" w:cs="Arial"/>
          <w:b/>
          <w:bCs/>
          <w:sz w:val="22"/>
          <w:szCs w:val="22"/>
        </w:rPr>
        <w:t>Figure S1</w:t>
      </w:r>
      <w:bookmarkEnd w:id="2"/>
      <w:r>
        <w:rPr>
          <w:rFonts w:hint="eastAsia" w:ascii="Arial" w:hAnsi="Arial" w:cs="Arial"/>
          <w:b/>
          <w:bCs/>
          <w:sz w:val="22"/>
          <w:szCs w:val="22"/>
        </w:rPr>
        <w:t>.</w:t>
      </w:r>
      <w:bookmarkEnd w:id="3"/>
      <w:r>
        <w:rPr>
          <w:rFonts w:hint="eastAsia" w:ascii="Arial" w:hAnsi="Arial" w:cs="Arial"/>
          <w:b/>
          <w:bCs/>
          <w:sz w:val="22"/>
          <w:szCs w:val="22"/>
        </w:rPr>
        <w:t xml:space="preserve"> The ratio of PLT and B16 affects lung metastasis of </w:t>
      </w:r>
      <w:r>
        <w:rPr>
          <w:rFonts w:ascii="Arial" w:hAnsi="Arial" w:eastAsia="黑体" w:cs="Arial"/>
          <w:b/>
          <w:bCs/>
          <w:sz w:val="22"/>
          <w:szCs w:val="22"/>
        </w:rPr>
        <w:t>TCIPA metastatic melanoma model</w:t>
      </w:r>
      <w:r>
        <w:rPr>
          <w:rFonts w:hint="eastAsia" w:ascii="Arial" w:hAnsi="Arial" w:eastAsia="黑体" w:cs="Arial"/>
          <w:b/>
          <w:bCs/>
          <w:sz w:val="22"/>
          <w:szCs w:val="22"/>
        </w:rPr>
        <w:t xml:space="preserve"> </w:t>
      </w:r>
      <w:r>
        <w:rPr>
          <w:rFonts w:ascii="Arial" w:hAnsi="Arial" w:eastAsia="黑体" w:cs="Arial"/>
          <w:b/>
          <w:bCs/>
          <w:sz w:val="22"/>
          <w:szCs w:val="22"/>
        </w:rPr>
        <w:t>(B16+PLT model)</w:t>
      </w:r>
      <w:r>
        <w:rPr>
          <w:rFonts w:hint="eastAsia" w:ascii="Arial" w:hAnsi="Arial" w:cs="Arial"/>
          <w:b/>
          <w:bCs/>
          <w:sz w:val="22"/>
          <w:szCs w:val="22"/>
        </w:rPr>
        <w:t>.</w:t>
      </w:r>
      <w:r>
        <w:rPr>
          <w:rFonts w:hint="eastAsia" w:ascii="Arial" w:hAnsi="Arial" w:cs="Arial"/>
          <w:sz w:val="22"/>
          <w:szCs w:val="22"/>
        </w:rPr>
        <w:t xml:space="preserve"> (a) graph for lung weight of </w:t>
      </w:r>
      <w:bookmarkStart w:id="4" w:name="OLE_LINK4"/>
      <w:r>
        <w:rPr>
          <w:rFonts w:hint="eastAsia" w:ascii="Arial" w:hAnsi="Arial" w:cs="Arial"/>
          <w:sz w:val="22"/>
          <w:szCs w:val="22"/>
        </w:rPr>
        <w:t>B16:PLT=1:50 model</w:t>
      </w:r>
      <w:bookmarkEnd w:id="4"/>
      <w:r>
        <w:rPr>
          <w:rFonts w:hint="eastAsia" w:ascii="Arial" w:hAnsi="Arial" w:cs="Arial"/>
          <w:sz w:val="22"/>
          <w:szCs w:val="22"/>
        </w:rPr>
        <w:t xml:space="preserve">, </w:t>
      </w:r>
      <w:bookmarkStart w:id="5" w:name="OLE_LINK5"/>
      <w:r>
        <w:rPr>
          <w:rFonts w:hint="eastAsia" w:ascii="Arial" w:hAnsi="Arial" w:cs="Arial"/>
          <w:sz w:val="22"/>
          <w:szCs w:val="22"/>
        </w:rPr>
        <w:t>B16:PLT=1:100 model</w:t>
      </w:r>
      <w:bookmarkEnd w:id="5"/>
      <w:r>
        <w:rPr>
          <w:rFonts w:hint="eastAsia" w:ascii="Arial" w:hAnsi="Arial" w:cs="Arial"/>
          <w:sz w:val="22"/>
          <w:szCs w:val="22"/>
        </w:rPr>
        <w:t>, B16:PLT=1:200 model, B16 model and control groups.</w:t>
      </w:r>
      <w:bookmarkStart w:id="6" w:name="OLE_LINK8"/>
      <w:r>
        <w:rPr>
          <w:rFonts w:hint="eastAsia" w:ascii="Arial" w:hAnsi="Arial" w:eastAsia="黑体" w:cs="Arial"/>
          <w:sz w:val="22"/>
          <w:szCs w:val="22"/>
        </w:rPr>
        <w:t xml:space="preserve"> </w:t>
      </w:r>
      <w:bookmarkStart w:id="7" w:name="OLE_LINK12"/>
      <w:bookmarkStart w:id="8" w:name="OLE_LINK40"/>
      <w:r>
        <w:rPr>
          <w:rFonts w:hint="eastAsia" w:ascii="Arial" w:hAnsi="Arial" w:eastAsia="黑体" w:cs="Arial"/>
          <w:sz w:val="22"/>
          <w:szCs w:val="22"/>
        </w:rPr>
        <w:t>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0.05</w:t>
      </w:r>
      <w:bookmarkEnd w:id="7"/>
      <w:r>
        <w:rPr>
          <w:rFonts w:hint="eastAsia" w:ascii="Arial" w:hAnsi="Arial" w:eastAsia="黑体" w:cs="Arial"/>
          <w:sz w:val="22"/>
          <w:szCs w:val="22"/>
        </w:rPr>
        <w:t>, **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 xml:space="preserve">0.01, </w:t>
      </w:r>
      <w:bookmarkEnd w:id="8"/>
      <w:bookmarkStart w:id="9" w:name="OLE_LINK6"/>
      <w:r>
        <w:rPr>
          <w:rFonts w:hint="eastAsia" w:ascii="Arial" w:hAnsi="Arial" w:eastAsia="黑体" w:cs="Arial"/>
          <w:sz w:val="22"/>
          <w:szCs w:val="22"/>
        </w:rPr>
        <w:t>***</w:t>
      </w:r>
      <w:bookmarkStart w:id="10" w:name="OLE_LINK14"/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bookmarkStart w:id="11" w:name="OLE_LINK15"/>
      <w:r>
        <w:rPr>
          <w:rFonts w:ascii="Arial" w:hAnsi="Arial" w:eastAsia="黑体" w:cs="Arial"/>
          <w:sz w:val="22"/>
          <w:szCs w:val="22"/>
        </w:rPr>
        <w:t>≤</w:t>
      </w:r>
      <w:bookmarkEnd w:id="10"/>
      <w:bookmarkEnd w:id="11"/>
      <w:r>
        <w:rPr>
          <w:rFonts w:hint="eastAsia" w:ascii="Arial" w:hAnsi="Arial" w:eastAsia="黑体" w:cs="Arial"/>
          <w:sz w:val="22"/>
          <w:szCs w:val="22"/>
        </w:rPr>
        <w:t>0.001</w:t>
      </w:r>
      <w:bookmarkEnd w:id="9"/>
      <w:r>
        <w:rPr>
          <w:rFonts w:hint="eastAsia" w:ascii="Arial" w:hAnsi="Arial" w:eastAsia="黑体" w:cs="Arial"/>
          <w:sz w:val="22"/>
          <w:szCs w:val="22"/>
        </w:rPr>
        <w:t>, N=5</w:t>
      </w:r>
      <w:bookmarkEnd w:id="6"/>
      <w:r>
        <w:rPr>
          <w:rFonts w:hint="eastAsia" w:ascii="Arial" w:hAnsi="Arial" w:eastAsia="黑体" w:cs="Arial"/>
          <w:sz w:val="22"/>
          <w:szCs w:val="22"/>
        </w:rPr>
        <w:t>. (b) Photos of lung metastas</w:t>
      </w:r>
      <w:r>
        <w:rPr>
          <w:rFonts w:hint="eastAsia" w:ascii="Arial" w:hAnsi="Arial" w:eastAsia="黑体" w:cs="Arial"/>
          <w:sz w:val="22"/>
          <w:szCs w:val="22"/>
          <w:lang w:val="en-US" w:eastAsia="zh-CN"/>
        </w:rPr>
        <w:t>e</w:t>
      </w:r>
      <w:r>
        <w:rPr>
          <w:rFonts w:hint="eastAsia" w:ascii="Arial" w:hAnsi="Arial" w:eastAsia="黑体" w:cs="Arial"/>
          <w:sz w:val="22"/>
          <w:szCs w:val="22"/>
        </w:rPr>
        <w:t>s.</w:t>
      </w:r>
    </w:p>
    <w:p>
      <w:pPr>
        <w:jc w:val="left"/>
        <w:rPr>
          <w:rFonts w:hint="eastAsia" w:ascii="Arial" w:hAnsi="Arial" w:eastAsia="黑体" w:cs="Arial"/>
          <w:sz w:val="22"/>
          <w:szCs w:val="22"/>
        </w:rPr>
      </w:pPr>
    </w:p>
    <w:p>
      <w:pPr>
        <w:jc w:val="center"/>
        <w:rPr>
          <w:rFonts w:ascii="Arial" w:hAnsi="Arial" w:cs="Arial"/>
          <w:sz w:val="22"/>
          <w:szCs w:val="22"/>
        </w:rPr>
      </w:pPr>
      <w:r>
        <w:rPr>
          <w:rFonts w:hint="eastAsia" w:ascii="Arial" w:hAnsi="Arial" w:cs="Arial"/>
          <w:sz w:val="22"/>
          <w:szCs w:val="22"/>
          <w:lang w:val="en-PH" w:eastAsia="en-PH"/>
        </w:rPr>
        <w:drawing>
          <wp:inline distT="0" distB="0" distL="114300" distR="114300">
            <wp:extent cx="4856480" cy="3445510"/>
            <wp:effectExtent l="0" t="0" r="0" b="0"/>
            <wp:docPr id="5" name="图片 5" descr="D:\!!!!!!! 肯兔儿的家当\论文\202206-202303 TCIPA\20230504 第4投 JECCR\20230820 major revision\response to reviewers\response ref+data\fig2s.tiffig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!!!!!!! 肯兔儿的家当\论文\202206-202303 TCIPA\20230504 第4投 JECCR\20230820 major revision\response to reviewers\response ref+data\fig2s.tiffig2s"/>
                    <pic:cNvPicPr>
                      <a:picLocks noChangeAspect="1"/>
                    </pic:cNvPicPr>
                  </pic:nvPicPr>
                  <pic:blipFill>
                    <a:blip r:embed="rId5"/>
                    <a:srcRect b="-3176"/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3445510"/>
                    </a:xfrm>
                    <a:prstGeom prst="rect">
                      <a:avLst/>
                    </a:prstGeom>
                    <a:ln w="381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Arial" w:hAnsi="Arial" w:eastAsia="黑体" w:cs="Arial"/>
          <w:sz w:val="22"/>
          <w:szCs w:val="22"/>
          <w:highlight w:val="none"/>
        </w:rPr>
      </w:pPr>
      <w:r>
        <w:rPr>
          <w:rFonts w:hint="eastAsia" w:ascii="Arial" w:hAnsi="Arial" w:cs="Arial"/>
          <w:b/>
          <w:bCs/>
          <w:sz w:val="22"/>
          <w:szCs w:val="22"/>
        </w:rPr>
        <w:t xml:space="preserve">Figure S2. Tumor cells induced platelet aggregation by </w:t>
      </w:r>
      <w:r>
        <w:rPr>
          <w:rFonts w:ascii="Arial" w:hAnsi="Arial" w:eastAsia="黑体" w:cs="Arial"/>
          <w:b/>
          <w:bCs/>
          <w:sz w:val="22"/>
          <w:szCs w:val="22"/>
        </w:rPr>
        <w:t>LTA</w:t>
      </w:r>
      <w:r>
        <w:rPr>
          <w:rFonts w:hint="eastAsia" w:ascii="Arial" w:hAnsi="Arial" w:eastAsia="黑体" w:cs="Arial"/>
          <w:b/>
          <w:bCs/>
          <w:sz w:val="22"/>
          <w:szCs w:val="22"/>
        </w:rPr>
        <w:t xml:space="preserve"> assay.</w:t>
      </w:r>
      <w:r>
        <w:rPr>
          <w:rFonts w:hint="eastAsia" w:ascii="Arial" w:hAnsi="Arial" w:eastAsia="黑体" w:cs="Arial"/>
          <w:sz w:val="22"/>
          <w:szCs w:val="22"/>
        </w:rPr>
        <w:t xml:space="preserve"> </w:t>
      </w:r>
      <w:bookmarkStart w:id="12" w:name="OLE_LINK16"/>
      <w:r>
        <w:rPr>
          <w:rFonts w:hint="eastAsia" w:ascii="Arial" w:hAnsi="Arial" w:eastAsia="黑体" w:cs="Arial"/>
          <w:sz w:val="22"/>
          <w:szCs w:val="22"/>
        </w:rPr>
        <w:t xml:space="preserve">(a) FaDu cells in different concentrations induced platelet aggregation. </w:t>
      </w:r>
      <w:bookmarkStart w:id="13" w:name="OLE_LINK11"/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FaDu cells at a final concentration of </w:t>
      </w:r>
      <w:r>
        <w:rPr>
          <w:rFonts w:ascii="Arial" w:hAnsi="Arial" w:eastAsia="黑体" w:cs="Arial"/>
          <w:sz w:val="22"/>
          <w:szCs w:val="22"/>
          <w:highlight w:val="none"/>
        </w:rPr>
        <w:t>1×10</w:t>
      </w:r>
      <w:r>
        <w:rPr>
          <w:rFonts w:ascii="Arial" w:hAnsi="Arial" w:eastAsia="黑体" w:cs="Arial"/>
          <w:sz w:val="22"/>
          <w:szCs w:val="22"/>
          <w:highlight w:val="none"/>
          <w:vertAlign w:val="superscript"/>
        </w:rPr>
        <w:t>7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cells</w:t>
      </w:r>
      <w:r>
        <w:rPr>
          <w:rFonts w:ascii="Arial" w:hAnsi="Arial" w:eastAsia="黑体" w:cs="Arial"/>
          <w:sz w:val="22"/>
          <w:szCs w:val="22"/>
          <w:highlight w:val="none"/>
        </w:rPr>
        <w:t>/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>m</w:t>
      </w:r>
      <w:r>
        <w:rPr>
          <w:rFonts w:ascii="Arial" w:hAnsi="Arial" w:eastAsia="黑体" w:cs="Arial"/>
          <w:sz w:val="22"/>
          <w:szCs w:val="22"/>
          <w:highlight w:val="none"/>
        </w:rPr>
        <w:t>L</w:t>
      </w:r>
      <w:bookmarkEnd w:id="13"/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was superior to </w:t>
      </w:r>
      <w:bookmarkStart w:id="14" w:name="OLE_LINK13"/>
      <w:r>
        <w:rPr>
          <w:rFonts w:hint="eastAsia" w:ascii="Arial" w:hAnsi="Arial" w:eastAsia="黑体" w:cs="Arial"/>
          <w:sz w:val="22"/>
          <w:szCs w:val="22"/>
          <w:highlight w:val="none"/>
        </w:rPr>
        <w:t>5</w:t>
      </w:r>
      <w:r>
        <w:rPr>
          <w:rFonts w:ascii="Arial" w:hAnsi="Arial" w:eastAsia="黑体" w:cs="Arial"/>
          <w:sz w:val="22"/>
          <w:szCs w:val="22"/>
          <w:highlight w:val="none"/>
        </w:rPr>
        <w:t>×10</w:t>
      </w:r>
      <w:r>
        <w:rPr>
          <w:rFonts w:hint="eastAsia" w:ascii="Arial" w:hAnsi="Arial" w:eastAsia="黑体" w:cs="Arial"/>
          <w:sz w:val="22"/>
          <w:szCs w:val="22"/>
          <w:highlight w:val="none"/>
          <w:vertAlign w:val="superscript"/>
        </w:rPr>
        <w:t>6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cells</w:t>
      </w:r>
      <w:r>
        <w:rPr>
          <w:rFonts w:ascii="Arial" w:hAnsi="Arial" w:eastAsia="黑体" w:cs="Arial"/>
          <w:sz w:val="22"/>
          <w:szCs w:val="22"/>
          <w:highlight w:val="none"/>
        </w:rPr>
        <w:t>/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>m</w:t>
      </w:r>
      <w:r>
        <w:rPr>
          <w:rFonts w:ascii="Arial" w:hAnsi="Arial" w:eastAsia="黑体" w:cs="Arial"/>
          <w:sz w:val="22"/>
          <w:szCs w:val="22"/>
          <w:highlight w:val="none"/>
        </w:rPr>
        <w:t>L</w:t>
      </w:r>
      <w:bookmarkEnd w:id="14"/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and 1</w:t>
      </w:r>
      <w:r>
        <w:rPr>
          <w:rFonts w:ascii="Arial" w:hAnsi="Arial" w:eastAsia="黑体" w:cs="Arial"/>
          <w:sz w:val="22"/>
          <w:szCs w:val="22"/>
          <w:highlight w:val="none"/>
        </w:rPr>
        <w:t>×10</w:t>
      </w:r>
      <w:r>
        <w:rPr>
          <w:rFonts w:hint="eastAsia" w:ascii="Arial" w:hAnsi="Arial" w:eastAsia="黑体" w:cs="Arial"/>
          <w:sz w:val="22"/>
          <w:szCs w:val="22"/>
          <w:highlight w:val="none"/>
          <w:vertAlign w:val="superscript"/>
        </w:rPr>
        <w:t>6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cells</w:t>
      </w:r>
      <w:r>
        <w:rPr>
          <w:rFonts w:ascii="Arial" w:hAnsi="Arial" w:eastAsia="黑体" w:cs="Arial"/>
          <w:sz w:val="22"/>
          <w:szCs w:val="22"/>
          <w:highlight w:val="none"/>
        </w:rPr>
        <w:t>/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>m</w:t>
      </w:r>
      <w:r>
        <w:rPr>
          <w:rFonts w:ascii="Arial" w:hAnsi="Arial" w:eastAsia="黑体" w:cs="Arial"/>
          <w:sz w:val="22"/>
          <w:szCs w:val="22"/>
          <w:highlight w:val="none"/>
        </w:rPr>
        <w:t>L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in their ability to induce platelet aggregation. (b and c) Both B16 and LL/2 cell at a final concentration of </w:t>
      </w:r>
      <w:r>
        <w:rPr>
          <w:rFonts w:ascii="Arial" w:hAnsi="Arial" w:eastAsia="黑体" w:cs="Arial"/>
          <w:sz w:val="22"/>
          <w:szCs w:val="22"/>
          <w:highlight w:val="none"/>
        </w:rPr>
        <w:t>1×10</w:t>
      </w:r>
      <w:r>
        <w:rPr>
          <w:rFonts w:ascii="Arial" w:hAnsi="Arial" w:eastAsia="黑体" w:cs="Arial"/>
          <w:sz w:val="22"/>
          <w:szCs w:val="22"/>
          <w:highlight w:val="none"/>
          <w:vertAlign w:val="superscript"/>
        </w:rPr>
        <w:t>7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cells</w:t>
      </w:r>
      <w:r>
        <w:rPr>
          <w:rFonts w:ascii="Arial" w:hAnsi="Arial" w:eastAsia="黑体" w:cs="Arial"/>
          <w:sz w:val="22"/>
          <w:szCs w:val="22"/>
          <w:highlight w:val="none"/>
        </w:rPr>
        <w:t>/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>m</w:t>
      </w:r>
      <w:r>
        <w:rPr>
          <w:rFonts w:ascii="Arial" w:hAnsi="Arial" w:eastAsia="黑体" w:cs="Arial"/>
          <w:sz w:val="22"/>
          <w:szCs w:val="22"/>
          <w:highlight w:val="none"/>
        </w:rPr>
        <w:t>L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were able to induce platelet aggregation, and thrombin was used as a positive control.</w:t>
      </w:r>
      <w:bookmarkEnd w:id="12"/>
    </w:p>
    <w:p>
      <w:pPr>
        <w:jc w:val="left"/>
        <w:rPr>
          <w:rFonts w:hint="eastAsia" w:ascii="Arial" w:hAnsi="Arial" w:eastAsia="黑体" w:cs="Arial"/>
          <w:sz w:val="22"/>
          <w:szCs w:val="22"/>
          <w:highlight w:val="none"/>
        </w:rPr>
      </w:pPr>
    </w:p>
    <w:p>
      <w:pPr>
        <w:jc w:val="center"/>
        <w:rPr>
          <w:rFonts w:ascii="Arial" w:hAnsi="Arial" w:cs="Arial"/>
          <w:sz w:val="22"/>
          <w:szCs w:val="22"/>
        </w:rPr>
      </w:pPr>
      <w:r>
        <w:rPr>
          <w:rFonts w:hint="eastAsia" w:ascii="Arial" w:hAnsi="Arial" w:cs="Arial"/>
          <w:sz w:val="22"/>
          <w:szCs w:val="22"/>
          <w:lang w:val="en-PH" w:eastAsia="en-PH"/>
        </w:rPr>
        <w:drawing>
          <wp:inline distT="0" distB="0" distL="114300" distR="114300">
            <wp:extent cx="3187700" cy="1938020"/>
            <wp:effectExtent l="0" t="0" r="0" b="5080"/>
            <wp:docPr id="4" name="图片 4" descr="Supplemental figur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l figure_03"/>
                    <pic:cNvPicPr>
                      <a:picLocks noChangeAspect="1"/>
                    </pic:cNvPicPr>
                  </pic:nvPicPr>
                  <pic:blipFill>
                    <a:blip r:embed="rId6"/>
                    <a:srcRect l="2737" t="14016" r="49433" b="34291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Arial" w:hAnsi="Arial" w:eastAsia="黑体" w:cs="Arial"/>
          <w:sz w:val="22"/>
          <w:szCs w:val="22"/>
        </w:rPr>
      </w:pPr>
      <w:r>
        <w:rPr>
          <w:rFonts w:hint="eastAsia" w:ascii="Arial" w:hAnsi="Arial" w:cs="Arial"/>
          <w:b/>
          <w:bCs/>
          <w:sz w:val="22"/>
          <w:szCs w:val="22"/>
        </w:rPr>
        <w:t xml:space="preserve">Figure S3. Effect of platelet on B16 cell proliferation in vitro. </w:t>
      </w:r>
      <w:bookmarkStart w:id="15" w:name="OLE_LINK10"/>
      <w:r>
        <w:rPr>
          <w:rFonts w:hint="eastAsia" w:ascii="Arial" w:hAnsi="Arial" w:eastAsia="黑体" w:cs="Arial"/>
          <w:sz w:val="22"/>
          <w:szCs w:val="22"/>
        </w:rPr>
        <w:t>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0.05</w:t>
      </w:r>
      <w:bookmarkEnd w:id="15"/>
      <w:r>
        <w:rPr>
          <w:rFonts w:hint="eastAsia" w:ascii="Arial" w:hAnsi="Arial" w:eastAsia="黑体" w:cs="Arial"/>
          <w:sz w:val="22"/>
          <w:szCs w:val="22"/>
        </w:rPr>
        <w:t>, **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0.01, ***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0.001, N=6.</w:t>
      </w:r>
    </w:p>
    <w:p>
      <w:pPr>
        <w:jc w:val="left"/>
        <w:rPr>
          <w:rFonts w:hint="eastAsia" w:ascii="Arial" w:hAnsi="Arial" w:eastAsia="黑体" w:cs="Arial"/>
          <w:sz w:val="22"/>
          <w:szCs w:val="22"/>
        </w:rPr>
      </w:pPr>
    </w:p>
    <w:p>
      <w:pPr>
        <w:jc w:val="center"/>
        <w:rPr>
          <w:rFonts w:ascii="Arial" w:hAnsi="Arial" w:cs="Arial"/>
          <w:sz w:val="22"/>
          <w:szCs w:val="22"/>
        </w:rPr>
      </w:pPr>
      <w:r>
        <w:rPr>
          <w:rFonts w:hint="eastAsia" w:ascii="Arial" w:hAnsi="Arial" w:cs="Arial"/>
          <w:sz w:val="22"/>
          <w:szCs w:val="22"/>
          <w:lang w:val="en-PH" w:eastAsia="en-PH"/>
        </w:rPr>
        <w:drawing>
          <wp:inline distT="0" distB="0" distL="114300" distR="114300">
            <wp:extent cx="5692775" cy="3056890"/>
            <wp:effectExtent l="0" t="0" r="9525" b="3810"/>
            <wp:docPr id="3" name="图片 3" descr="C:/Users/HP/Desktop/S3.tif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HP/Desktop/S3.tifS3"/>
                    <pic:cNvPicPr>
                      <a:picLocks noChangeAspect="1"/>
                    </pic:cNvPicPr>
                  </pic:nvPicPr>
                  <pic:blipFill>
                    <a:blip r:embed="rId7"/>
                    <a:srcRect t="-490" b="2372"/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Arial" w:hAnsi="Arial" w:cs="Arial"/>
          <w:sz w:val="22"/>
          <w:szCs w:val="22"/>
        </w:rPr>
      </w:pPr>
      <w:r>
        <w:rPr>
          <w:rFonts w:hint="eastAsia" w:ascii="Arial" w:hAnsi="Arial" w:cs="Arial"/>
          <w:b/>
          <w:bCs/>
          <w:sz w:val="22"/>
          <w:szCs w:val="22"/>
        </w:rPr>
        <w:t xml:space="preserve">Figure S4. </w:t>
      </w:r>
      <w:bookmarkStart w:id="16" w:name="OLE_LINK7"/>
      <w:r>
        <w:rPr>
          <w:rFonts w:hint="eastAsia" w:ascii="Arial" w:hAnsi="Arial" w:cs="Arial"/>
          <w:b/>
          <w:bCs/>
          <w:sz w:val="22"/>
          <w:szCs w:val="22"/>
        </w:rPr>
        <w:t>The stimulation of platelet on migration varies considerably in different tumor cell lines in vitro.</w:t>
      </w:r>
      <w:r>
        <w:rPr>
          <w:rFonts w:hint="eastAsia" w:ascii="Arial" w:hAnsi="Arial" w:cs="Arial"/>
          <w:sz w:val="22"/>
          <w:szCs w:val="22"/>
        </w:rPr>
        <w:t xml:space="preserve"> The migratory ability of platelet-educated FaDu cell is found to be enhanced </w:t>
      </w:r>
      <w:bookmarkEnd w:id="16"/>
      <w:r>
        <w:rPr>
          <w:rFonts w:hint="eastAsia" w:ascii="Arial" w:hAnsi="Arial" w:cs="Arial"/>
          <w:sz w:val="22"/>
          <w:szCs w:val="22"/>
        </w:rPr>
        <w:t xml:space="preserve">compared to </w:t>
      </w:r>
      <w:r>
        <w:rPr>
          <w:rFonts w:hint="eastAsia" w:ascii="Arial" w:hAnsi="Arial" w:cs="Arial"/>
          <w:sz w:val="22"/>
          <w:szCs w:val="22"/>
          <w:lang w:val="en-US" w:eastAsia="zh-CN"/>
        </w:rPr>
        <w:t>FaDu cell itself</w:t>
      </w:r>
      <w:r>
        <w:rPr>
          <w:rFonts w:hint="eastAsia" w:ascii="Arial" w:hAnsi="Arial" w:cs="Arial"/>
          <w:sz w:val="22"/>
          <w:szCs w:val="22"/>
        </w:rPr>
        <w:t xml:space="preserve">. </w:t>
      </w:r>
      <w:bookmarkStart w:id="17" w:name="OLE_LINK9"/>
      <w:r>
        <w:rPr>
          <w:rFonts w:hint="eastAsia" w:ascii="Arial" w:hAnsi="Arial" w:cs="Arial"/>
          <w:sz w:val="22"/>
          <w:szCs w:val="22"/>
          <w:lang w:val="en-US" w:eastAsia="zh-CN"/>
        </w:rPr>
        <w:t>(</w:t>
      </w:r>
      <w:r>
        <w:rPr>
          <w:rFonts w:hint="eastAsia" w:ascii="Arial" w:hAnsi="Arial" w:cs="Arial"/>
          <w:sz w:val="22"/>
          <w:szCs w:val="22"/>
        </w:rPr>
        <w:t xml:space="preserve">a and </w:t>
      </w:r>
      <w:r>
        <w:rPr>
          <w:rFonts w:hint="eastAsia" w:ascii="Arial" w:hAnsi="Arial" w:cs="Arial"/>
          <w:sz w:val="22"/>
          <w:szCs w:val="22"/>
          <w:lang w:val="en-US" w:eastAsia="zh-CN"/>
        </w:rPr>
        <w:t xml:space="preserve">d, </w:t>
      </w:r>
      <w:r>
        <w:rPr>
          <w:rFonts w:hint="eastAsia" w:ascii="Arial" w:hAnsi="Arial" w:eastAsia="黑体" w:cs="Arial"/>
          <w:sz w:val="22"/>
          <w:szCs w:val="22"/>
        </w:rPr>
        <w:t>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0.05, N=3</w:t>
      </w:r>
      <w:bookmarkEnd w:id="17"/>
      <w:r>
        <w:rPr>
          <w:rFonts w:hint="eastAsia" w:ascii="Arial" w:hAnsi="Arial" w:eastAsia="黑体" w:cs="Arial"/>
          <w:sz w:val="22"/>
          <w:szCs w:val="22"/>
          <w:lang w:val="en-US" w:eastAsia="zh-CN"/>
        </w:rPr>
        <w:t>)</w:t>
      </w:r>
      <w:r>
        <w:rPr>
          <w:rFonts w:hint="eastAsia" w:ascii="Arial" w:hAnsi="Arial" w:eastAsia="黑体" w:cs="Arial"/>
          <w:sz w:val="22"/>
          <w:szCs w:val="22"/>
        </w:rPr>
        <w:t xml:space="preserve">. </w:t>
      </w:r>
      <w:r>
        <w:rPr>
          <w:rFonts w:hint="eastAsia" w:ascii="Arial" w:hAnsi="Arial" w:cs="Arial"/>
          <w:sz w:val="22"/>
          <w:szCs w:val="22"/>
        </w:rPr>
        <w:t xml:space="preserve">The phenomenon is also verified in LL/2 (b and </w:t>
      </w:r>
      <w:r>
        <w:rPr>
          <w:rFonts w:hint="eastAsia" w:ascii="Arial" w:hAnsi="Arial" w:cs="Arial"/>
          <w:sz w:val="22"/>
          <w:szCs w:val="22"/>
          <w:lang w:val="en-US" w:eastAsia="zh-CN"/>
        </w:rPr>
        <w:t>e</w:t>
      </w:r>
      <w:r>
        <w:rPr>
          <w:rFonts w:hint="eastAsia" w:ascii="Arial" w:hAnsi="Arial" w:cs="Arial"/>
          <w:sz w:val="22"/>
          <w:szCs w:val="22"/>
        </w:rPr>
        <w:t>, N=3) ,and A2780 cell lines (</w:t>
      </w:r>
      <w:r>
        <w:rPr>
          <w:rFonts w:hint="eastAsia" w:ascii="Arial" w:hAnsi="Arial" w:cs="Arial"/>
          <w:sz w:val="22"/>
          <w:szCs w:val="22"/>
          <w:lang w:val="en-US" w:eastAsia="zh-CN"/>
        </w:rPr>
        <w:t>c</w:t>
      </w:r>
      <w:r>
        <w:rPr>
          <w:rFonts w:hint="eastAsia" w:ascii="Arial" w:hAnsi="Arial" w:cs="Arial"/>
          <w:sz w:val="22"/>
          <w:szCs w:val="22"/>
        </w:rPr>
        <w:t xml:space="preserve"> and f, </w:t>
      </w:r>
      <w:r>
        <w:rPr>
          <w:rFonts w:hint="eastAsia" w:ascii="Arial" w:hAnsi="Arial" w:eastAsia="黑体" w:cs="Arial"/>
          <w:sz w:val="22"/>
          <w:szCs w:val="22"/>
        </w:rPr>
        <w:t>***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0.001, N=5</w:t>
      </w:r>
      <w:r>
        <w:rPr>
          <w:rFonts w:hint="eastAsia" w:ascii="Arial" w:hAnsi="Arial" w:cs="Arial"/>
          <w:sz w:val="22"/>
          <w:szCs w:val="22"/>
        </w:rPr>
        <w:t>).</w:t>
      </w:r>
    </w:p>
    <w:p>
      <w:pPr>
        <w:jc w:val="left"/>
        <w:rPr>
          <w:rFonts w:hint="eastAsia" w:ascii="Arial" w:hAnsi="Arial" w:cs="Arial"/>
          <w:sz w:val="22"/>
          <w:szCs w:val="22"/>
        </w:rPr>
      </w:pPr>
    </w:p>
    <w:p>
      <w:pPr>
        <w:jc w:val="center"/>
        <w:rPr>
          <w:rFonts w:ascii="Arial" w:hAnsi="Arial" w:eastAsia="黑体" w:cs="Arial"/>
          <w:sz w:val="22"/>
          <w:szCs w:val="22"/>
        </w:rPr>
      </w:pPr>
      <w:r>
        <w:rPr>
          <w:rFonts w:hint="eastAsia" w:ascii="Arial" w:hAnsi="Arial" w:eastAsia="黑体" w:cs="Arial"/>
          <w:sz w:val="22"/>
          <w:szCs w:val="22"/>
          <w:lang w:val="en-PH" w:eastAsia="en-PH"/>
        </w:rPr>
        <w:drawing>
          <wp:inline distT="0" distB="0" distL="114300" distR="114300">
            <wp:extent cx="3919220" cy="2278380"/>
            <wp:effectExtent l="0" t="0" r="5080" b="7620"/>
            <wp:docPr id="6" name="图片 6" descr="Supplemental figur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l figure_04"/>
                    <pic:cNvPicPr>
                      <a:picLocks noChangeAspect="1"/>
                    </pic:cNvPicPr>
                  </pic:nvPicPr>
                  <pic:blipFill>
                    <a:blip r:embed="rId8"/>
                    <a:srcRect l="8211" t="12259" r="33434" b="27454"/>
                    <a:stretch>
                      <a:fillRect/>
                    </a:stretch>
                  </pic:blipFill>
                  <pic:spPr>
                    <a:xfrm>
                      <a:off x="0" y="0"/>
                      <a:ext cx="391922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Arial" w:hAnsi="Arial" w:eastAsia="黑体" w:cs="Arial"/>
          <w:sz w:val="22"/>
          <w:szCs w:val="22"/>
        </w:rPr>
      </w:pPr>
      <w:r>
        <w:rPr>
          <w:rFonts w:hint="eastAsia" w:ascii="Arial" w:hAnsi="Arial" w:eastAsia="黑体" w:cs="Arial"/>
          <w:b/>
          <w:bCs/>
          <w:sz w:val="22"/>
          <w:szCs w:val="22"/>
        </w:rPr>
        <w:t xml:space="preserve">Figure S5. The spleen and thymus index of </w:t>
      </w:r>
      <w:r>
        <w:rPr>
          <w:rFonts w:ascii="Arial" w:hAnsi="Arial" w:eastAsia="黑体" w:cs="Arial"/>
          <w:b/>
          <w:bCs/>
          <w:sz w:val="22"/>
          <w:szCs w:val="22"/>
        </w:rPr>
        <w:t>TCIPA metastatic melanoma model</w:t>
      </w:r>
      <w:r>
        <w:rPr>
          <w:rFonts w:hint="eastAsia" w:ascii="Arial" w:hAnsi="Arial" w:eastAsia="黑体" w:cs="Arial"/>
          <w:b/>
          <w:bCs/>
          <w:sz w:val="22"/>
          <w:szCs w:val="22"/>
        </w:rPr>
        <w:t xml:space="preserve"> </w:t>
      </w:r>
      <w:r>
        <w:rPr>
          <w:rFonts w:ascii="Arial" w:hAnsi="Arial" w:eastAsia="黑体" w:cs="Arial"/>
          <w:b/>
          <w:bCs/>
          <w:sz w:val="22"/>
          <w:szCs w:val="22"/>
        </w:rPr>
        <w:t>(B16+PLT model)</w:t>
      </w:r>
      <w:r>
        <w:rPr>
          <w:rFonts w:hint="eastAsia" w:ascii="Arial" w:hAnsi="Arial" w:eastAsia="黑体" w:cs="Arial"/>
          <w:b/>
          <w:bCs/>
          <w:sz w:val="22"/>
          <w:szCs w:val="22"/>
        </w:rPr>
        <w:t>.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(a) Spleen index (</w:t>
      </w:r>
      <w:r>
        <w:rPr>
          <w:rFonts w:ascii="Arial" w:hAnsi="Arial" w:cs="Arial"/>
          <w:sz w:val="22"/>
          <w:szCs w:val="22"/>
          <w:highlight w:val="none"/>
        </w:rPr>
        <w:t>spleen weight/body weight×100</w:t>
      </w:r>
      <w:r>
        <w:rPr>
          <w:rFonts w:hint="eastAsia" w:ascii="Arial" w:hAnsi="Arial" w:cs="Arial"/>
          <w:sz w:val="22"/>
          <w:szCs w:val="22"/>
          <w:highlight w:val="none"/>
        </w:rPr>
        <w:t>).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 xml:space="preserve"> (b) Thymus index (</w:t>
      </w:r>
      <w:r>
        <w:rPr>
          <w:rFonts w:hint="eastAsia" w:ascii="Arial" w:hAnsi="Arial" w:cs="Arial"/>
          <w:sz w:val="22"/>
          <w:szCs w:val="22"/>
          <w:highlight w:val="none"/>
        </w:rPr>
        <w:t>thymus</w:t>
      </w:r>
      <w:r>
        <w:rPr>
          <w:rFonts w:ascii="Arial" w:hAnsi="Arial" w:cs="Arial"/>
          <w:sz w:val="22"/>
          <w:szCs w:val="22"/>
          <w:highlight w:val="none"/>
        </w:rPr>
        <w:t xml:space="preserve"> weight/body weight×100</w:t>
      </w:r>
      <w:r>
        <w:rPr>
          <w:rFonts w:hint="eastAsia" w:ascii="Arial" w:hAnsi="Arial" w:eastAsia="黑体" w:cs="Arial"/>
          <w:sz w:val="22"/>
          <w:szCs w:val="22"/>
          <w:highlight w:val="none"/>
        </w:rPr>
        <w:t>).</w:t>
      </w:r>
      <w:r>
        <w:rPr>
          <w:rFonts w:hint="eastAsia" w:ascii="Arial" w:hAnsi="Arial" w:eastAsia="黑体" w:cs="Arial"/>
          <w:sz w:val="22"/>
          <w:szCs w:val="22"/>
        </w:rPr>
        <w:t xml:space="preserve"> 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0.05, **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 xml:space="preserve">0.01, </w:t>
      </w:r>
      <w:r>
        <w:rPr>
          <w:rFonts w:hint="eastAsia" w:ascii="Arial" w:hAnsi="Arial" w:eastAsia="黑体" w:cs="Arial"/>
          <w:sz w:val="22"/>
          <w:szCs w:val="22"/>
        </w:rPr>
        <w:t>**</w:t>
      </w:r>
      <w:r>
        <w:rPr>
          <w:rFonts w:hint="eastAsia" w:ascii="Arial" w:hAnsi="Arial" w:eastAsia="黑体" w:cs="Arial"/>
          <w:sz w:val="22"/>
          <w:szCs w:val="22"/>
          <w:lang w:val="en-US" w:eastAsia="zh-CN"/>
        </w:rPr>
        <w:t>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</w:t>
      </w:r>
      <w:r>
        <w:rPr>
          <w:rFonts w:hint="eastAsia" w:ascii="Arial" w:hAnsi="Arial" w:eastAsia="黑体" w:cs="Arial"/>
          <w:sz w:val="22"/>
          <w:szCs w:val="22"/>
          <w:lang w:val="en-US" w:eastAsia="zh-CN"/>
        </w:rPr>
        <w:t>0</w:t>
      </w:r>
      <w:r>
        <w:rPr>
          <w:rFonts w:hint="eastAsia" w:ascii="Arial" w:hAnsi="Arial" w:eastAsia="黑体" w:cs="Arial"/>
          <w:sz w:val="22"/>
          <w:szCs w:val="22"/>
        </w:rPr>
        <w:t>1</w:t>
      </w:r>
      <w:r>
        <w:rPr>
          <w:rFonts w:hint="eastAsia" w:ascii="Arial" w:hAnsi="Arial" w:eastAsia="黑体" w:cs="Arial"/>
          <w:sz w:val="22"/>
          <w:szCs w:val="22"/>
          <w:lang w:val="en-US" w:eastAsia="zh-CN"/>
        </w:rPr>
        <w:t xml:space="preserve">, </w:t>
      </w:r>
      <w:r>
        <w:rPr>
          <w:rFonts w:hint="eastAsia" w:ascii="Arial" w:hAnsi="Arial" w:eastAsia="黑体" w:cs="Arial"/>
          <w:sz w:val="22"/>
          <w:szCs w:val="22"/>
        </w:rPr>
        <w:t>N=5.</w:t>
      </w:r>
    </w:p>
    <w:p>
      <w:pPr>
        <w:jc w:val="left"/>
        <w:rPr>
          <w:rFonts w:hint="eastAsia" w:ascii="Arial" w:hAnsi="Arial" w:eastAsia="黑体" w:cs="Arial"/>
          <w:sz w:val="22"/>
          <w:szCs w:val="22"/>
        </w:rPr>
      </w:pPr>
    </w:p>
    <w:p>
      <w:pPr>
        <w:jc w:val="center"/>
        <w:rPr>
          <w:rFonts w:ascii="Arial" w:hAnsi="Arial" w:eastAsia="黑体" w:cs="Arial"/>
          <w:sz w:val="22"/>
          <w:szCs w:val="22"/>
        </w:rPr>
      </w:pPr>
      <w:r>
        <w:rPr>
          <w:rFonts w:ascii="Arial" w:hAnsi="Arial" w:eastAsia="黑体" w:cs="Arial"/>
          <w:sz w:val="22"/>
          <w:szCs w:val="22"/>
          <w:lang w:val="en-PH" w:eastAsia="en-PH"/>
        </w:rPr>
        <w:drawing>
          <wp:inline distT="0" distB="0" distL="114300" distR="114300">
            <wp:extent cx="5950585" cy="3171825"/>
            <wp:effectExtent l="0" t="0" r="5715" b="3175"/>
            <wp:docPr id="7" name="图片 7" descr="Supplemental figur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l figure_05"/>
                    <pic:cNvPicPr>
                      <a:picLocks noChangeAspect="1"/>
                    </pic:cNvPicPr>
                  </pic:nvPicPr>
                  <pic:blipFill>
                    <a:blip r:embed="rId9"/>
                    <a:srcRect t="9730" r="4714"/>
                    <a:stretch>
                      <a:fillRect/>
                    </a:stretch>
                  </pic:blipFill>
                  <pic:spPr>
                    <a:xfrm>
                      <a:off x="0" y="0"/>
                      <a:ext cx="595058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Arial" w:hAnsi="Arial" w:eastAsia="黑体" w:cs="Arial"/>
          <w:sz w:val="22"/>
          <w:szCs w:val="22"/>
        </w:rPr>
      </w:pPr>
      <w:r>
        <w:rPr>
          <w:rFonts w:hint="eastAsia" w:ascii="Arial" w:hAnsi="Arial" w:eastAsia="黑体" w:cs="Arial"/>
          <w:b/>
          <w:bCs/>
          <w:sz w:val="22"/>
          <w:szCs w:val="22"/>
        </w:rPr>
        <w:t>Figure S6. The immune cells altered by TCIPA in TIME.</w:t>
      </w:r>
      <w:r>
        <w:rPr>
          <w:rFonts w:hint="eastAsia" w:ascii="Arial" w:hAnsi="Arial" w:eastAsia="黑体" w:cs="Arial"/>
          <w:sz w:val="22"/>
          <w:szCs w:val="22"/>
        </w:rPr>
        <w:t xml:space="preserve"> (a) </w:t>
      </w:r>
      <w:r>
        <w:rPr>
          <w:rFonts w:hint="eastAsia" w:ascii="Arial" w:hAnsi="Arial" w:eastAsia="黑体" w:cs="Arial"/>
          <w:sz w:val="24"/>
        </w:rPr>
        <w:t>T</w:t>
      </w:r>
      <w:r>
        <w:rPr>
          <w:rFonts w:hint="eastAsia" w:ascii="Arial" w:hAnsi="Arial" w:eastAsia="黑体" w:cs="Arial"/>
          <w:sz w:val="22"/>
          <w:szCs w:val="22"/>
        </w:rPr>
        <w:t>he percentage of CD4</w:t>
      </w:r>
      <w:r>
        <w:rPr>
          <w:rFonts w:hint="eastAsia" w:ascii="Arial" w:hAnsi="Arial" w:eastAsia="黑体" w:cs="Arial"/>
          <w:sz w:val="24"/>
          <w:vertAlign w:val="superscript"/>
        </w:rPr>
        <w:t>+</w:t>
      </w:r>
      <w:r>
        <w:rPr>
          <w:rFonts w:hint="eastAsia" w:ascii="Arial" w:hAnsi="Arial" w:eastAsia="黑体" w:cs="Arial"/>
          <w:sz w:val="22"/>
          <w:szCs w:val="22"/>
        </w:rPr>
        <w:t xml:space="preserve"> and CD8</w:t>
      </w:r>
      <w:r>
        <w:rPr>
          <w:rFonts w:hint="eastAsia" w:ascii="Arial" w:hAnsi="Arial" w:eastAsia="黑体" w:cs="Arial"/>
          <w:sz w:val="24"/>
          <w:vertAlign w:val="superscript"/>
        </w:rPr>
        <w:t>+</w:t>
      </w:r>
      <w:r>
        <w:rPr>
          <w:rFonts w:hint="eastAsia" w:ascii="Arial" w:hAnsi="Arial" w:eastAsia="黑体" w:cs="Arial"/>
          <w:sz w:val="24"/>
        </w:rPr>
        <w:t xml:space="preserve"> T cells </w:t>
      </w:r>
      <w:r>
        <w:rPr>
          <w:rFonts w:hint="eastAsia" w:ascii="Arial" w:hAnsi="Arial" w:eastAsia="黑体" w:cs="Arial"/>
          <w:sz w:val="22"/>
          <w:szCs w:val="22"/>
        </w:rPr>
        <w:t>in spleen. (b) The percentage of NK cells in the primary tumor and their PD-1 expression. (c) The percentage of NKT cells and their PD-1 expression</w:t>
      </w:r>
      <w:r>
        <w:rPr>
          <w:rFonts w:hint="eastAsia" w:ascii="Arial" w:hAnsi="Arial" w:eastAsia="黑体" w:cs="Arial"/>
          <w:sz w:val="22"/>
          <w:szCs w:val="22"/>
          <w:lang w:val="en-US" w:eastAsia="zh-CN"/>
        </w:rPr>
        <w:t xml:space="preserve"> in lung metastases</w:t>
      </w:r>
      <w:r>
        <w:rPr>
          <w:rFonts w:hint="eastAsia" w:ascii="Arial" w:hAnsi="Arial" w:eastAsia="黑体" w:cs="Arial"/>
          <w:sz w:val="22"/>
          <w:szCs w:val="22"/>
        </w:rPr>
        <w:t>. (d) The percentage of Treg cells and their PD-1 expression</w:t>
      </w:r>
      <w:r>
        <w:rPr>
          <w:rFonts w:hint="eastAsia" w:ascii="Arial" w:hAnsi="Arial" w:eastAsia="黑体" w:cs="Arial"/>
          <w:sz w:val="22"/>
          <w:szCs w:val="22"/>
          <w:lang w:val="en-US" w:eastAsia="zh-CN"/>
        </w:rPr>
        <w:t xml:space="preserve"> </w:t>
      </w:r>
      <w:r>
        <w:rPr>
          <w:rFonts w:hint="eastAsia" w:ascii="Arial" w:hAnsi="Arial" w:eastAsia="黑体" w:cs="Arial"/>
          <w:sz w:val="22"/>
          <w:szCs w:val="22"/>
          <w:lang w:val="en-US" w:eastAsia="zh-CN"/>
        </w:rPr>
        <w:t>in lung metastases</w:t>
      </w:r>
      <w:bookmarkStart w:id="18" w:name="_GoBack"/>
      <w:bookmarkEnd w:id="18"/>
      <w:r>
        <w:rPr>
          <w:rFonts w:hint="eastAsia" w:ascii="Arial" w:hAnsi="Arial" w:eastAsia="黑体" w:cs="Arial"/>
          <w:sz w:val="22"/>
          <w:szCs w:val="22"/>
        </w:rPr>
        <w:t>. 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0.05, **</w:t>
      </w:r>
      <w:r>
        <w:rPr>
          <w:rFonts w:hint="eastAsia" w:ascii="Arial" w:hAnsi="Arial" w:eastAsia="黑体" w:cs="Arial"/>
          <w:i/>
          <w:iCs/>
          <w:sz w:val="22"/>
          <w:szCs w:val="22"/>
        </w:rPr>
        <w:t>p</w:t>
      </w:r>
      <w:r>
        <w:rPr>
          <w:rFonts w:ascii="Arial" w:hAnsi="Arial" w:eastAsia="黑体" w:cs="Arial"/>
          <w:sz w:val="22"/>
          <w:szCs w:val="22"/>
        </w:rPr>
        <w:t>≤</w:t>
      </w:r>
      <w:r>
        <w:rPr>
          <w:rFonts w:hint="eastAsia" w:ascii="Arial" w:hAnsi="Arial" w:eastAsia="黑体" w:cs="Arial"/>
          <w:sz w:val="22"/>
          <w:szCs w:val="22"/>
        </w:rPr>
        <w:t>0.01, N=3.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mYjEyYWRiZTc0ODUzOTE1ZDRjNzVkMWY1ZTEwNTIifQ=="/>
  </w:docVars>
  <w:rsids>
    <w:rsidRoot w:val="00DC0C35"/>
    <w:rsid w:val="00842526"/>
    <w:rsid w:val="00DC0C35"/>
    <w:rsid w:val="00FB11EA"/>
    <w:rsid w:val="04F33787"/>
    <w:rsid w:val="06B31420"/>
    <w:rsid w:val="06DE7852"/>
    <w:rsid w:val="086825E3"/>
    <w:rsid w:val="19516FA3"/>
    <w:rsid w:val="1AD35223"/>
    <w:rsid w:val="1B7D6A50"/>
    <w:rsid w:val="1C476C14"/>
    <w:rsid w:val="1FE36A5B"/>
    <w:rsid w:val="20D81BBD"/>
    <w:rsid w:val="20DB4A94"/>
    <w:rsid w:val="24B56B6D"/>
    <w:rsid w:val="25D36F91"/>
    <w:rsid w:val="27C92543"/>
    <w:rsid w:val="2865049F"/>
    <w:rsid w:val="29BB241D"/>
    <w:rsid w:val="2A704895"/>
    <w:rsid w:val="2C70553A"/>
    <w:rsid w:val="333F17C2"/>
    <w:rsid w:val="37D01583"/>
    <w:rsid w:val="38593C76"/>
    <w:rsid w:val="3C815AE6"/>
    <w:rsid w:val="3CF51E0D"/>
    <w:rsid w:val="403339A5"/>
    <w:rsid w:val="408B24EB"/>
    <w:rsid w:val="430D3E24"/>
    <w:rsid w:val="43591BCF"/>
    <w:rsid w:val="43755718"/>
    <w:rsid w:val="43AE0E42"/>
    <w:rsid w:val="44A5204A"/>
    <w:rsid w:val="49D16325"/>
    <w:rsid w:val="4B4B1389"/>
    <w:rsid w:val="4BD62D09"/>
    <w:rsid w:val="4BE4700F"/>
    <w:rsid w:val="4D020090"/>
    <w:rsid w:val="52CB6777"/>
    <w:rsid w:val="5B1433B1"/>
    <w:rsid w:val="5DFC11B6"/>
    <w:rsid w:val="5F05455A"/>
    <w:rsid w:val="609350F5"/>
    <w:rsid w:val="699658D9"/>
    <w:rsid w:val="69BD7DD4"/>
    <w:rsid w:val="6D6610B4"/>
    <w:rsid w:val="6D9B5C0C"/>
    <w:rsid w:val="712F509B"/>
    <w:rsid w:val="72BA34EB"/>
    <w:rsid w:val="756C07A2"/>
    <w:rsid w:val="75F2341B"/>
    <w:rsid w:val="7D943A85"/>
    <w:rsid w:val="7E92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rFonts w:ascii="Tahoma" w:hAnsi="Tahoma" w:cs="Tahoma"/>
      <w:sz w:val="16"/>
      <w:szCs w:val="16"/>
    </w:rPr>
  </w:style>
  <w:style w:type="character" w:styleId="5">
    <w:name w:val="line number"/>
    <w:basedOn w:val="4"/>
    <w:uiPriority w:val="0"/>
  </w:style>
  <w:style w:type="character" w:customStyle="1" w:styleId="6">
    <w:name w:val="Balloon Text Char"/>
    <w:basedOn w:val="4"/>
    <w:link w:val="2"/>
    <w:uiPriority w:val="0"/>
    <w:rPr>
      <w:rFonts w:ascii="Tahoma" w:hAnsi="Tahoma" w:cs="Tahoma" w:eastAsiaTheme="minorEastAsia"/>
      <w:kern w:val="2"/>
      <w:sz w:val="16"/>
      <w:szCs w:val="16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E03F5-EA08-4277-A5B6-7359DBADD8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291</Words>
  <Characters>1615</Characters>
  <Lines>13</Lines>
  <Paragraphs>3</Paragraphs>
  <TotalTime>1</TotalTime>
  <ScaleCrop>false</ScaleCrop>
  <LinksUpToDate>false</LinksUpToDate>
  <CharactersWithSpaces>1903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2022-10-23T17:22:00Z</dcterms:created>
  <dc:creator>HP</dc:creator>
  <cp:lastModifiedBy>Yu-Yi Chen</cp:lastModifiedBy>
  <dcterms:modified xsi:type="dcterms:W3CDTF">2023-10-20T05:25:13Z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4B0FBDD5083D47FC832F0BA9705CF247</vt:lpwstr>
  </property>
</Properties>
</file>