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2998" w14:textId="5B41934C" w:rsidR="00CE6AA2" w:rsidRPr="00B24230" w:rsidRDefault="0047483E" w:rsidP="00B24230">
      <w:pPr>
        <w:spacing w:line="480" w:lineRule="auto"/>
        <w:rPr>
          <w:b/>
          <w:bCs/>
          <w:szCs w:val="24"/>
        </w:rPr>
      </w:pPr>
      <w:bookmarkStart w:id="0" w:name="_Hlk136970494"/>
      <w:r>
        <w:rPr>
          <w:b/>
          <w:bCs/>
          <w:szCs w:val="24"/>
        </w:rPr>
        <w:t>Supplementary</w:t>
      </w:r>
      <w:r w:rsidRPr="009B42D9">
        <w:rPr>
          <w:b/>
          <w:bCs/>
          <w:szCs w:val="24"/>
        </w:rPr>
        <w:t xml:space="preserve"> Figure</w:t>
      </w:r>
      <w:r w:rsidR="00B24230">
        <w:rPr>
          <w:b/>
          <w:bCs/>
          <w:szCs w:val="24"/>
        </w:rPr>
        <w:t xml:space="preserve"> S6</w:t>
      </w:r>
    </w:p>
    <w:p w14:paraId="63C91B80" w14:textId="2D3F0B03" w:rsidR="00CE6AA2" w:rsidRDefault="00CE6AA2" w:rsidP="00A64404">
      <w:pPr>
        <w:spacing w:line="480" w:lineRule="auto"/>
        <w:jc w:val="both"/>
      </w:pPr>
      <w:r>
        <w:rPr>
          <w:noProof/>
        </w:rPr>
        <w:drawing>
          <wp:inline distT="0" distB="0" distL="0" distR="0" wp14:anchorId="66964628" wp14:editId="13E5A03E">
            <wp:extent cx="5486137" cy="5698541"/>
            <wp:effectExtent l="0" t="0" r="635" b="0"/>
            <wp:docPr id="1339126554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126554" name="Picture 1" descr="A screenshot of a graph&#10;&#10;Description automatically generated"/>
                    <pic:cNvPicPr/>
                  </pic:nvPicPr>
                  <pic:blipFill rotWithShape="1">
                    <a:blip r:embed="rId8"/>
                    <a:srcRect t="2483" b="16928"/>
                    <a:stretch/>
                  </pic:blipFill>
                  <pic:spPr bwMode="auto">
                    <a:xfrm>
                      <a:off x="0" y="0"/>
                      <a:ext cx="5486400" cy="5698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7BE869" w14:textId="080A3AC7" w:rsidR="00CE6AA2" w:rsidRDefault="00CE6AA2" w:rsidP="00A64404">
      <w:pPr>
        <w:spacing w:line="480" w:lineRule="auto"/>
        <w:jc w:val="both"/>
      </w:pPr>
      <w:r>
        <w:rPr>
          <w:noProof/>
        </w:rPr>
        <w:drawing>
          <wp:inline distT="0" distB="0" distL="0" distR="0" wp14:anchorId="0B7D9F91" wp14:editId="2D39A573">
            <wp:extent cx="5484495" cy="1382573"/>
            <wp:effectExtent l="0" t="0" r="1905" b="8255"/>
            <wp:docPr id="538718329" name="Picture 1" descr="A screenshot of a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718329" name="Picture 1" descr="A screenshot of a math test&#10;&#10;Description automatically generated"/>
                    <pic:cNvPicPr/>
                  </pic:nvPicPr>
                  <pic:blipFill rotWithShape="1">
                    <a:blip r:embed="rId9"/>
                    <a:srcRect t="2380" b="78062"/>
                    <a:stretch/>
                  </pic:blipFill>
                  <pic:spPr bwMode="auto">
                    <a:xfrm>
                      <a:off x="0" y="0"/>
                      <a:ext cx="5486400" cy="1383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F4DAA" w14:textId="77777777" w:rsidR="00CE6AA2" w:rsidRDefault="00CE6AA2" w:rsidP="00A64404">
      <w:pPr>
        <w:spacing w:line="480" w:lineRule="auto"/>
        <w:jc w:val="both"/>
      </w:pPr>
    </w:p>
    <w:p w14:paraId="1634D998" w14:textId="77777777" w:rsidR="00CE6AA2" w:rsidRDefault="00CE6AA2" w:rsidP="00A64404">
      <w:pPr>
        <w:spacing w:line="480" w:lineRule="auto"/>
        <w:jc w:val="both"/>
      </w:pPr>
    </w:p>
    <w:p w14:paraId="148140DC" w14:textId="3B11158B" w:rsidR="00CE6AA2" w:rsidRDefault="00CE6AA2" w:rsidP="00A64404">
      <w:pPr>
        <w:spacing w:line="480" w:lineRule="auto"/>
        <w:jc w:val="both"/>
      </w:pPr>
      <w:r>
        <w:rPr>
          <w:noProof/>
        </w:rPr>
        <w:drawing>
          <wp:inline distT="0" distB="0" distL="0" distR="0" wp14:anchorId="1974381C" wp14:editId="27C28EF6">
            <wp:extent cx="5485896" cy="1411834"/>
            <wp:effectExtent l="0" t="0" r="635" b="0"/>
            <wp:docPr id="1304208164" name="Picture 1" descr="A screenshot of a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208164" name="Picture 1" descr="A screenshot of a math test&#10;&#10;Description automatically generated"/>
                    <pic:cNvPicPr/>
                  </pic:nvPicPr>
                  <pic:blipFill rotWithShape="1">
                    <a:blip r:embed="rId9"/>
                    <a:srcRect t="21724" b="58308"/>
                    <a:stretch/>
                  </pic:blipFill>
                  <pic:spPr bwMode="auto">
                    <a:xfrm>
                      <a:off x="0" y="0"/>
                      <a:ext cx="5486400" cy="1411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067E1" w14:textId="63A23E78" w:rsidR="00587BE3" w:rsidRPr="000B69BA" w:rsidRDefault="0047483E" w:rsidP="003D71B8">
      <w:pPr>
        <w:spacing w:line="480" w:lineRule="auto"/>
        <w:jc w:val="both"/>
        <w:rPr>
          <w:szCs w:val="24"/>
        </w:rPr>
      </w:pPr>
      <w:r w:rsidRPr="000B69BA">
        <w:rPr>
          <w:b/>
          <w:bCs/>
        </w:rPr>
        <w:t>Fig</w:t>
      </w:r>
      <w:r w:rsidR="00960AB6" w:rsidRPr="000B69BA">
        <w:rPr>
          <w:b/>
          <w:bCs/>
        </w:rPr>
        <w:t>.</w:t>
      </w:r>
      <w:r w:rsidRPr="000B69BA">
        <w:rPr>
          <w:b/>
          <w:bCs/>
        </w:rPr>
        <w:t xml:space="preserve"> S6.</w:t>
      </w:r>
      <w:r w:rsidR="003D71B8" w:rsidRPr="000B69BA">
        <w:rPr>
          <w:szCs w:val="24"/>
        </w:rPr>
        <w:t xml:space="preserve"> </w:t>
      </w:r>
      <w:r w:rsidRPr="000B69BA">
        <w:rPr>
          <w:szCs w:val="24"/>
        </w:rPr>
        <w:t>(</w:t>
      </w:r>
      <w:r w:rsidR="00D33ED2" w:rsidRPr="000B69BA">
        <w:rPr>
          <w:szCs w:val="24"/>
        </w:rPr>
        <w:t>A</w:t>
      </w:r>
      <w:r w:rsidRPr="000B69BA">
        <w:rPr>
          <w:szCs w:val="24"/>
        </w:rPr>
        <w:t xml:space="preserve">) Cell viability (MTT) assay of MCF7-PR cells after treatment with PEG10 siRNA or abemaciclib and combination of various concentrations of abemaciclib and a fixed </w:t>
      </w:r>
      <w:r w:rsidR="00E85B5E" w:rsidRPr="000B69BA">
        <w:rPr>
          <w:szCs w:val="24"/>
        </w:rPr>
        <w:t>concentration</w:t>
      </w:r>
      <w:r w:rsidRPr="000B69BA">
        <w:rPr>
          <w:szCs w:val="24"/>
        </w:rPr>
        <w:t xml:space="preserve"> of siRNA for 72 h. Three independently repeated experiments were performed with similar results. </w:t>
      </w:r>
      <w:r w:rsidR="00587BE3" w:rsidRPr="000B69BA">
        <w:rPr>
          <w:szCs w:val="24"/>
          <w:shd w:val="clear" w:color="auto" w:fill="FFFFFF"/>
        </w:rPr>
        <w:t>The CI values were calculated using the Chou–</w:t>
      </w:r>
      <w:proofErr w:type="spellStart"/>
      <w:r w:rsidR="00587BE3" w:rsidRPr="000B69BA">
        <w:rPr>
          <w:szCs w:val="24"/>
          <w:shd w:val="clear" w:color="auto" w:fill="FFFFFF"/>
        </w:rPr>
        <w:t>Talalay</w:t>
      </w:r>
      <w:proofErr w:type="spellEnd"/>
      <w:r w:rsidR="00587BE3" w:rsidRPr="000B69BA">
        <w:rPr>
          <w:szCs w:val="24"/>
          <w:shd w:val="clear" w:color="auto" w:fill="FFFFFF"/>
        </w:rPr>
        <w:t xml:space="preserve"> method. CI &lt; 1 indicates synergism.</w:t>
      </w:r>
    </w:p>
    <w:p w14:paraId="240D2F7F" w14:textId="5F304314" w:rsidR="00587BE3" w:rsidRPr="000B69BA" w:rsidRDefault="0047483E" w:rsidP="003D71B8">
      <w:pPr>
        <w:spacing w:line="480" w:lineRule="auto"/>
        <w:jc w:val="both"/>
        <w:rPr>
          <w:b/>
          <w:bCs/>
        </w:rPr>
      </w:pPr>
      <w:r w:rsidRPr="000B69BA">
        <w:t>(</w:t>
      </w:r>
      <w:r w:rsidR="00D33ED2" w:rsidRPr="000B69BA">
        <w:t>B</w:t>
      </w:r>
      <w:r w:rsidRPr="000B69BA">
        <w:t xml:space="preserve">) Cell viability (MTT) assay of MCF7-PR cells after treatment with PEG10 siRNA or ribociclib and combination </w:t>
      </w:r>
      <w:r w:rsidRPr="000B69BA">
        <w:rPr>
          <w:lang w:eastAsia="ko-KR"/>
        </w:rPr>
        <w:t>of</w:t>
      </w:r>
      <w:r w:rsidRPr="000B69BA">
        <w:t xml:space="preserve"> various concentrations of ribociclib and a fixed </w:t>
      </w:r>
      <w:r w:rsidR="00E85B5E" w:rsidRPr="000B69BA">
        <w:t>concentration</w:t>
      </w:r>
      <w:r w:rsidRPr="000B69BA">
        <w:t xml:space="preserve"> of siRNA for 72 h. Three independently repeated experiments were performed with similar results.</w:t>
      </w:r>
      <w:r w:rsidRPr="000B69BA">
        <w:rPr>
          <w:b/>
          <w:bCs/>
        </w:rPr>
        <w:t xml:space="preserve"> </w:t>
      </w:r>
      <w:r w:rsidR="00587BE3" w:rsidRPr="000B69BA">
        <w:rPr>
          <w:szCs w:val="24"/>
          <w:shd w:val="clear" w:color="auto" w:fill="FFFFFF"/>
        </w:rPr>
        <w:t>The CI values were calculated using the Chou–</w:t>
      </w:r>
      <w:proofErr w:type="spellStart"/>
      <w:r w:rsidR="00587BE3" w:rsidRPr="000B69BA">
        <w:rPr>
          <w:szCs w:val="24"/>
          <w:shd w:val="clear" w:color="auto" w:fill="FFFFFF"/>
        </w:rPr>
        <w:t>Talalay</w:t>
      </w:r>
      <w:proofErr w:type="spellEnd"/>
      <w:r w:rsidR="00587BE3" w:rsidRPr="000B69BA">
        <w:rPr>
          <w:szCs w:val="24"/>
          <w:shd w:val="clear" w:color="auto" w:fill="FFFFFF"/>
        </w:rPr>
        <w:t xml:space="preserve"> method. CI &lt; 1 indicates synergism.</w:t>
      </w:r>
    </w:p>
    <w:p w14:paraId="02D50BAE" w14:textId="5072FC54" w:rsidR="00587BE3" w:rsidRPr="000B69BA" w:rsidRDefault="0047483E" w:rsidP="003D71B8">
      <w:pPr>
        <w:spacing w:line="480" w:lineRule="auto"/>
        <w:jc w:val="both"/>
        <w:rPr>
          <w:b/>
          <w:bCs/>
        </w:rPr>
      </w:pPr>
      <w:r w:rsidRPr="000B69BA">
        <w:t>(</w:t>
      </w:r>
      <w:r w:rsidR="00D33ED2" w:rsidRPr="000B69BA">
        <w:t>C</w:t>
      </w:r>
      <w:r w:rsidRPr="000B69BA">
        <w:t xml:space="preserve">) Cell viability (MTT) assay of T47D-PR cells after treatment with PEG10 siRNA or abemaciclib and combination of various concentrations of abemaciclib and a fixed </w:t>
      </w:r>
      <w:r w:rsidR="00E85B5E" w:rsidRPr="000B69BA">
        <w:t>concentration</w:t>
      </w:r>
      <w:r w:rsidRPr="000B69BA">
        <w:t xml:space="preserve"> of siRNA for 72 h. Three independently repeated experiments were performed with similar results.</w:t>
      </w:r>
      <w:r w:rsidRPr="000B69BA">
        <w:rPr>
          <w:b/>
          <w:bCs/>
        </w:rPr>
        <w:t xml:space="preserve"> </w:t>
      </w:r>
      <w:r w:rsidR="00587BE3" w:rsidRPr="000B69BA">
        <w:rPr>
          <w:szCs w:val="24"/>
          <w:shd w:val="clear" w:color="auto" w:fill="FFFFFF"/>
        </w:rPr>
        <w:t>The CI values were calculated using the Chou–</w:t>
      </w:r>
      <w:proofErr w:type="spellStart"/>
      <w:r w:rsidR="00587BE3" w:rsidRPr="000B69BA">
        <w:rPr>
          <w:szCs w:val="24"/>
          <w:shd w:val="clear" w:color="auto" w:fill="FFFFFF"/>
        </w:rPr>
        <w:t>Talalay</w:t>
      </w:r>
      <w:proofErr w:type="spellEnd"/>
      <w:r w:rsidR="00587BE3" w:rsidRPr="000B69BA">
        <w:rPr>
          <w:szCs w:val="24"/>
          <w:shd w:val="clear" w:color="auto" w:fill="FFFFFF"/>
        </w:rPr>
        <w:t xml:space="preserve"> method. CI &lt; 1 indicates synergism. </w:t>
      </w:r>
    </w:p>
    <w:p w14:paraId="1546458C" w14:textId="6646F755" w:rsidR="00587BE3" w:rsidRPr="000B69BA" w:rsidRDefault="0047483E" w:rsidP="003D71B8">
      <w:pPr>
        <w:spacing w:line="480" w:lineRule="auto"/>
        <w:jc w:val="both"/>
      </w:pPr>
      <w:r w:rsidRPr="000B69BA">
        <w:t>(</w:t>
      </w:r>
      <w:r w:rsidR="00D33ED2" w:rsidRPr="000B69BA">
        <w:t>D</w:t>
      </w:r>
      <w:r w:rsidRPr="000B69BA">
        <w:t xml:space="preserve">) Cell viability (MTT) assay of T47D-PR cells after treatment with PEG10 siRNA or ribociclib and combination of various concentrations of ribociclib and a fixed </w:t>
      </w:r>
      <w:r w:rsidR="00E85B5E" w:rsidRPr="000B69BA">
        <w:t>concentration</w:t>
      </w:r>
      <w:r w:rsidRPr="000B69BA">
        <w:t xml:space="preserve"> of siRNA for 72 h. Three independently repeated experiments were performed with similar </w:t>
      </w:r>
      <w:r w:rsidRPr="000B69BA">
        <w:lastRenderedPageBreak/>
        <w:t xml:space="preserve">results. </w:t>
      </w:r>
      <w:bookmarkStart w:id="1" w:name="_Hlk149679018"/>
      <w:r w:rsidR="00587BE3" w:rsidRPr="000B69BA">
        <w:rPr>
          <w:szCs w:val="24"/>
          <w:shd w:val="clear" w:color="auto" w:fill="FFFFFF"/>
        </w:rPr>
        <w:t>The CI values were calculated using the Chou–</w:t>
      </w:r>
      <w:proofErr w:type="spellStart"/>
      <w:r w:rsidR="00587BE3" w:rsidRPr="000B69BA">
        <w:rPr>
          <w:szCs w:val="24"/>
          <w:shd w:val="clear" w:color="auto" w:fill="FFFFFF"/>
        </w:rPr>
        <w:t>Talalay</w:t>
      </w:r>
      <w:proofErr w:type="spellEnd"/>
      <w:r w:rsidR="00587BE3" w:rsidRPr="000B69BA">
        <w:rPr>
          <w:szCs w:val="24"/>
          <w:shd w:val="clear" w:color="auto" w:fill="FFFFFF"/>
        </w:rPr>
        <w:t xml:space="preserve"> method. CI &lt; 1 indicates synergism. </w:t>
      </w:r>
      <w:bookmarkEnd w:id="1"/>
    </w:p>
    <w:p w14:paraId="77A6FD22" w14:textId="3F9B6241" w:rsidR="00F71EAF" w:rsidRPr="000B69BA" w:rsidRDefault="0047483E" w:rsidP="00B24230">
      <w:pPr>
        <w:spacing w:line="480" w:lineRule="auto"/>
        <w:jc w:val="both"/>
        <w:rPr>
          <w:szCs w:val="24"/>
          <w:shd w:val="clear" w:color="auto" w:fill="FFFFFF"/>
        </w:rPr>
      </w:pPr>
      <w:r w:rsidRPr="000B69BA">
        <w:t>(</w:t>
      </w:r>
      <w:r w:rsidR="00D33ED2" w:rsidRPr="000B69BA">
        <w:t>E</w:t>
      </w:r>
      <w:r w:rsidRPr="000B69BA">
        <w:t>-</w:t>
      </w:r>
      <w:r w:rsidR="00D33ED2" w:rsidRPr="000B69BA">
        <w:t>F</w:t>
      </w:r>
      <w:r w:rsidRPr="000B69BA">
        <w:t xml:space="preserve">) MTT assay of MCF7 and T47D cell lines after treatment with PEG10 siRNA or palbociclib and combination of various concentrations of palbociclib and a fixed </w:t>
      </w:r>
      <w:r w:rsidR="00E85B5E" w:rsidRPr="000B69BA">
        <w:t>concentration</w:t>
      </w:r>
      <w:r w:rsidRPr="000B69BA">
        <w:t xml:space="preserve"> of siRNA for 72 h. Three independently repeated experiments were performed with similar resul</w:t>
      </w:r>
      <w:r w:rsidR="00D67130" w:rsidRPr="000B69BA">
        <w:t>t</w:t>
      </w:r>
      <w:r w:rsidR="008479F0" w:rsidRPr="000B69BA">
        <w:t>s.</w:t>
      </w:r>
      <w:r w:rsidR="00587BE3" w:rsidRPr="000B69BA">
        <w:rPr>
          <w:szCs w:val="24"/>
          <w:shd w:val="clear" w:color="auto" w:fill="FFFFFF"/>
        </w:rPr>
        <w:t xml:space="preserve"> The CI values were calculated using the Chou–</w:t>
      </w:r>
      <w:proofErr w:type="spellStart"/>
      <w:r w:rsidR="00587BE3" w:rsidRPr="000B69BA">
        <w:rPr>
          <w:szCs w:val="24"/>
          <w:shd w:val="clear" w:color="auto" w:fill="FFFFFF"/>
        </w:rPr>
        <w:t>Talalay</w:t>
      </w:r>
      <w:proofErr w:type="spellEnd"/>
      <w:r w:rsidR="00587BE3" w:rsidRPr="000B69BA">
        <w:rPr>
          <w:szCs w:val="24"/>
          <w:shd w:val="clear" w:color="auto" w:fill="FFFFFF"/>
        </w:rPr>
        <w:t xml:space="preserve"> method. CI </w:t>
      </w:r>
      <w:r w:rsidR="00C73BFA" w:rsidRPr="000B69BA">
        <w:rPr>
          <w:szCs w:val="24"/>
          <w:shd w:val="clear" w:color="auto" w:fill="FFFFFF"/>
        </w:rPr>
        <w:t>&gt;</w:t>
      </w:r>
      <w:r w:rsidR="00587BE3" w:rsidRPr="000B69BA">
        <w:rPr>
          <w:szCs w:val="24"/>
          <w:shd w:val="clear" w:color="auto" w:fill="FFFFFF"/>
        </w:rPr>
        <w:t xml:space="preserve"> 1</w:t>
      </w:r>
      <w:r w:rsidR="00C73BFA" w:rsidRPr="000B69BA">
        <w:rPr>
          <w:szCs w:val="24"/>
          <w:shd w:val="clear" w:color="auto" w:fill="FFFFFF"/>
        </w:rPr>
        <w:t xml:space="preserve"> and CI = 1</w:t>
      </w:r>
      <w:r w:rsidR="00587BE3" w:rsidRPr="000B69BA">
        <w:rPr>
          <w:szCs w:val="24"/>
          <w:shd w:val="clear" w:color="auto" w:fill="FFFFFF"/>
        </w:rPr>
        <w:t xml:space="preserve"> </w:t>
      </w:r>
      <w:r w:rsidR="00F120F9" w:rsidRPr="000B69BA">
        <w:rPr>
          <w:szCs w:val="24"/>
          <w:shd w:val="clear" w:color="auto" w:fill="FFFFFF"/>
        </w:rPr>
        <w:t>indicate</w:t>
      </w:r>
      <w:r w:rsidR="00587BE3" w:rsidRPr="000B69BA">
        <w:rPr>
          <w:szCs w:val="24"/>
          <w:shd w:val="clear" w:color="auto" w:fill="FFFFFF"/>
        </w:rPr>
        <w:t xml:space="preserve"> synergism</w:t>
      </w:r>
      <w:r w:rsidR="00C73BFA" w:rsidRPr="000B69BA">
        <w:rPr>
          <w:szCs w:val="24"/>
          <w:shd w:val="clear" w:color="auto" w:fill="FFFFFF"/>
        </w:rPr>
        <w:t xml:space="preserve"> and additive effect, respectively</w:t>
      </w:r>
      <w:r w:rsidR="00587BE3" w:rsidRPr="000B69BA">
        <w:rPr>
          <w:szCs w:val="24"/>
          <w:shd w:val="clear" w:color="auto" w:fill="FFFFFF"/>
        </w:rPr>
        <w:t>.</w:t>
      </w:r>
      <w:bookmarkEnd w:id="0"/>
      <w:r w:rsidR="00F71EAF" w:rsidRPr="000B69BA">
        <w:tab/>
      </w:r>
    </w:p>
    <w:sectPr w:rsidR="00F71EAF" w:rsidRPr="000B69BA" w:rsidSect="00A06C49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B7249" w14:textId="77777777" w:rsidR="00DC62B6" w:rsidRDefault="00DC62B6">
      <w:r>
        <w:separator/>
      </w:r>
    </w:p>
  </w:endnote>
  <w:endnote w:type="continuationSeparator" w:id="0">
    <w:p w14:paraId="657CBE42" w14:textId="77777777" w:rsidR="00DC62B6" w:rsidRDefault="00DC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nson Text LT">
    <w:altName w:val="바탕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5915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4ACDA1" w14:textId="711F9E17" w:rsidR="00F15BDE" w:rsidRDefault="00F15B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0EEFF6" w14:textId="77777777" w:rsidR="00F15BDE" w:rsidRDefault="00F15B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43A7C" w14:textId="77777777" w:rsidR="00DC62B6" w:rsidRDefault="00DC62B6">
      <w:r>
        <w:separator/>
      </w:r>
    </w:p>
  </w:footnote>
  <w:footnote w:type="continuationSeparator" w:id="0">
    <w:p w14:paraId="78CDC3F9" w14:textId="77777777" w:rsidR="00DC62B6" w:rsidRDefault="00DC6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40DC9" w14:textId="77777777" w:rsidR="00F15BDE" w:rsidRPr="005001AC" w:rsidRDefault="00F15BDE" w:rsidP="005001AC">
    <w:pPr>
      <w:jc w:val="right"/>
      <w:rPr>
        <w:sz w:val="20"/>
      </w:rPr>
    </w:pPr>
  </w:p>
  <w:p w14:paraId="0091C365" w14:textId="77777777" w:rsidR="00F15BDE" w:rsidRDefault="00F15B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262EF9"/>
    <w:multiLevelType w:val="hybridMultilevel"/>
    <w:tmpl w:val="24BA57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EB2C52"/>
    <w:multiLevelType w:val="multilevel"/>
    <w:tmpl w:val="1DA8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9640E0"/>
    <w:multiLevelType w:val="hybridMultilevel"/>
    <w:tmpl w:val="11729B6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963FF"/>
    <w:multiLevelType w:val="hybridMultilevel"/>
    <w:tmpl w:val="43A20FFE"/>
    <w:lvl w:ilvl="0" w:tplc="041866E8">
      <w:start w:val="2020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ED0A6D"/>
    <w:multiLevelType w:val="multilevel"/>
    <w:tmpl w:val="2DC2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D4926"/>
    <w:multiLevelType w:val="hybridMultilevel"/>
    <w:tmpl w:val="2FCC0058"/>
    <w:lvl w:ilvl="0" w:tplc="7FF679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97411"/>
    <w:multiLevelType w:val="hybridMultilevel"/>
    <w:tmpl w:val="3BBCFC72"/>
    <w:lvl w:ilvl="0" w:tplc="0E2899E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073D9"/>
    <w:multiLevelType w:val="hybridMultilevel"/>
    <w:tmpl w:val="1952A76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58041A"/>
    <w:multiLevelType w:val="multilevel"/>
    <w:tmpl w:val="EDDC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116BDC"/>
    <w:multiLevelType w:val="hybridMultilevel"/>
    <w:tmpl w:val="1D98BF46"/>
    <w:lvl w:ilvl="0" w:tplc="F40C2976">
      <w:start w:val="2020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487911">
    <w:abstractNumId w:val="9"/>
  </w:num>
  <w:num w:numId="2" w16cid:durableId="2041514567">
    <w:abstractNumId w:val="7"/>
  </w:num>
  <w:num w:numId="3" w16cid:durableId="637078399">
    <w:abstractNumId w:val="6"/>
  </w:num>
  <w:num w:numId="4" w16cid:durableId="845249147">
    <w:abstractNumId w:val="5"/>
  </w:num>
  <w:num w:numId="5" w16cid:durableId="1374692261">
    <w:abstractNumId w:val="4"/>
  </w:num>
  <w:num w:numId="6" w16cid:durableId="1518499756">
    <w:abstractNumId w:val="8"/>
  </w:num>
  <w:num w:numId="7" w16cid:durableId="546142704">
    <w:abstractNumId w:val="3"/>
  </w:num>
  <w:num w:numId="8" w16cid:durableId="1528135649">
    <w:abstractNumId w:val="2"/>
  </w:num>
  <w:num w:numId="9" w16cid:durableId="535898721">
    <w:abstractNumId w:val="1"/>
  </w:num>
  <w:num w:numId="10" w16cid:durableId="1738624978">
    <w:abstractNumId w:val="0"/>
  </w:num>
  <w:num w:numId="11" w16cid:durableId="1954895871">
    <w:abstractNumId w:val="10"/>
  </w:num>
  <w:num w:numId="12" w16cid:durableId="1089237068">
    <w:abstractNumId w:val="16"/>
  </w:num>
  <w:num w:numId="13" w16cid:durableId="2000309271">
    <w:abstractNumId w:val="20"/>
  </w:num>
  <w:num w:numId="14" w16cid:durableId="1236739957">
    <w:abstractNumId w:val="14"/>
  </w:num>
  <w:num w:numId="15" w16cid:durableId="365562930">
    <w:abstractNumId w:val="19"/>
  </w:num>
  <w:num w:numId="16" w16cid:durableId="567150931">
    <w:abstractNumId w:val="12"/>
  </w:num>
  <w:num w:numId="17" w16cid:durableId="124322407">
    <w:abstractNumId w:val="11"/>
  </w:num>
  <w:num w:numId="18" w16cid:durableId="1152020859">
    <w:abstractNumId w:val="15"/>
  </w:num>
  <w:num w:numId="19" w16cid:durableId="1465927745">
    <w:abstractNumId w:val="18"/>
  </w:num>
  <w:num w:numId="20" w16cid:durableId="1138181320">
    <w:abstractNumId w:val="17"/>
  </w:num>
  <w:num w:numId="21" w16cid:durableId="12442986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Cell Death Diff Copy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sw9rrs7229zle05xs5vvsostsvrd5rs2ad&quot;&gt;Syngeneic_My EndNote Library&lt;record-ids&gt;&lt;item&gt;50&lt;/item&gt;&lt;item&gt;167&lt;/item&gt;&lt;item&gt;168&lt;/item&gt;&lt;/record-ids&gt;&lt;/item&gt;&lt;/Libraries&gt;"/>
  </w:docVars>
  <w:rsids>
    <w:rsidRoot w:val="002C030F"/>
    <w:rsid w:val="000004B2"/>
    <w:rsid w:val="000113D1"/>
    <w:rsid w:val="00015F74"/>
    <w:rsid w:val="0001680B"/>
    <w:rsid w:val="00017C53"/>
    <w:rsid w:val="00030840"/>
    <w:rsid w:val="00057B8F"/>
    <w:rsid w:val="00060253"/>
    <w:rsid w:val="00065EBD"/>
    <w:rsid w:val="00072BD5"/>
    <w:rsid w:val="00075A6E"/>
    <w:rsid w:val="00083B44"/>
    <w:rsid w:val="000850DC"/>
    <w:rsid w:val="0008620C"/>
    <w:rsid w:val="000A41E4"/>
    <w:rsid w:val="000A5C51"/>
    <w:rsid w:val="000B18A1"/>
    <w:rsid w:val="000B69BA"/>
    <w:rsid w:val="000C06CC"/>
    <w:rsid w:val="000C2771"/>
    <w:rsid w:val="000C5F36"/>
    <w:rsid w:val="000C68BC"/>
    <w:rsid w:val="000D2EAE"/>
    <w:rsid w:val="000E5CAD"/>
    <w:rsid w:val="000F03E2"/>
    <w:rsid w:val="000F0DCE"/>
    <w:rsid w:val="00112C5B"/>
    <w:rsid w:val="00114193"/>
    <w:rsid w:val="00115A38"/>
    <w:rsid w:val="0011687B"/>
    <w:rsid w:val="00124F82"/>
    <w:rsid w:val="00134648"/>
    <w:rsid w:val="00137537"/>
    <w:rsid w:val="00147165"/>
    <w:rsid w:val="0016337A"/>
    <w:rsid w:val="00164269"/>
    <w:rsid w:val="001659AC"/>
    <w:rsid w:val="00172924"/>
    <w:rsid w:val="00190E18"/>
    <w:rsid w:val="001A1BDE"/>
    <w:rsid w:val="001A780E"/>
    <w:rsid w:val="001B13F7"/>
    <w:rsid w:val="001B3F42"/>
    <w:rsid w:val="001B5906"/>
    <w:rsid w:val="001B7F7D"/>
    <w:rsid w:val="001C0520"/>
    <w:rsid w:val="001C0975"/>
    <w:rsid w:val="001D439C"/>
    <w:rsid w:val="001E1209"/>
    <w:rsid w:val="001F0876"/>
    <w:rsid w:val="001F0F5F"/>
    <w:rsid w:val="001F167C"/>
    <w:rsid w:val="001F4C29"/>
    <w:rsid w:val="001F5E91"/>
    <w:rsid w:val="002005B6"/>
    <w:rsid w:val="002077B9"/>
    <w:rsid w:val="00230517"/>
    <w:rsid w:val="00236127"/>
    <w:rsid w:val="00254381"/>
    <w:rsid w:val="00262D72"/>
    <w:rsid w:val="002750B7"/>
    <w:rsid w:val="002863D1"/>
    <w:rsid w:val="00290A84"/>
    <w:rsid w:val="00294FBB"/>
    <w:rsid w:val="002A7F3D"/>
    <w:rsid w:val="002B3F44"/>
    <w:rsid w:val="002B51B1"/>
    <w:rsid w:val="002C030F"/>
    <w:rsid w:val="002C232C"/>
    <w:rsid w:val="002C667A"/>
    <w:rsid w:val="002D03F2"/>
    <w:rsid w:val="002D1D6E"/>
    <w:rsid w:val="002E5521"/>
    <w:rsid w:val="00312594"/>
    <w:rsid w:val="003178CD"/>
    <w:rsid w:val="00325D90"/>
    <w:rsid w:val="00331D75"/>
    <w:rsid w:val="00332BFB"/>
    <w:rsid w:val="00341E31"/>
    <w:rsid w:val="00345930"/>
    <w:rsid w:val="003516A3"/>
    <w:rsid w:val="00355362"/>
    <w:rsid w:val="00356643"/>
    <w:rsid w:val="003622A8"/>
    <w:rsid w:val="00363E44"/>
    <w:rsid w:val="00374110"/>
    <w:rsid w:val="00377D21"/>
    <w:rsid w:val="00387114"/>
    <w:rsid w:val="00393BED"/>
    <w:rsid w:val="00395E86"/>
    <w:rsid w:val="00397983"/>
    <w:rsid w:val="003A2FD8"/>
    <w:rsid w:val="003B2743"/>
    <w:rsid w:val="003B2FF2"/>
    <w:rsid w:val="003B40E6"/>
    <w:rsid w:val="003C4294"/>
    <w:rsid w:val="003D114A"/>
    <w:rsid w:val="003D5B77"/>
    <w:rsid w:val="003D71B8"/>
    <w:rsid w:val="003E1719"/>
    <w:rsid w:val="003F0B0C"/>
    <w:rsid w:val="003F6E14"/>
    <w:rsid w:val="0040152B"/>
    <w:rsid w:val="00405336"/>
    <w:rsid w:val="00405F96"/>
    <w:rsid w:val="004279E6"/>
    <w:rsid w:val="00447156"/>
    <w:rsid w:val="004571D5"/>
    <w:rsid w:val="00460FE1"/>
    <w:rsid w:val="00461D81"/>
    <w:rsid w:val="0046356B"/>
    <w:rsid w:val="004655C4"/>
    <w:rsid w:val="0047483E"/>
    <w:rsid w:val="00476D36"/>
    <w:rsid w:val="00477182"/>
    <w:rsid w:val="004779CB"/>
    <w:rsid w:val="00483A8D"/>
    <w:rsid w:val="00486828"/>
    <w:rsid w:val="00495A0A"/>
    <w:rsid w:val="004A140E"/>
    <w:rsid w:val="004A159F"/>
    <w:rsid w:val="004B2F21"/>
    <w:rsid w:val="004E3BA6"/>
    <w:rsid w:val="004E42D8"/>
    <w:rsid w:val="004E7BA2"/>
    <w:rsid w:val="004F7EDF"/>
    <w:rsid w:val="005001AC"/>
    <w:rsid w:val="0051306C"/>
    <w:rsid w:val="00516F4D"/>
    <w:rsid w:val="00527D71"/>
    <w:rsid w:val="00540ADD"/>
    <w:rsid w:val="005446E2"/>
    <w:rsid w:val="005607DD"/>
    <w:rsid w:val="005609E9"/>
    <w:rsid w:val="00575769"/>
    <w:rsid w:val="00575C1B"/>
    <w:rsid w:val="00587BE3"/>
    <w:rsid w:val="005A51D0"/>
    <w:rsid w:val="005A558C"/>
    <w:rsid w:val="005B0A1B"/>
    <w:rsid w:val="005C52D5"/>
    <w:rsid w:val="005D088E"/>
    <w:rsid w:val="005E2629"/>
    <w:rsid w:val="005E28F8"/>
    <w:rsid w:val="005E441F"/>
    <w:rsid w:val="005E6513"/>
    <w:rsid w:val="005F7442"/>
    <w:rsid w:val="006069C6"/>
    <w:rsid w:val="00611A19"/>
    <w:rsid w:val="006140DF"/>
    <w:rsid w:val="00615EC6"/>
    <w:rsid w:val="006406E4"/>
    <w:rsid w:val="00642E32"/>
    <w:rsid w:val="006460C3"/>
    <w:rsid w:val="00651114"/>
    <w:rsid w:val="0065772A"/>
    <w:rsid w:val="00670299"/>
    <w:rsid w:val="00690668"/>
    <w:rsid w:val="00691985"/>
    <w:rsid w:val="00694674"/>
    <w:rsid w:val="00696905"/>
    <w:rsid w:val="006A1B64"/>
    <w:rsid w:val="006A757E"/>
    <w:rsid w:val="006B1280"/>
    <w:rsid w:val="006C00D8"/>
    <w:rsid w:val="006C1C7B"/>
    <w:rsid w:val="006C28BA"/>
    <w:rsid w:val="006D169A"/>
    <w:rsid w:val="006D624B"/>
    <w:rsid w:val="006E2A1E"/>
    <w:rsid w:val="006E3355"/>
    <w:rsid w:val="006E3E68"/>
    <w:rsid w:val="007037E8"/>
    <w:rsid w:val="007108F5"/>
    <w:rsid w:val="00713E5B"/>
    <w:rsid w:val="007242B1"/>
    <w:rsid w:val="007402FC"/>
    <w:rsid w:val="007411A1"/>
    <w:rsid w:val="007434EE"/>
    <w:rsid w:val="00744FCB"/>
    <w:rsid w:val="007510F9"/>
    <w:rsid w:val="00763345"/>
    <w:rsid w:val="007801D6"/>
    <w:rsid w:val="007843C9"/>
    <w:rsid w:val="00797F24"/>
    <w:rsid w:val="007A1A0C"/>
    <w:rsid w:val="007A2563"/>
    <w:rsid w:val="007B5946"/>
    <w:rsid w:val="007F198F"/>
    <w:rsid w:val="007F5297"/>
    <w:rsid w:val="007F575F"/>
    <w:rsid w:val="007F59E4"/>
    <w:rsid w:val="00800621"/>
    <w:rsid w:val="00807D35"/>
    <w:rsid w:val="0081117E"/>
    <w:rsid w:val="00812F0F"/>
    <w:rsid w:val="00820484"/>
    <w:rsid w:val="00824737"/>
    <w:rsid w:val="00824DF3"/>
    <w:rsid w:val="0083138A"/>
    <w:rsid w:val="008320B9"/>
    <w:rsid w:val="00840BB2"/>
    <w:rsid w:val="00844134"/>
    <w:rsid w:val="008450E8"/>
    <w:rsid w:val="0084645D"/>
    <w:rsid w:val="008479F0"/>
    <w:rsid w:val="00856650"/>
    <w:rsid w:val="0085671D"/>
    <w:rsid w:val="00877547"/>
    <w:rsid w:val="00885C9B"/>
    <w:rsid w:val="008A5E82"/>
    <w:rsid w:val="008B009B"/>
    <w:rsid w:val="008B159C"/>
    <w:rsid w:val="008B4BD7"/>
    <w:rsid w:val="008C069B"/>
    <w:rsid w:val="008C6075"/>
    <w:rsid w:val="008D5D2A"/>
    <w:rsid w:val="008E1AED"/>
    <w:rsid w:val="008F067C"/>
    <w:rsid w:val="00914B63"/>
    <w:rsid w:val="00917FBC"/>
    <w:rsid w:val="00920873"/>
    <w:rsid w:val="009258B8"/>
    <w:rsid w:val="009354F3"/>
    <w:rsid w:val="009371F4"/>
    <w:rsid w:val="00943C3C"/>
    <w:rsid w:val="009447DC"/>
    <w:rsid w:val="009519CF"/>
    <w:rsid w:val="00956678"/>
    <w:rsid w:val="00960AB6"/>
    <w:rsid w:val="00961022"/>
    <w:rsid w:val="00961BA5"/>
    <w:rsid w:val="00962BDA"/>
    <w:rsid w:val="00963F15"/>
    <w:rsid w:val="009743A9"/>
    <w:rsid w:val="009961F4"/>
    <w:rsid w:val="009A2CED"/>
    <w:rsid w:val="009A5287"/>
    <w:rsid w:val="009A670E"/>
    <w:rsid w:val="009B0433"/>
    <w:rsid w:val="009B2AC5"/>
    <w:rsid w:val="009B6834"/>
    <w:rsid w:val="009B7984"/>
    <w:rsid w:val="009D3963"/>
    <w:rsid w:val="009D5075"/>
    <w:rsid w:val="009D5FEC"/>
    <w:rsid w:val="009D6B1C"/>
    <w:rsid w:val="009F4BED"/>
    <w:rsid w:val="009F7D93"/>
    <w:rsid w:val="00A0261A"/>
    <w:rsid w:val="00A06C49"/>
    <w:rsid w:val="00A11E3B"/>
    <w:rsid w:val="00A208E9"/>
    <w:rsid w:val="00A2326C"/>
    <w:rsid w:val="00A32B55"/>
    <w:rsid w:val="00A3403B"/>
    <w:rsid w:val="00A51A12"/>
    <w:rsid w:val="00A627D4"/>
    <w:rsid w:val="00A64404"/>
    <w:rsid w:val="00A7017B"/>
    <w:rsid w:val="00A72B81"/>
    <w:rsid w:val="00A74DA2"/>
    <w:rsid w:val="00A82572"/>
    <w:rsid w:val="00A93100"/>
    <w:rsid w:val="00A94C66"/>
    <w:rsid w:val="00AB5199"/>
    <w:rsid w:val="00AC15B4"/>
    <w:rsid w:val="00AD04AD"/>
    <w:rsid w:val="00AD499C"/>
    <w:rsid w:val="00AE38D9"/>
    <w:rsid w:val="00AE5A70"/>
    <w:rsid w:val="00B003EE"/>
    <w:rsid w:val="00B038F4"/>
    <w:rsid w:val="00B15008"/>
    <w:rsid w:val="00B16F99"/>
    <w:rsid w:val="00B239F2"/>
    <w:rsid w:val="00B24230"/>
    <w:rsid w:val="00B36869"/>
    <w:rsid w:val="00B41D29"/>
    <w:rsid w:val="00B42F9C"/>
    <w:rsid w:val="00B43B31"/>
    <w:rsid w:val="00B47CFA"/>
    <w:rsid w:val="00B53A23"/>
    <w:rsid w:val="00B57F00"/>
    <w:rsid w:val="00B606E7"/>
    <w:rsid w:val="00B71690"/>
    <w:rsid w:val="00B73A1C"/>
    <w:rsid w:val="00B77B2A"/>
    <w:rsid w:val="00B82C22"/>
    <w:rsid w:val="00B8723B"/>
    <w:rsid w:val="00B93DBA"/>
    <w:rsid w:val="00B9440A"/>
    <w:rsid w:val="00B96082"/>
    <w:rsid w:val="00BB2D2A"/>
    <w:rsid w:val="00BD2949"/>
    <w:rsid w:val="00BD58CF"/>
    <w:rsid w:val="00C046DC"/>
    <w:rsid w:val="00C04CC1"/>
    <w:rsid w:val="00C06821"/>
    <w:rsid w:val="00C16E1B"/>
    <w:rsid w:val="00C22600"/>
    <w:rsid w:val="00C229FD"/>
    <w:rsid w:val="00C24014"/>
    <w:rsid w:val="00C364C5"/>
    <w:rsid w:val="00C47714"/>
    <w:rsid w:val="00C47B60"/>
    <w:rsid w:val="00C502B4"/>
    <w:rsid w:val="00C50C6D"/>
    <w:rsid w:val="00C600D9"/>
    <w:rsid w:val="00C73BFA"/>
    <w:rsid w:val="00C74866"/>
    <w:rsid w:val="00C768A1"/>
    <w:rsid w:val="00C83551"/>
    <w:rsid w:val="00C8618E"/>
    <w:rsid w:val="00C96395"/>
    <w:rsid w:val="00CA04EB"/>
    <w:rsid w:val="00CB427B"/>
    <w:rsid w:val="00CC1384"/>
    <w:rsid w:val="00CD3720"/>
    <w:rsid w:val="00CD38D9"/>
    <w:rsid w:val="00CE6AA2"/>
    <w:rsid w:val="00CF15D9"/>
    <w:rsid w:val="00CF16C9"/>
    <w:rsid w:val="00CF1848"/>
    <w:rsid w:val="00CF5C2F"/>
    <w:rsid w:val="00D04BCF"/>
    <w:rsid w:val="00D143D9"/>
    <w:rsid w:val="00D269AB"/>
    <w:rsid w:val="00D33ED2"/>
    <w:rsid w:val="00D346C2"/>
    <w:rsid w:val="00D67130"/>
    <w:rsid w:val="00D73A2B"/>
    <w:rsid w:val="00D767FA"/>
    <w:rsid w:val="00D77A11"/>
    <w:rsid w:val="00D96866"/>
    <w:rsid w:val="00DA00B4"/>
    <w:rsid w:val="00DA22DA"/>
    <w:rsid w:val="00DA233A"/>
    <w:rsid w:val="00DA59EA"/>
    <w:rsid w:val="00DA7062"/>
    <w:rsid w:val="00DB0B1D"/>
    <w:rsid w:val="00DC1BBB"/>
    <w:rsid w:val="00DC623A"/>
    <w:rsid w:val="00DC62B6"/>
    <w:rsid w:val="00DC7114"/>
    <w:rsid w:val="00DD421A"/>
    <w:rsid w:val="00DF3CE6"/>
    <w:rsid w:val="00E035D1"/>
    <w:rsid w:val="00E15249"/>
    <w:rsid w:val="00E257C8"/>
    <w:rsid w:val="00E3002A"/>
    <w:rsid w:val="00E37047"/>
    <w:rsid w:val="00E3704E"/>
    <w:rsid w:val="00E60D0F"/>
    <w:rsid w:val="00E70F39"/>
    <w:rsid w:val="00E71986"/>
    <w:rsid w:val="00E84013"/>
    <w:rsid w:val="00E85B5E"/>
    <w:rsid w:val="00E86F3A"/>
    <w:rsid w:val="00E9773B"/>
    <w:rsid w:val="00EA596B"/>
    <w:rsid w:val="00EA7067"/>
    <w:rsid w:val="00EB02AB"/>
    <w:rsid w:val="00EB182B"/>
    <w:rsid w:val="00EB4377"/>
    <w:rsid w:val="00EB5935"/>
    <w:rsid w:val="00EB7034"/>
    <w:rsid w:val="00EC13A3"/>
    <w:rsid w:val="00EC7C85"/>
    <w:rsid w:val="00ED0BCF"/>
    <w:rsid w:val="00EE36D3"/>
    <w:rsid w:val="00EE6682"/>
    <w:rsid w:val="00EE716F"/>
    <w:rsid w:val="00EF3A41"/>
    <w:rsid w:val="00EF5DA9"/>
    <w:rsid w:val="00F04CD9"/>
    <w:rsid w:val="00F05B67"/>
    <w:rsid w:val="00F120F9"/>
    <w:rsid w:val="00F125EE"/>
    <w:rsid w:val="00F12E98"/>
    <w:rsid w:val="00F15BDE"/>
    <w:rsid w:val="00F21024"/>
    <w:rsid w:val="00F22029"/>
    <w:rsid w:val="00F25DEF"/>
    <w:rsid w:val="00F3072E"/>
    <w:rsid w:val="00F40EA2"/>
    <w:rsid w:val="00F41F3F"/>
    <w:rsid w:val="00F43D53"/>
    <w:rsid w:val="00F514EC"/>
    <w:rsid w:val="00F53629"/>
    <w:rsid w:val="00F54A35"/>
    <w:rsid w:val="00F567BE"/>
    <w:rsid w:val="00F57C85"/>
    <w:rsid w:val="00F60CD4"/>
    <w:rsid w:val="00F630EA"/>
    <w:rsid w:val="00F7007E"/>
    <w:rsid w:val="00F70200"/>
    <w:rsid w:val="00F71EAF"/>
    <w:rsid w:val="00F73193"/>
    <w:rsid w:val="00F74F95"/>
    <w:rsid w:val="00F80705"/>
    <w:rsid w:val="00F829A9"/>
    <w:rsid w:val="00F86472"/>
    <w:rsid w:val="00F87D7D"/>
    <w:rsid w:val="00FA10E7"/>
    <w:rsid w:val="00FA1481"/>
    <w:rsid w:val="00FA66E9"/>
    <w:rsid w:val="00FD5429"/>
    <w:rsid w:val="00FE22E5"/>
    <w:rsid w:val="00FE6EE8"/>
    <w:rsid w:val="00FF04E3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D1EA8"/>
  <w15:docId w15:val="{44D555E4-DB32-4E4E-914C-3E579D6D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basedOn w:val="DefaultParagraphFont"/>
    <w:link w:val="Heading1"/>
    <w:uiPriority w:val="9"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04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05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basedOn w:val="DefaultParagraphFont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basedOn w:val="DefaultParagraphFont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uiPriority w:val="99"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uiPriority w:val="99"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basedOn w:val="DefaultParagraphFont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basedOn w:val="DefaultParagraphFont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uiPriority w:val="99"/>
    <w:rsid w:val="007402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42F9C"/>
    <w:rPr>
      <w:i/>
      <w:iCs/>
    </w:rPr>
  </w:style>
  <w:style w:type="character" w:styleId="CommentReference">
    <w:name w:val="annotation reference"/>
    <w:basedOn w:val="DefaultParagraphFont"/>
    <w:uiPriority w:val="99"/>
    <w:semiHidden/>
    <w:rsid w:val="009258B8"/>
    <w:rPr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611A19"/>
    <w:rPr>
      <w:color w:val="800080" w:themeColor="followedHyperlink"/>
      <w:u w:val="single"/>
    </w:rPr>
  </w:style>
  <w:style w:type="character" w:customStyle="1" w:styleId="A8">
    <w:name w:val="A8"/>
    <w:uiPriority w:val="99"/>
    <w:rsid w:val="0047483E"/>
    <w:rPr>
      <w:rFonts w:cs="Janson Text LT"/>
      <w:sz w:val="19"/>
      <w:szCs w:val="19"/>
    </w:rPr>
  </w:style>
  <w:style w:type="paragraph" w:customStyle="1" w:styleId="EndNoteBibliography">
    <w:name w:val="EndNote Bibliography"/>
    <w:basedOn w:val="Normal"/>
    <w:link w:val="EndNoteBibliographyChar"/>
    <w:rsid w:val="0047483E"/>
    <w:pPr>
      <w:jc w:val="both"/>
    </w:pPr>
    <w:rPr>
      <w:rFonts w:ascii="맑은 고딕" w:eastAsia="맑은 고딕" w:hAnsi="맑은 고딕" w:cstheme="minorBidi"/>
      <w:noProof/>
      <w:color w:val="000000"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47483E"/>
    <w:rPr>
      <w:rFonts w:ascii="맑은 고딕" w:eastAsia="맑은 고딕" w:hAnsi="맑은 고딕" w:cstheme="minorBidi"/>
      <w:noProof/>
      <w:color w:val="000000"/>
      <w:sz w:val="22"/>
      <w:szCs w:val="22"/>
    </w:rPr>
  </w:style>
  <w:style w:type="paragraph" w:customStyle="1" w:styleId="MDPI31text">
    <w:name w:val="MDPI_3.1_text"/>
    <w:qFormat/>
    <w:rsid w:val="0047483E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EndNoteBibliographyTitle">
    <w:name w:val="EndNote Bibliography Title"/>
    <w:basedOn w:val="Normal"/>
    <w:link w:val="EndNoteBibliographyTitleChar"/>
    <w:rsid w:val="0047483E"/>
    <w:pPr>
      <w:spacing w:line="480" w:lineRule="auto"/>
      <w:jc w:val="center"/>
    </w:pPr>
    <w:rPr>
      <w:rFonts w:ascii="맑은 고딕" w:eastAsia="맑은 고딕" w:hAnsi="맑은 고딕" w:cstheme="minorBidi"/>
      <w:noProof/>
      <w:color w:val="000000"/>
      <w:sz w:val="22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483E"/>
    <w:rPr>
      <w:rFonts w:ascii="맑은 고딕" w:eastAsia="맑은 고딕" w:hAnsi="맑은 고딕" w:cstheme="minorBidi"/>
      <w:noProof/>
      <w:color w:val="000000"/>
      <w:sz w:val="22"/>
      <w:szCs w:val="22"/>
    </w:rPr>
  </w:style>
  <w:style w:type="table" w:customStyle="1" w:styleId="GridTable1Light1">
    <w:name w:val="Grid Table 1 Light1"/>
    <w:basedOn w:val="TableNormal"/>
    <w:uiPriority w:val="46"/>
    <w:rsid w:val="0047483E"/>
    <w:rPr>
      <w:rFonts w:asciiTheme="minorHAnsi" w:hAnsiTheme="minorHAnsi" w:cstheme="minorBidi"/>
      <w:color w:val="000000"/>
      <w:sz w:val="22"/>
      <w:szCs w:val="22"/>
      <w:lang w:val="en-Z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47483E"/>
  </w:style>
  <w:style w:type="character" w:customStyle="1" w:styleId="citation-doi">
    <w:name w:val="citation-doi"/>
    <w:basedOn w:val="DefaultParagraphFont"/>
    <w:rsid w:val="0047483E"/>
  </w:style>
  <w:style w:type="table" w:styleId="TableGrid">
    <w:name w:val="Table Grid"/>
    <w:basedOn w:val="TableNormal"/>
    <w:uiPriority w:val="39"/>
    <w:rsid w:val="0047483E"/>
    <w:pPr>
      <w:jc w:val="both"/>
    </w:pPr>
    <w:rPr>
      <w:rFonts w:asciiTheme="minorHAnsi" w:hAnsiTheme="minorHAnsi" w:cstheme="minorBidi"/>
      <w:kern w:val="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483E"/>
    <w:rPr>
      <w:rFonts w:asciiTheme="minorHAnsi" w:hAnsiTheme="minorHAnsi" w:cstheme="minorBidi"/>
      <w:color w:val="000000"/>
      <w:sz w:val="22"/>
      <w:szCs w:val="22"/>
      <w:lang w:val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83E"/>
    <w:rPr>
      <w:color w:val="605E5C"/>
      <w:shd w:val="clear" w:color="auto" w:fill="E1DFDD"/>
    </w:rPr>
  </w:style>
  <w:style w:type="paragraph" w:customStyle="1" w:styleId="c-article-author-listitem">
    <w:name w:val="c-article-author-list__item"/>
    <w:basedOn w:val="Normal"/>
    <w:rsid w:val="0047483E"/>
    <w:pPr>
      <w:spacing w:before="100" w:beforeAutospacing="1" w:after="100" w:afterAutospacing="1"/>
    </w:pPr>
    <w:rPr>
      <w:rFonts w:ascii="굴림" w:eastAsia="굴림" w:hAnsi="굴림" w:cs="굴림"/>
      <w:szCs w:val="24"/>
      <w:lang w:eastAsia="ko-KR"/>
    </w:rPr>
  </w:style>
  <w:style w:type="paragraph" w:customStyle="1" w:styleId="c-article-info-details">
    <w:name w:val="c-article-info-details"/>
    <w:basedOn w:val="Normal"/>
    <w:rsid w:val="0047483E"/>
    <w:pPr>
      <w:spacing w:before="100" w:beforeAutospacing="1" w:after="100" w:afterAutospacing="1"/>
    </w:pPr>
    <w:rPr>
      <w:rFonts w:ascii="굴림" w:eastAsia="굴림" w:hAnsi="굴림" w:cs="굴림"/>
      <w:szCs w:val="24"/>
      <w:lang w:eastAsia="ko-KR"/>
    </w:rPr>
  </w:style>
  <w:style w:type="character" w:customStyle="1" w:styleId="u-visually-hidden">
    <w:name w:val="u-visually-hidden"/>
    <w:basedOn w:val="DefaultParagraphFont"/>
    <w:rsid w:val="0047483E"/>
  </w:style>
  <w:style w:type="table" w:styleId="GridTable1Light">
    <w:name w:val="Grid Table 1 Light"/>
    <w:basedOn w:val="TableNormal"/>
    <w:uiPriority w:val="46"/>
    <w:rsid w:val="0047483E"/>
    <w:rPr>
      <w:rFonts w:asciiTheme="minorHAnsi" w:hAnsiTheme="minorHAnsi" w:cstheme="minorBidi"/>
      <w:color w:val="000000"/>
      <w:sz w:val="22"/>
      <w:szCs w:val="22"/>
      <w:lang w:val="en-Z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7483E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47483E"/>
    <w:pPr>
      <w:jc w:val="both"/>
    </w:pPr>
    <w:rPr>
      <w:rFonts w:asciiTheme="minorHAnsi" w:hAnsiTheme="minorHAnsi" w:cstheme="minorBidi"/>
      <w:color w:val="000000"/>
      <w:kern w:val="2"/>
      <w:sz w:val="22"/>
      <w:szCs w:val="22"/>
      <w:lang w:val="en-ZA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2DBDC4-27A0-45FD-98ED-C7C41DBB0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289</Words>
  <Characters>1610</Characters>
  <Application>Microsoft Office Word</Application>
  <DocSecurity>0</DocSecurity>
  <Lines>31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1891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nar katwal</cp:lastModifiedBy>
  <cp:revision>337</cp:revision>
  <cp:lastPrinted>2023-10-31T06:13:00Z</cp:lastPrinted>
  <dcterms:created xsi:type="dcterms:W3CDTF">2022-07-06T16:08:00Z</dcterms:created>
  <dcterms:modified xsi:type="dcterms:W3CDTF">2023-11-07T01:57:00Z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6f2c5d5607bc4f3bb7618cbc7ef0e078d0529fb88292ca5069a7d79cf4f9611c</vt:lpwstr>
  </property>
</Properties>
</file>