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581" w:rsidRDefault="00D43581" w:rsidP="00D43581">
      <w:pPr>
        <w:jc w:val="both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</w:rPr>
        <w:t>Materials and Methods</w:t>
      </w:r>
    </w:p>
    <w:p w:rsidR="00D43581" w:rsidRDefault="00D43581" w:rsidP="00D43581">
      <w:pPr>
        <w:spacing w:afterLines="100" w:after="312"/>
        <w:jc w:val="both"/>
        <w:rPr>
          <w:rFonts w:ascii="Arial" w:hAnsi="Arial" w:cs="Arial"/>
          <w:sz w:val="18"/>
          <w:szCs w:val="18"/>
        </w:rPr>
      </w:pPr>
      <w:bookmarkStart w:id="1" w:name="OLE_LINK18"/>
      <w:proofErr w:type="gramStart"/>
      <w:r>
        <w:rPr>
          <w:rFonts w:ascii="Arial" w:hAnsi="Arial" w:cs="Arial"/>
          <w:b/>
          <w:bCs/>
          <w:sz w:val="18"/>
          <w:szCs w:val="18"/>
        </w:rPr>
        <w:t>Plasmids</w:t>
      </w:r>
      <w:r>
        <w:rPr>
          <w:rFonts w:ascii="Arial" w:hAnsi="Arial" w:cs="Arial"/>
          <w:sz w:val="18"/>
          <w:szCs w:val="18"/>
        </w:rPr>
        <w:t>.</w:t>
      </w:r>
      <w:bookmarkStart w:id="2" w:name="OLE_LINK19"/>
      <w:proofErr w:type="gram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8"/>
          <w:szCs w:val="18"/>
        </w:rPr>
        <w:t>His-DCBLD1, shDCBLD1, shRNA-G6PD, His-DCBLD1</w:t>
      </w:r>
      <w:bookmarkEnd w:id="2"/>
      <w:r>
        <w:rPr>
          <w:rFonts w:ascii="Arial" w:hAnsi="Arial" w:cs="Arial"/>
          <w:sz w:val="18"/>
          <w:szCs w:val="18"/>
        </w:rPr>
        <w:t xml:space="preserve">, LC3-GFP-mcherry and shHIF-1α constructs were purchased from </w:t>
      </w:r>
      <w:proofErr w:type="spellStart"/>
      <w:r>
        <w:rPr>
          <w:rFonts w:ascii="Arial" w:hAnsi="Arial" w:cs="Arial"/>
          <w:sz w:val="18"/>
          <w:szCs w:val="18"/>
        </w:rPr>
        <w:t>GeneChem</w:t>
      </w:r>
      <w:proofErr w:type="spellEnd"/>
      <w:r>
        <w:rPr>
          <w:rFonts w:ascii="Arial" w:hAnsi="Arial" w:cs="Arial"/>
          <w:sz w:val="18"/>
          <w:szCs w:val="18"/>
        </w:rPr>
        <w:t>.</w:t>
      </w:r>
      <w:bookmarkStart w:id="3" w:name="OLE_LINK25"/>
    </w:p>
    <w:p w:rsidR="00D43581" w:rsidRDefault="00D43581" w:rsidP="00D43581">
      <w:pPr>
        <w:spacing w:afterLines="100" w:after="31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Lentivirus production and stable knockdown cell lines construction.</w:t>
      </w:r>
      <w:r>
        <w:rPr>
          <w:rFonts w:ascii="Arial" w:hAnsi="Arial" w:cs="Arial"/>
          <w:sz w:val="18"/>
          <w:szCs w:val="18"/>
        </w:rPr>
        <w:t xml:space="preserve"> To construct cell lines with stable knockdown endogenous DCBLD1 HIF-1α, and G6PD, lentivirus carrying shRNA were generated. Briefly, to produce lentivirus, lentiviral vector harboring shRNA, psPAX2 packaging plasmid, and pMD2.G envelope plasmid (</w:t>
      </w:r>
      <w:proofErr w:type="spellStart"/>
      <w:r>
        <w:rPr>
          <w:rFonts w:ascii="Arial" w:hAnsi="Arial" w:cs="Arial"/>
          <w:sz w:val="18"/>
          <w:szCs w:val="18"/>
        </w:rPr>
        <w:t>Addgene</w:t>
      </w:r>
      <w:proofErr w:type="spellEnd"/>
      <w:r>
        <w:rPr>
          <w:rFonts w:ascii="Arial" w:hAnsi="Arial" w:cs="Arial"/>
          <w:sz w:val="18"/>
          <w:szCs w:val="18"/>
        </w:rPr>
        <w:t>) were co-transfected into HEK293T cells using Transfection Reagent (</w:t>
      </w:r>
      <w:proofErr w:type="spellStart"/>
      <w:r>
        <w:rPr>
          <w:rFonts w:ascii="Arial" w:hAnsi="Arial" w:cs="Arial"/>
          <w:sz w:val="18"/>
          <w:szCs w:val="18"/>
        </w:rPr>
        <w:t>GeneCopoeia</w:t>
      </w:r>
      <w:proofErr w:type="spellEnd"/>
      <w:r>
        <w:rPr>
          <w:rFonts w:ascii="Arial" w:hAnsi="Arial" w:cs="Arial"/>
          <w:sz w:val="18"/>
          <w:szCs w:val="18"/>
        </w:rPr>
        <w:t xml:space="preserve">) according to the manufacturer’s instructions. Fresh medium was changed 24 h later and lentivirus-containing supernatant medium was collected 48 h after transfection. To construct stable knockdown cells, target cells were infected with harvested lentivirus-containing supernatant for 24 h and selected with 2mg/mL </w:t>
      </w:r>
      <w:proofErr w:type="spellStart"/>
      <w:r>
        <w:rPr>
          <w:rFonts w:ascii="Arial" w:hAnsi="Arial" w:cs="Arial"/>
          <w:sz w:val="18"/>
          <w:szCs w:val="18"/>
        </w:rPr>
        <w:t>puromycin</w:t>
      </w:r>
      <w:proofErr w:type="spellEnd"/>
      <w:r>
        <w:rPr>
          <w:rFonts w:ascii="Arial" w:hAnsi="Arial" w:cs="Arial"/>
          <w:sz w:val="18"/>
          <w:szCs w:val="18"/>
        </w:rPr>
        <w:t xml:space="preserve">. Knockdown efficiency was confirmed by western blot. </w:t>
      </w:r>
      <w:bookmarkEnd w:id="1"/>
      <w:bookmarkEnd w:id="3"/>
    </w:p>
    <w:p w:rsidR="00D43581" w:rsidRDefault="00D43581" w:rsidP="00D43581">
      <w:pPr>
        <w:spacing w:afterLines="100" w:after="312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b/>
          <w:bCs/>
          <w:sz w:val="18"/>
          <w:szCs w:val="18"/>
        </w:rPr>
        <w:t>Cell culture, gene transfection, reagents, and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>materials.</w:t>
      </w:r>
      <w:proofErr w:type="gramEnd"/>
      <w:r>
        <w:rPr>
          <w:rFonts w:ascii="Arial" w:hAnsi="Arial" w:cs="Arial"/>
          <w:b/>
          <w:bCs/>
          <w:sz w:val="18"/>
          <w:szCs w:val="18"/>
        </w:rPr>
        <w:t xml:space="preserve"> </w:t>
      </w:r>
      <w:bookmarkStart w:id="4" w:name="OLE_LINK22"/>
      <w:bookmarkStart w:id="5" w:name="OLE_LINK26"/>
      <w:r>
        <w:rPr>
          <w:rFonts w:ascii="Arial" w:hAnsi="Arial" w:cs="Arial"/>
          <w:sz w:val="18"/>
          <w:szCs w:val="18"/>
        </w:rPr>
        <w:t xml:space="preserve">HeLa, 293T, C33A, and </w:t>
      </w:r>
      <w:proofErr w:type="spellStart"/>
      <w:r>
        <w:rPr>
          <w:rFonts w:ascii="Arial" w:hAnsi="Arial" w:cs="Arial"/>
          <w:sz w:val="18"/>
          <w:szCs w:val="18"/>
        </w:rPr>
        <w:t>SiHa</w:t>
      </w:r>
      <w:bookmarkEnd w:id="4"/>
      <w:proofErr w:type="spellEnd"/>
      <w:r>
        <w:rPr>
          <w:rFonts w:ascii="Arial" w:hAnsi="Arial" w:cs="Arial"/>
          <w:sz w:val="18"/>
          <w:szCs w:val="18"/>
        </w:rPr>
        <w:t xml:space="preserve"> cells </w:t>
      </w:r>
      <w:bookmarkStart w:id="6" w:name="OLE_LINK21"/>
      <w:r>
        <w:rPr>
          <w:rFonts w:ascii="Arial" w:hAnsi="Arial" w:cs="Arial"/>
          <w:sz w:val="18"/>
          <w:szCs w:val="18"/>
        </w:rPr>
        <w:t xml:space="preserve">were cultured in DMEM (Dalian </w:t>
      </w:r>
      <w:proofErr w:type="spellStart"/>
      <w:r>
        <w:rPr>
          <w:rFonts w:ascii="Arial" w:hAnsi="Arial" w:cs="Arial"/>
          <w:sz w:val="18"/>
          <w:szCs w:val="18"/>
        </w:rPr>
        <w:t>Meilun</w:t>
      </w:r>
      <w:proofErr w:type="spellEnd"/>
      <w:r>
        <w:rPr>
          <w:rFonts w:ascii="Arial" w:hAnsi="Arial" w:cs="Arial"/>
          <w:sz w:val="18"/>
          <w:szCs w:val="18"/>
        </w:rPr>
        <w:t xml:space="preserve"> Biotechnology Co., Ltd) supplemented with 10% (v/v) FBS (Dalian </w:t>
      </w:r>
      <w:proofErr w:type="spellStart"/>
      <w:r>
        <w:rPr>
          <w:rFonts w:ascii="Arial" w:hAnsi="Arial" w:cs="Arial"/>
          <w:sz w:val="18"/>
          <w:szCs w:val="18"/>
        </w:rPr>
        <w:t>Meilun</w:t>
      </w:r>
      <w:proofErr w:type="spellEnd"/>
      <w:r>
        <w:rPr>
          <w:rFonts w:ascii="Arial" w:hAnsi="Arial" w:cs="Arial"/>
          <w:sz w:val="18"/>
          <w:szCs w:val="18"/>
        </w:rPr>
        <w:t xml:space="preserve"> Biotechnology Co., Ltd) at 37 °C in 5% CO</w:t>
      </w:r>
      <w:r>
        <w:rPr>
          <w:rFonts w:ascii="Arial" w:hAnsi="Arial" w:cs="Arial"/>
          <w:sz w:val="18"/>
          <w:szCs w:val="18"/>
          <w:vertAlign w:val="subscript"/>
        </w:rPr>
        <w:t>2</w:t>
      </w:r>
      <w:bookmarkEnd w:id="6"/>
      <w:r>
        <w:rPr>
          <w:rFonts w:ascii="Arial" w:hAnsi="Arial" w:cs="Arial"/>
          <w:sz w:val="18"/>
          <w:szCs w:val="18"/>
        </w:rPr>
        <w:t>.</w:t>
      </w:r>
      <w:bookmarkEnd w:id="5"/>
      <w:r>
        <w:rPr>
          <w:rFonts w:ascii="Arial" w:hAnsi="Arial" w:cs="Arial"/>
          <w:sz w:val="18"/>
          <w:szCs w:val="18"/>
        </w:rPr>
        <w:t xml:space="preserve"> Rapamycin (AY-22989), Chloroquine (HY-17589A) and </w:t>
      </w:r>
      <w:proofErr w:type="spellStart"/>
      <w:r>
        <w:rPr>
          <w:rFonts w:ascii="Arial" w:hAnsi="Arial" w:cs="Arial"/>
          <w:sz w:val="18"/>
          <w:szCs w:val="18"/>
        </w:rPr>
        <w:t>Cycloheximide</w:t>
      </w:r>
      <w:proofErr w:type="spellEnd"/>
      <w:r>
        <w:rPr>
          <w:rFonts w:ascii="Arial" w:hAnsi="Arial" w:cs="Arial"/>
          <w:sz w:val="18"/>
          <w:szCs w:val="18"/>
        </w:rPr>
        <w:t xml:space="preserve"> (HY-12320) were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8"/>
          <w:szCs w:val="18"/>
        </w:rPr>
        <w:t>purchased from MCE.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MG-132 (C3348, </w:t>
      </w:r>
      <w:proofErr w:type="spellStart"/>
      <w:r>
        <w:rPr>
          <w:rFonts w:ascii="Arial" w:hAnsi="Arial" w:cs="Arial"/>
          <w:sz w:val="18"/>
          <w:szCs w:val="18"/>
        </w:rPr>
        <w:t>APExBIO</w:t>
      </w:r>
      <w:proofErr w:type="spellEnd"/>
      <w:r>
        <w:rPr>
          <w:rFonts w:ascii="Arial" w:hAnsi="Arial" w:cs="Arial"/>
          <w:sz w:val="18"/>
          <w:szCs w:val="18"/>
        </w:rPr>
        <w:t xml:space="preserve">, </w:t>
      </w:r>
      <w:proofErr w:type="gramStart"/>
      <w:r>
        <w:rPr>
          <w:rFonts w:ascii="Arial" w:hAnsi="Arial" w:cs="Arial"/>
          <w:sz w:val="18"/>
          <w:szCs w:val="18"/>
        </w:rPr>
        <w:t>Houston</w:t>
      </w:r>
      <w:proofErr w:type="gramEnd"/>
      <w:r>
        <w:rPr>
          <w:rFonts w:ascii="Arial" w:hAnsi="Arial" w:cs="Arial"/>
          <w:sz w:val="18"/>
          <w:szCs w:val="18"/>
        </w:rPr>
        <w:t xml:space="preserve">, USA) was purchased from </w:t>
      </w:r>
      <w:proofErr w:type="spellStart"/>
      <w:r>
        <w:rPr>
          <w:rFonts w:ascii="Arial" w:hAnsi="Arial" w:cs="Arial"/>
          <w:sz w:val="18"/>
          <w:szCs w:val="18"/>
        </w:rPr>
        <w:t>APExBIO</w:t>
      </w:r>
      <w:proofErr w:type="spellEnd"/>
      <w:r>
        <w:rPr>
          <w:rFonts w:ascii="Arial" w:hAnsi="Arial" w:cs="Arial"/>
          <w:sz w:val="18"/>
          <w:szCs w:val="18"/>
        </w:rPr>
        <w:t xml:space="preserve">. </w:t>
      </w:r>
      <w:proofErr w:type="gramStart"/>
      <w:r>
        <w:rPr>
          <w:rFonts w:ascii="Arial" w:hAnsi="Arial" w:cs="Arial"/>
          <w:sz w:val="18"/>
          <w:szCs w:val="18"/>
        </w:rPr>
        <w:t>Sodium L-lactate (Merck, 71718).</w:t>
      </w:r>
      <w:proofErr w:type="gramEnd"/>
      <w:r>
        <w:rPr>
          <w:rFonts w:ascii="Arial" w:hAnsi="Arial" w:cs="Arial"/>
          <w:sz w:val="18"/>
          <w:szCs w:val="18"/>
        </w:rPr>
        <w:t xml:space="preserve"> Cell culture dishes/plates,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20-mmglass-bottom dishes, and </w:t>
      </w:r>
      <w:proofErr w:type="spellStart"/>
      <w:r>
        <w:rPr>
          <w:rFonts w:ascii="Arial" w:hAnsi="Arial" w:cs="Arial"/>
          <w:sz w:val="18"/>
          <w:szCs w:val="18"/>
        </w:rPr>
        <w:t>transwell</w:t>
      </w:r>
      <w:proofErr w:type="spellEnd"/>
      <w:r>
        <w:rPr>
          <w:rFonts w:ascii="Arial" w:hAnsi="Arial" w:cs="Arial"/>
          <w:sz w:val="18"/>
          <w:szCs w:val="18"/>
        </w:rPr>
        <w:t xml:space="preserve"> chambers were obtained from NEST Biotechnology Co. Ltd (Wuxi, China). </w:t>
      </w:r>
    </w:p>
    <w:p w:rsidR="00D43581" w:rsidRDefault="00D43581" w:rsidP="00D43581">
      <w:pPr>
        <w:spacing w:afterLines="100" w:after="312"/>
        <w:jc w:val="both"/>
        <w:rPr>
          <w:rFonts w:ascii="Arial" w:hAnsi="Arial" w:cs="Arial"/>
          <w:sz w:val="18"/>
          <w:szCs w:val="18"/>
        </w:rPr>
      </w:pPr>
      <w:bookmarkStart w:id="7" w:name="OLE_LINK24"/>
      <w:proofErr w:type="gramStart"/>
      <w:r>
        <w:rPr>
          <w:rFonts w:ascii="Arial" w:hAnsi="Arial" w:cs="Arial"/>
          <w:b/>
          <w:bCs/>
          <w:sz w:val="18"/>
          <w:szCs w:val="18"/>
        </w:rPr>
        <w:t>Animal experiments</w:t>
      </w:r>
      <w:r>
        <w:rPr>
          <w:rFonts w:ascii="Arial" w:hAnsi="Arial" w:cs="Arial"/>
          <w:sz w:val="18"/>
          <w:szCs w:val="18"/>
        </w:rPr>
        <w:t>.</w:t>
      </w:r>
      <w:proofErr w:type="gramEnd"/>
      <w:r>
        <w:rPr>
          <w:rFonts w:ascii="Arial" w:hAnsi="Arial" w:cs="Arial"/>
          <w:sz w:val="18"/>
          <w:szCs w:val="18"/>
        </w:rPr>
        <w:t xml:space="preserve"> The Animal Research Ethics Committee of Jilin University approved all animal experiments. Female BALB/c nude mice were purchased from Beijing HFK Bio-Technology Company (Beijing, China) and randomly assigned to experimental groups. For xenograft experiments, C33A or </w:t>
      </w:r>
      <w:proofErr w:type="spellStart"/>
      <w:r>
        <w:rPr>
          <w:rFonts w:ascii="Arial" w:hAnsi="Arial" w:cs="Arial"/>
          <w:sz w:val="18"/>
          <w:szCs w:val="18"/>
        </w:rPr>
        <w:t>SiHa</w:t>
      </w:r>
      <w:proofErr w:type="spellEnd"/>
      <w:r>
        <w:rPr>
          <w:rFonts w:ascii="Arial" w:hAnsi="Arial" w:cs="Arial"/>
          <w:sz w:val="18"/>
          <w:szCs w:val="18"/>
        </w:rPr>
        <w:t xml:space="preserve"> cell lines were transduced with the designated viruses expressing the proteins or </w:t>
      </w:r>
      <w:proofErr w:type="spellStart"/>
      <w:r>
        <w:rPr>
          <w:rFonts w:ascii="Arial" w:hAnsi="Arial" w:cs="Arial"/>
          <w:sz w:val="18"/>
          <w:szCs w:val="18"/>
        </w:rPr>
        <w:t>shRNAs</w:t>
      </w:r>
      <w:proofErr w:type="spellEnd"/>
      <w:r>
        <w:rPr>
          <w:rFonts w:ascii="Arial" w:hAnsi="Arial" w:cs="Arial"/>
          <w:sz w:val="18"/>
          <w:szCs w:val="18"/>
        </w:rPr>
        <w:t xml:space="preserve"> of interest. Equal numbers of stable cells were subcutaneously inoculated into nude mice. Starting on day 10 or 12 after injection, tumor volumes were measured every 2 or 3 days using a </w:t>
      </w:r>
      <w:proofErr w:type="spellStart"/>
      <w:r>
        <w:rPr>
          <w:rFonts w:ascii="Arial" w:hAnsi="Arial" w:cs="Arial"/>
          <w:sz w:val="18"/>
          <w:szCs w:val="18"/>
        </w:rPr>
        <w:t>calliper</w:t>
      </w:r>
      <w:proofErr w:type="spellEnd"/>
      <w:r>
        <w:rPr>
          <w:rFonts w:ascii="Arial" w:hAnsi="Arial" w:cs="Arial"/>
          <w:sz w:val="18"/>
          <w:szCs w:val="18"/>
        </w:rPr>
        <w:t xml:space="preserve"> and calculated using the following equation: volume = width × depth × length × 0.5.</w:t>
      </w:r>
      <w:bookmarkEnd w:id="7"/>
    </w:p>
    <w:p w:rsidR="00D43581" w:rsidRDefault="00D43581" w:rsidP="00D43581">
      <w:pPr>
        <w:spacing w:afterLines="100" w:after="312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b/>
          <w:bCs/>
          <w:sz w:val="18"/>
          <w:szCs w:val="18"/>
        </w:rPr>
        <w:t>Western blot.</w:t>
      </w:r>
      <w:proofErr w:type="gramEnd"/>
      <w:r>
        <w:rPr>
          <w:rFonts w:ascii="Arial" w:hAnsi="Arial" w:cs="Arial"/>
          <w:b/>
          <w:bCs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Cell lysates were prepared in RIPA buffer containing protease inhibitor (</w:t>
      </w:r>
      <w:proofErr w:type="spellStart"/>
      <w:r>
        <w:rPr>
          <w:rFonts w:ascii="Arial" w:hAnsi="Arial" w:cs="Arial"/>
          <w:sz w:val="18"/>
          <w:szCs w:val="18"/>
        </w:rPr>
        <w:t>Solarbio</w:t>
      </w:r>
      <w:proofErr w:type="spellEnd"/>
      <w:r>
        <w:rPr>
          <w:rFonts w:ascii="Arial" w:hAnsi="Arial" w:cs="Arial"/>
          <w:sz w:val="18"/>
          <w:szCs w:val="18"/>
        </w:rPr>
        <w:t xml:space="preserve">). Equal amounts of protein were added into 10% gels by sodium dodecyl sulfate–polyacrylamide gel electrophoresis and transferred onto the </w:t>
      </w:r>
      <w:proofErr w:type="spellStart"/>
      <w:r>
        <w:rPr>
          <w:rFonts w:ascii="Arial" w:hAnsi="Arial" w:cs="Arial"/>
          <w:sz w:val="18"/>
          <w:szCs w:val="18"/>
        </w:rPr>
        <w:t>polyvinylidene</w:t>
      </w:r>
      <w:proofErr w:type="spellEnd"/>
      <w:r>
        <w:rPr>
          <w:rFonts w:ascii="Arial" w:hAnsi="Arial" w:cs="Arial"/>
          <w:sz w:val="18"/>
          <w:szCs w:val="18"/>
        </w:rPr>
        <w:t xml:space="preserve"> fluoride (PVDF) membrane. After blocking in a mixture of 5% bovine serum albumin (BSA) in </w:t>
      </w:r>
      <w:proofErr w:type="spellStart"/>
      <w:r>
        <w:rPr>
          <w:rFonts w:ascii="Arial" w:hAnsi="Arial" w:cs="Arial"/>
          <w:sz w:val="18"/>
          <w:szCs w:val="18"/>
        </w:rPr>
        <w:t>Tris</w:t>
      </w:r>
      <w:proofErr w:type="spellEnd"/>
      <w:r>
        <w:rPr>
          <w:rFonts w:ascii="Arial" w:hAnsi="Arial" w:cs="Arial"/>
          <w:sz w:val="18"/>
          <w:szCs w:val="18"/>
        </w:rPr>
        <w:t xml:space="preserve">- buffered saline and Tween-20 (TBST) buffer, the mem- branes were incubated with specific primary antibodies at 4 °C overnight followed by secondary antibodies at room temperature for 2 h. Protein expression levels were visualized by enhanced </w:t>
      </w:r>
      <w:proofErr w:type="spellStart"/>
      <w:r>
        <w:rPr>
          <w:rFonts w:ascii="Arial" w:hAnsi="Arial" w:cs="Arial"/>
          <w:sz w:val="18"/>
          <w:szCs w:val="18"/>
        </w:rPr>
        <w:t>chemiluminescence</w:t>
      </w:r>
      <w:proofErr w:type="spellEnd"/>
      <w:r>
        <w:rPr>
          <w:rFonts w:ascii="Arial" w:hAnsi="Arial" w:cs="Arial"/>
          <w:sz w:val="18"/>
          <w:szCs w:val="18"/>
        </w:rPr>
        <w:t xml:space="preserve"> (ECL) detection system (</w:t>
      </w:r>
      <w:proofErr w:type="spellStart"/>
      <w:r>
        <w:rPr>
          <w:rFonts w:ascii="Arial" w:hAnsi="Arial" w:cs="Arial"/>
          <w:sz w:val="18"/>
          <w:szCs w:val="18"/>
        </w:rPr>
        <w:t>Tanon</w:t>
      </w:r>
      <w:proofErr w:type="spellEnd"/>
      <w:r>
        <w:rPr>
          <w:rFonts w:ascii="Arial" w:hAnsi="Arial" w:cs="Arial"/>
          <w:sz w:val="18"/>
          <w:szCs w:val="18"/>
        </w:rPr>
        <w:t>). The following antibodies were used: p62 (</w:t>
      </w:r>
      <w:proofErr w:type="spellStart"/>
      <w:r>
        <w:rPr>
          <w:rFonts w:ascii="Arial" w:hAnsi="Arial" w:cs="Arial"/>
          <w:sz w:val="18"/>
          <w:szCs w:val="18"/>
        </w:rPr>
        <w:t>abcam</w:t>
      </w:r>
      <w:proofErr w:type="spellEnd"/>
      <w:r>
        <w:rPr>
          <w:rFonts w:ascii="Arial" w:hAnsi="Arial" w:cs="Arial"/>
          <w:sz w:val="18"/>
          <w:szCs w:val="18"/>
        </w:rPr>
        <w:t xml:space="preserve"> ab109012), DCBLD1 (</w:t>
      </w:r>
      <w:proofErr w:type="spellStart"/>
      <w:r>
        <w:rPr>
          <w:rFonts w:ascii="Arial" w:hAnsi="Arial" w:cs="Arial"/>
          <w:sz w:val="18"/>
          <w:szCs w:val="18"/>
        </w:rPr>
        <w:t>abcam</w:t>
      </w:r>
      <w:proofErr w:type="spellEnd"/>
      <w:r>
        <w:rPr>
          <w:rFonts w:ascii="Arial" w:hAnsi="Arial" w:cs="Arial"/>
          <w:sz w:val="18"/>
          <w:szCs w:val="18"/>
        </w:rPr>
        <w:t xml:space="preserve"> ab185216), </w:t>
      </w:r>
      <w:proofErr w:type="spellStart"/>
      <w:r>
        <w:rPr>
          <w:rFonts w:ascii="Arial" w:hAnsi="Arial" w:cs="Arial"/>
          <w:sz w:val="18"/>
          <w:szCs w:val="18"/>
        </w:rPr>
        <w:t>mTOR</w:t>
      </w:r>
      <w:proofErr w:type="spellEnd"/>
      <w:r>
        <w:rPr>
          <w:rFonts w:ascii="Arial" w:hAnsi="Arial" w:cs="Arial"/>
          <w:sz w:val="18"/>
          <w:szCs w:val="18"/>
        </w:rPr>
        <w:t xml:space="preserve"> (</w:t>
      </w:r>
      <w:proofErr w:type="spellStart"/>
      <w:r>
        <w:rPr>
          <w:rFonts w:ascii="Arial" w:hAnsi="Arial" w:cs="Arial"/>
          <w:sz w:val="18"/>
          <w:szCs w:val="18"/>
        </w:rPr>
        <w:t>cst</w:t>
      </w:r>
      <w:proofErr w:type="spellEnd"/>
      <w:r>
        <w:rPr>
          <w:rFonts w:ascii="Arial" w:hAnsi="Arial" w:cs="Arial"/>
          <w:sz w:val="18"/>
          <w:szCs w:val="18"/>
        </w:rPr>
        <w:t xml:space="preserve"> #2983), p-</w:t>
      </w:r>
      <w:proofErr w:type="spellStart"/>
      <w:r>
        <w:rPr>
          <w:rFonts w:ascii="Arial" w:hAnsi="Arial" w:cs="Arial"/>
          <w:sz w:val="18"/>
          <w:szCs w:val="18"/>
        </w:rPr>
        <w:t>mTOR</w:t>
      </w:r>
      <w:proofErr w:type="spellEnd"/>
      <w:r>
        <w:rPr>
          <w:rFonts w:ascii="Arial" w:hAnsi="Arial" w:cs="Arial"/>
          <w:sz w:val="18"/>
          <w:szCs w:val="18"/>
        </w:rPr>
        <w:t xml:space="preserve"> (</w:t>
      </w:r>
      <w:proofErr w:type="spellStart"/>
      <w:r>
        <w:rPr>
          <w:rFonts w:ascii="Arial" w:hAnsi="Arial" w:cs="Arial"/>
          <w:sz w:val="18"/>
          <w:szCs w:val="18"/>
        </w:rPr>
        <w:t>cst</w:t>
      </w:r>
      <w:proofErr w:type="spellEnd"/>
      <w:r>
        <w:rPr>
          <w:rFonts w:ascii="Arial" w:hAnsi="Arial" w:cs="Arial"/>
          <w:sz w:val="18"/>
          <w:szCs w:val="18"/>
        </w:rPr>
        <w:t xml:space="preserve"> #5536), LC3B (</w:t>
      </w:r>
      <w:proofErr w:type="spellStart"/>
      <w:r>
        <w:rPr>
          <w:rFonts w:ascii="Arial" w:hAnsi="Arial" w:cs="Arial"/>
          <w:sz w:val="18"/>
          <w:szCs w:val="18"/>
        </w:rPr>
        <w:t>cst</w:t>
      </w:r>
      <w:proofErr w:type="spellEnd"/>
      <w:r>
        <w:rPr>
          <w:rFonts w:ascii="Arial" w:hAnsi="Arial" w:cs="Arial"/>
          <w:sz w:val="18"/>
          <w:szCs w:val="18"/>
        </w:rPr>
        <w:t xml:space="preserve"> #83506), HIF-1α (</w:t>
      </w:r>
      <w:proofErr w:type="spellStart"/>
      <w:r>
        <w:rPr>
          <w:rFonts w:ascii="Arial" w:hAnsi="Arial" w:cs="Arial"/>
          <w:sz w:val="18"/>
          <w:szCs w:val="18"/>
        </w:rPr>
        <w:t>cst</w:t>
      </w:r>
      <w:proofErr w:type="spellEnd"/>
      <w:r>
        <w:rPr>
          <w:rFonts w:ascii="Arial" w:hAnsi="Arial" w:cs="Arial"/>
          <w:sz w:val="18"/>
          <w:szCs w:val="18"/>
        </w:rPr>
        <w:t xml:space="preserve"> #36169S), Pan-L-</w:t>
      </w:r>
      <w:proofErr w:type="spellStart"/>
      <w:r>
        <w:rPr>
          <w:rFonts w:ascii="Arial" w:hAnsi="Arial" w:cs="Arial"/>
          <w:sz w:val="18"/>
          <w:szCs w:val="18"/>
        </w:rPr>
        <w:t>lactyl</w:t>
      </w:r>
      <w:proofErr w:type="spellEnd"/>
      <w:r>
        <w:rPr>
          <w:rFonts w:ascii="Arial" w:hAnsi="Arial" w:cs="Arial"/>
          <w:sz w:val="18"/>
          <w:szCs w:val="18"/>
        </w:rPr>
        <w:t xml:space="preserve">-lysine (PTM </w:t>
      </w:r>
      <w:proofErr w:type="spellStart"/>
      <w:r>
        <w:rPr>
          <w:rFonts w:ascii="Arial" w:hAnsi="Arial" w:cs="Arial"/>
          <w:sz w:val="18"/>
          <w:szCs w:val="18"/>
        </w:rPr>
        <w:t>BioLabs</w:t>
      </w:r>
      <w:proofErr w:type="spellEnd"/>
      <w:r>
        <w:rPr>
          <w:rFonts w:ascii="Arial" w:hAnsi="Arial" w:cs="Arial"/>
          <w:sz w:val="18"/>
          <w:szCs w:val="18"/>
        </w:rPr>
        <w:t xml:space="preserve"> PTM-1401RM), 6PGD (</w:t>
      </w:r>
      <w:proofErr w:type="spellStart"/>
      <w:r>
        <w:rPr>
          <w:rFonts w:ascii="Arial" w:hAnsi="Arial" w:cs="Arial"/>
          <w:sz w:val="18"/>
          <w:szCs w:val="18"/>
        </w:rPr>
        <w:t>proteintech</w:t>
      </w:r>
      <w:proofErr w:type="spellEnd"/>
      <w:r>
        <w:rPr>
          <w:rFonts w:ascii="Arial" w:hAnsi="Arial" w:cs="Arial"/>
          <w:sz w:val="18"/>
          <w:szCs w:val="18"/>
        </w:rPr>
        <w:t xml:space="preserve"> 14718-1-AP),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8"/>
          <w:szCs w:val="18"/>
        </w:rPr>
        <w:t>Ubiquitin (</w:t>
      </w:r>
      <w:proofErr w:type="spellStart"/>
      <w:r>
        <w:rPr>
          <w:rFonts w:ascii="Arial" w:hAnsi="Arial" w:cs="Arial"/>
          <w:sz w:val="18"/>
          <w:szCs w:val="18"/>
        </w:rPr>
        <w:t>cst</w:t>
      </w:r>
      <w:proofErr w:type="spellEnd"/>
      <w:r>
        <w:rPr>
          <w:rFonts w:ascii="Arial" w:hAnsi="Arial" w:cs="Arial"/>
          <w:sz w:val="18"/>
          <w:szCs w:val="18"/>
        </w:rPr>
        <w:t xml:space="preserve"> #3936) 6*His (</w:t>
      </w:r>
      <w:proofErr w:type="spellStart"/>
      <w:r>
        <w:rPr>
          <w:rFonts w:ascii="Arial" w:hAnsi="Arial" w:cs="Arial"/>
          <w:sz w:val="18"/>
          <w:szCs w:val="18"/>
        </w:rPr>
        <w:t>proteintech</w:t>
      </w:r>
      <w:proofErr w:type="spellEnd"/>
      <w:r>
        <w:rPr>
          <w:rFonts w:ascii="Arial" w:hAnsi="Arial" w:cs="Arial"/>
          <w:sz w:val="18"/>
          <w:szCs w:val="18"/>
        </w:rPr>
        <w:t xml:space="preserve"> 66005-1-Ig), GAPDH (</w:t>
      </w:r>
      <w:proofErr w:type="spellStart"/>
      <w:r>
        <w:rPr>
          <w:rFonts w:ascii="Arial" w:hAnsi="Arial" w:cs="Arial"/>
          <w:sz w:val="18"/>
          <w:szCs w:val="18"/>
        </w:rPr>
        <w:t>proteintech</w:t>
      </w:r>
      <w:proofErr w:type="spellEnd"/>
      <w:r>
        <w:rPr>
          <w:rFonts w:ascii="Arial" w:hAnsi="Arial" w:cs="Arial"/>
          <w:sz w:val="18"/>
          <w:szCs w:val="18"/>
        </w:rPr>
        <w:t xml:space="preserve"> 60004-1-Ig), and G6PD (</w:t>
      </w:r>
      <w:proofErr w:type="spellStart"/>
      <w:r>
        <w:rPr>
          <w:rFonts w:ascii="Arial" w:hAnsi="Arial" w:cs="Arial"/>
          <w:sz w:val="18"/>
          <w:szCs w:val="18"/>
        </w:rPr>
        <w:t>abcam</w:t>
      </w:r>
      <w:proofErr w:type="spellEnd"/>
      <w:r>
        <w:rPr>
          <w:rFonts w:ascii="Arial" w:hAnsi="Arial" w:cs="Arial"/>
          <w:sz w:val="18"/>
          <w:szCs w:val="18"/>
        </w:rPr>
        <w:t xml:space="preserve"> ab210702).</w:t>
      </w:r>
    </w:p>
    <w:p w:rsidR="00D43581" w:rsidRDefault="00D43581" w:rsidP="00D43581">
      <w:pPr>
        <w:spacing w:afterLines="100" w:after="312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b/>
          <w:bCs/>
          <w:sz w:val="18"/>
          <w:szCs w:val="18"/>
        </w:rPr>
        <w:t>Immunoprecipitation.</w:t>
      </w:r>
      <w:proofErr w:type="gramEnd"/>
      <w:r>
        <w:rPr>
          <w:rFonts w:ascii="Arial" w:hAnsi="Arial" w:cs="Arial"/>
          <w:sz w:val="18"/>
          <w:szCs w:val="18"/>
        </w:rPr>
        <w:t xml:space="preserve"> Immunoprecipitation was performed as described previously </w:t>
      </w:r>
      <w:r>
        <w:rPr>
          <w:rFonts w:ascii="Arial" w:hAnsi="Arial" w:cs="Arial"/>
          <w:sz w:val="18"/>
          <w:szCs w:val="18"/>
        </w:rPr>
        <w:fldChar w:fldCharType="begin">
          <w:fldData xml:space="preserve">PEVuZE5vdGU+PENpdGU+PEF1dGhvcj5aZW5nPC9BdXRob3I+PFllYXI+MjAxNjwvWWVhcj48UmVj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</w:fldData>
        </w:fldChar>
      </w:r>
      <w:r>
        <w:rPr>
          <w:rFonts w:ascii="Arial" w:hAnsi="Arial" w:cs="Arial"/>
          <w:sz w:val="18"/>
          <w:szCs w:val="18"/>
        </w:rPr>
        <w:instrText xml:space="preserve"> ADDIN EN.CITE </w:instrText>
      </w:r>
      <w:r>
        <w:rPr>
          <w:rFonts w:ascii="Arial" w:hAnsi="Arial" w:cs="Arial"/>
          <w:sz w:val="18"/>
          <w:szCs w:val="18"/>
        </w:rPr>
        <w:fldChar w:fldCharType="begin">
          <w:fldData xml:space="preserve">PEVuZE5vdGU+PENpdGU+PEF1dGhvcj5aZW5nPC9BdXRob3I+PFllYXI+MjAxNjwvWWVhcj48UmVj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</w:fldData>
        </w:fldChar>
      </w:r>
      <w:r>
        <w:rPr>
          <w:rFonts w:ascii="Arial" w:hAnsi="Arial" w:cs="Arial"/>
          <w:sz w:val="18"/>
          <w:szCs w:val="18"/>
        </w:rPr>
        <w:instrText xml:space="preserve"> ADDIN EN.CITE.DATA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sz w:val="18"/>
          <w:szCs w:val="18"/>
        </w:rPr>
        <w:t>(20)</w:t>
      </w:r>
      <w:r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. Briefly, about 500 µg of total cellular proteins were incubated with His antibody overnight at 4 °C followed by adding 30 µL of Protein A/G Magnetic Beads (MCE HY-K0202). The precipitates were washed seven times with </w:t>
      </w:r>
      <w:r>
        <w:rPr>
          <w:rFonts w:ascii="Arial" w:hAnsi="Arial" w:cs="Arial"/>
          <w:sz w:val="18"/>
          <w:szCs w:val="18"/>
        </w:rPr>
        <w:lastRenderedPageBreak/>
        <w:t>lysis buffer and boiled in SDS sample buffer. The supernatant was subjected to immunoblotting with appropriate antibodies.</w:t>
      </w:r>
    </w:p>
    <w:p w:rsidR="00D43581" w:rsidRDefault="00D43581" w:rsidP="00D43581">
      <w:pPr>
        <w:spacing w:afterLines="100" w:after="312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b/>
          <w:bCs/>
          <w:sz w:val="18"/>
          <w:szCs w:val="18"/>
        </w:rPr>
        <w:t>Quantitation of mRNA expression via real-time qPCR</w:t>
      </w:r>
      <w:r>
        <w:rPr>
          <w:rFonts w:ascii="Arial" w:hAnsi="Arial" w:cs="Arial"/>
          <w:sz w:val="18"/>
          <w:szCs w:val="18"/>
        </w:rPr>
        <w:t>.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  <w:highlight w:val="yellow"/>
        </w:rPr>
        <w:t xml:space="preserve">Cells were washed with PBS and </w:t>
      </w:r>
      <w:proofErr w:type="spellStart"/>
      <w:r>
        <w:rPr>
          <w:rFonts w:ascii="Arial" w:hAnsi="Arial" w:cs="Arial"/>
          <w:sz w:val="18"/>
          <w:szCs w:val="18"/>
          <w:highlight w:val="yellow"/>
        </w:rPr>
        <w:t>resuspended</w:t>
      </w:r>
      <w:proofErr w:type="spellEnd"/>
      <w:r>
        <w:rPr>
          <w:rFonts w:ascii="Arial" w:hAnsi="Arial" w:cs="Arial"/>
          <w:sz w:val="18"/>
          <w:szCs w:val="18"/>
          <w:highlight w:val="yellow"/>
        </w:rPr>
        <w:t xml:space="preserve"> in 1 mL of </w:t>
      </w:r>
      <w:proofErr w:type="spellStart"/>
      <w:r>
        <w:rPr>
          <w:rFonts w:ascii="Arial" w:hAnsi="Arial" w:cs="Arial"/>
          <w:sz w:val="18"/>
          <w:szCs w:val="18"/>
          <w:highlight w:val="yellow"/>
        </w:rPr>
        <w:t>TRIzol</w:t>
      </w:r>
      <w:proofErr w:type="spellEnd"/>
      <w:r>
        <w:rPr>
          <w:rFonts w:ascii="Arial" w:hAnsi="Arial" w:cs="Arial"/>
          <w:sz w:val="18"/>
          <w:szCs w:val="18"/>
          <w:highlight w:val="yellow"/>
        </w:rPr>
        <w:t xml:space="preserve"> (Invitrogen, USA) and then stored at −80 °C. Total RNA extraction was conducted using </w:t>
      </w:r>
      <w:proofErr w:type="spellStart"/>
      <w:r>
        <w:rPr>
          <w:rFonts w:ascii="Arial" w:hAnsi="Arial" w:cs="Arial"/>
          <w:sz w:val="18"/>
          <w:szCs w:val="18"/>
          <w:highlight w:val="yellow"/>
        </w:rPr>
        <w:t>TRIzol</w:t>
      </w:r>
      <w:proofErr w:type="spellEnd"/>
      <w:r>
        <w:rPr>
          <w:rFonts w:ascii="Arial" w:hAnsi="Arial" w:cs="Arial"/>
          <w:sz w:val="18"/>
          <w:szCs w:val="18"/>
          <w:highlight w:val="yellow"/>
        </w:rPr>
        <w:t xml:space="preserve"> reagent according to the manufacturer’s protocol. RNA concentrations were measured using a </w:t>
      </w:r>
      <w:proofErr w:type="spellStart"/>
      <w:r>
        <w:rPr>
          <w:rFonts w:ascii="Arial" w:hAnsi="Arial" w:cs="Arial"/>
          <w:sz w:val="18"/>
          <w:szCs w:val="18"/>
          <w:highlight w:val="yellow"/>
        </w:rPr>
        <w:t>nanodrop</w:t>
      </w:r>
      <w:proofErr w:type="spellEnd"/>
      <w:r>
        <w:rPr>
          <w:rFonts w:ascii="Arial" w:hAnsi="Arial" w:cs="Arial"/>
          <w:sz w:val="18"/>
          <w:szCs w:val="18"/>
          <w:highlight w:val="yellow"/>
        </w:rPr>
        <w:t xml:space="preserve"> spectrophotometer (</w:t>
      </w:r>
      <w:proofErr w:type="spellStart"/>
      <w:r>
        <w:rPr>
          <w:rFonts w:ascii="Arial" w:hAnsi="Arial" w:cs="Arial"/>
          <w:sz w:val="18"/>
          <w:szCs w:val="18"/>
          <w:highlight w:val="yellow"/>
        </w:rPr>
        <w:t>Thermo</w:t>
      </w:r>
      <w:proofErr w:type="spellEnd"/>
      <w:r>
        <w:rPr>
          <w:rFonts w:ascii="Arial" w:hAnsi="Arial" w:cs="Arial"/>
          <w:sz w:val="18"/>
          <w:szCs w:val="18"/>
          <w:highlight w:val="yellow"/>
        </w:rPr>
        <w:t xml:space="preserve"> Fisher Scientific). Next, 1 </w:t>
      </w:r>
      <w:proofErr w:type="spellStart"/>
      <w:r>
        <w:rPr>
          <w:rFonts w:ascii="Arial" w:hAnsi="Arial" w:cs="Arial"/>
          <w:sz w:val="18"/>
          <w:szCs w:val="18"/>
          <w:highlight w:val="yellow"/>
        </w:rPr>
        <w:t>μg</w:t>
      </w:r>
      <w:proofErr w:type="spellEnd"/>
      <w:r>
        <w:rPr>
          <w:rFonts w:ascii="Arial" w:hAnsi="Arial" w:cs="Arial"/>
          <w:sz w:val="18"/>
          <w:szCs w:val="18"/>
          <w:highlight w:val="yellow"/>
        </w:rPr>
        <w:t xml:space="preserve"> of total RNA was transcribed into cDNA by the </w:t>
      </w:r>
      <w:proofErr w:type="spellStart"/>
      <w:r>
        <w:rPr>
          <w:rFonts w:ascii="Arial" w:hAnsi="Arial" w:cs="Arial"/>
          <w:sz w:val="18"/>
          <w:szCs w:val="18"/>
          <w:highlight w:val="yellow"/>
        </w:rPr>
        <w:t>Hifair</w:t>
      </w:r>
      <w:proofErr w:type="spellEnd"/>
      <w:r>
        <w:rPr>
          <w:rFonts w:ascii="Arial" w:hAnsi="Arial" w:cs="Arial"/>
          <w:sz w:val="18"/>
          <w:szCs w:val="18"/>
          <w:highlight w:val="yellow"/>
        </w:rPr>
        <w:t xml:space="preserve">® </w:t>
      </w:r>
      <w:r>
        <w:rPr>
          <w:rFonts w:hint="eastAsia"/>
          <w:sz w:val="18"/>
          <w:szCs w:val="18"/>
          <w:highlight w:val="yellow"/>
        </w:rPr>
        <w:t>Ⅲ</w:t>
      </w:r>
      <w:r>
        <w:rPr>
          <w:rFonts w:ascii="Arial" w:hAnsi="Arial" w:cs="Arial"/>
          <w:sz w:val="18"/>
          <w:szCs w:val="18"/>
          <w:highlight w:val="yellow"/>
        </w:rPr>
        <w:t xml:space="preserve"> 1st Strand cDNA Synthesis </w:t>
      </w:r>
      <w:proofErr w:type="spellStart"/>
      <w:r>
        <w:rPr>
          <w:rFonts w:ascii="Arial" w:hAnsi="Arial" w:cs="Arial"/>
          <w:sz w:val="18"/>
          <w:szCs w:val="18"/>
          <w:highlight w:val="yellow"/>
        </w:rPr>
        <w:t>SuperMix</w:t>
      </w:r>
      <w:proofErr w:type="spellEnd"/>
      <w:r>
        <w:rPr>
          <w:rFonts w:ascii="Arial" w:hAnsi="Arial" w:cs="Arial"/>
          <w:sz w:val="18"/>
          <w:szCs w:val="18"/>
          <w:highlight w:val="yellow"/>
        </w:rPr>
        <w:t xml:space="preserve"> Kit (YEASEN, China). </w:t>
      </w:r>
      <w:proofErr w:type="spellStart"/>
      <w:proofErr w:type="gramStart"/>
      <w:r>
        <w:rPr>
          <w:rFonts w:ascii="Arial" w:hAnsi="Arial" w:cs="Arial"/>
          <w:sz w:val="18"/>
          <w:szCs w:val="18"/>
          <w:highlight w:val="yellow"/>
        </w:rPr>
        <w:t>qRT</w:t>
      </w:r>
      <w:proofErr w:type="spellEnd"/>
      <w:r>
        <w:rPr>
          <w:rFonts w:ascii="Arial" w:hAnsi="Arial" w:cs="Arial"/>
          <w:sz w:val="18"/>
          <w:szCs w:val="18"/>
          <w:highlight w:val="yellow"/>
        </w:rPr>
        <w:t>-PCR</w:t>
      </w:r>
      <w:proofErr w:type="gramEnd"/>
      <w:r>
        <w:rPr>
          <w:rFonts w:ascii="Arial" w:hAnsi="Arial" w:cs="Arial"/>
          <w:sz w:val="18"/>
          <w:szCs w:val="18"/>
          <w:highlight w:val="yellow"/>
        </w:rPr>
        <w:t xml:space="preserve"> was then performed with the </w:t>
      </w:r>
      <w:proofErr w:type="spellStart"/>
      <w:r>
        <w:rPr>
          <w:rFonts w:ascii="Arial" w:hAnsi="Arial" w:cs="Arial"/>
          <w:sz w:val="18"/>
          <w:szCs w:val="18"/>
          <w:highlight w:val="yellow"/>
        </w:rPr>
        <w:t>Hieff</w:t>
      </w:r>
      <w:proofErr w:type="spellEnd"/>
      <w:r>
        <w:rPr>
          <w:rFonts w:ascii="Arial" w:hAnsi="Arial" w:cs="Arial"/>
          <w:sz w:val="18"/>
          <w:szCs w:val="18"/>
          <w:highlight w:val="yellow"/>
        </w:rPr>
        <w:t>® qPCR SYBR Green Master Mix (YEASEN, China) on the 7300 Real-Time PCR Detection System (Applied Biosystems). The PCR conditions were 40 cycles of denaturation at 95°C for 10 seconds and annealing at 60°C for 31 seconds. Relative gene expression was calculated using the 2-ΔΔCt method. The expression level was normalized to that of tubulin</w:t>
      </w:r>
      <w:r>
        <w:rPr>
          <w:rFonts w:ascii="Arial" w:hAnsi="Arial" w:cs="Arial"/>
          <w:sz w:val="18"/>
          <w:szCs w:val="18"/>
        </w:rPr>
        <w:t>. Sequences of primers used for real-time PCR. Tubulin Forward: CCCTAGAACAACGGCCTGA G. Reverse: GTTACCTGCCCCAGACTGAC. G6PD Forward: AAGAACGTGAAGCTCCCTGA. Reverse: AATATAGGGGATGGGCTTGG. GAPDH Forward: TGAAGGTCGGAGTCAACGGATT. Reverse: CTTCTCCATGGTGGTGAAGAC. DCBLD1 Forward: ACACAAGTGAAGTAACCGTCCG Reverse: TGCTACGTCTCTACAACCAGC. HiF1α Forward: AGAGGTTGAGGGACGGAGAT. Reverse: GCACCAAGCAGGTCATAGGT. MCT1 Forward: GGAACAAGCAAACGAGGCAG. Reverse: GCCGGCTGTTACCCAACTAA.</w:t>
      </w:r>
    </w:p>
    <w:p w:rsidR="00D43581" w:rsidRDefault="00D43581" w:rsidP="00D43581">
      <w:pPr>
        <w:spacing w:afterLines="100" w:after="312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b/>
          <w:bCs/>
          <w:sz w:val="18"/>
          <w:szCs w:val="18"/>
        </w:rPr>
        <w:t>Cell viability assay</w:t>
      </w:r>
      <w:r>
        <w:rPr>
          <w:rFonts w:ascii="Arial" w:hAnsi="Arial" w:cs="Arial"/>
          <w:sz w:val="18"/>
          <w:szCs w:val="18"/>
        </w:rPr>
        <w:t>.</w:t>
      </w:r>
      <w:proofErr w:type="gramEnd"/>
      <w:r>
        <w:rPr>
          <w:rFonts w:ascii="Arial" w:hAnsi="Arial" w:cs="Arial"/>
          <w:sz w:val="18"/>
          <w:szCs w:val="18"/>
        </w:rPr>
        <w:t xml:space="preserve"> Overall, 2,000 cells were seeded in each well of a 96-well plate and allowed to adhere overnight. Cell viability was assessed 6 days later using the CCK-8 assay. The plates were read at a wavelength of 450 nm using a Synergy H1 microplate reader (</w:t>
      </w:r>
      <w:proofErr w:type="spellStart"/>
      <w:r>
        <w:rPr>
          <w:rFonts w:ascii="Arial" w:hAnsi="Arial" w:cs="Arial"/>
          <w:sz w:val="18"/>
          <w:szCs w:val="18"/>
        </w:rPr>
        <w:t>BioTek</w:t>
      </w:r>
      <w:proofErr w:type="spellEnd"/>
      <w:r>
        <w:rPr>
          <w:rFonts w:ascii="Arial" w:hAnsi="Arial" w:cs="Arial"/>
          <w:sz w:val="18"/>
          <w:szCs w:val="18"/>
        </w:rPr>
        <w:t xml:space="preserve"> Instruments).</w:t>
      </w:r>
    </w:p>
    <w:p w:rsidR="00D43581" w:rsidRDefault="00D43581" w:rsidP="00D43581">
      <w:pPr>
        <w:spacing w:afterLines="100" w:after="312"/>
        <w:jc w:val="both"/>
        <w:rPr>
          <w:rFonts w:ascii="Arial" w:hAnsi="Arial" w:cs="Arial"/>
          <w:sz w:val="18"/>
          <w:szCs w:val="18"/>
        </w:rPr>
      </w:pPr>
      <w:proofErr w:type="spellStart"/>
      <w:proofErr w:type="gramStart"/>
      <w:r>
        <w:rPr>
          <w:rFonts w:ascii="Arial" w:hAnsi="Arial" w:cs="Arial"/>
          <w:b/>
          <w:bCs/>
          <w:sz w:val="18"/>
          <w:szCs w:val="18"/>
        </w:rPr>
        <w:t>EdU</w:t>
      </w:r>
      <w:proofErr w:type="spellEnd"/>
      <w:r>
        <w:rPr>
          <w:rFonts w:ascii="Arial" w:hAnsi="Arial" w:cs="Arial"/>
          <w:b/>
          <w:bCs/>
          <w:sz w:val="18"/>
          <w:szCs w:val="18"/>
        </w:rPr>
        <w:t xml:space="preserve"> incorporation assay</w:t>
      </w:r>
      <w:r>
        <w:rPr>
          <w:rFonts w:ascii="Arial" w:hAnsi="Arial" w:cs="Arial"/>
          <w:sz w:val="18"/>
          <w:szCs w:val="18"/>
        </w:rPr>
        <w:t>.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EdU</w:t>
      </w:r>
      <w:proofErr w:type="spellEnd"/>
      <w:r>
        <w:rPr>
          <w:rFonts w:ascii="Arial" w:hAnsi="Arial" w:cs="Arial"/>
          <w:sz w:val="18"/>
          <w:szCs w:val="18"/>
        </w:rPr>
        <w:t xml:space="preserve"> incorporation assays were performed using a Cell-Light </w:t>
      </w:r>
      <w:proofErr w:type="spellStart"/>
      <w:r>
        <w:rPr>
          <w:rFonts w:ascii="Arial" w:hAnsi="Arial" w:cs="Arial"/>
          <w:sz w:val="18"/>
          <w:szCs w:val="18"/>
        </w:rPr>
        <w:t>EdU</w:t>
      </w:r>
      <w:proofErr w:type="spellEnd"/>
      <w:r>
        <w:rPr>
          <w:rFonts w:ascii="Arial" w:hAnsi="Arial" w:cs="Arial"/>
          <w:sz w:val="18"/>
          <w:szCs w:val="18"/>
        </w:rPr>
        <w:t xml:space="preserve"> Apollo 488 </w:t>
      </w:r>
      <w:proofErr w:type="gramStart"/>
      <w:r>
        <w:rPr>
          <w:rFonts w:ascii="Arial" w:hAnsi="Arial" w:cs="Arial"/>
          <w:sz w:val="18"/>
          <w:szCs w:val="18"/>
        </w:rPr>
        <w:t>In</w:t>
      </w:r>
      <w:proofErr w:type="gramEnd"/>
      <w:r>
        <w:rPr>
          <w:rFonts w:ascii="Arial" w:hAnsi="Arial" w:cs="Arial"/>
          <w:sz w:val="18"/>
          <w:szCs w:val="18"/>
        </w:rPr>
        <w:t xml:space="preserve"> Vitro Imaging Kit (</w:t>
      </w:r>
      <w:proofErr w:type="spellStart"/>
      <w:r>
        <w:rPr>
          <w:rFonts w:ascii="Arial" w:hAnsi="Arial" w:cs="Arial"/>
          <w:sz w:val="18"/>
          <w:szCs w:val="18"/>
        </w:rPr>
        <w:t>Beyotime</w:t>
      </w:r>
      <w:proofErr w:type="spellEnd"/>
      <w:r>
        <w:rPr>
          <w:rFonts w:ascii="Arial" w:hAnsi="Arial" w:cs="Arial"/>
          <w:sz w:val="18"/>
          <w:szCs w:val="18"/>
        </w:rPr>
        <w:t xml:space="preserve"> Company, Shanghai, China) according to the manufacturer’s instructions. Images were captured using an Olympus DP70 microscope (Olympus), and the number of </w:t>
      </w:r>
      <w:proofErr w:type="spellStart"/>
      <w:r>
        <w:rPr>
          <w:rFonts w:ascii="Arial" w:hAnsi="Arial" w:cs="Arial"/>
          <w:sz w:val="18"/>
          <w:szCs w:val="18"/>
        </w:rPr>
        <w:t>EdU</w:t>
      </w:r>
      <w:proofErr w:type="spellEnd"/>
      <w:r>
        <w:rPr>
          <w:rFonts w:ascii="Arial" w:hAnsi="Arial" w:cs="Arial"/>
          <w:sz w:val="18"/>
          <w:szCs w:val="18"/>
        </w:rPr>
        <w:t>-positive cells was counted.</w:t>
      </w:r>
    </w:p>
    <w:p w:rsidR="00D43581" w:rsidRDefault="00D43581" w:rsidP="00D43581">
      <w:pPr>
        <w:spacing w:afterLines="100" w:after="312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b/>
          <w:bCs/>
          <w:sz w:val="18"/>
          <w:szCs w:val="18"/>
        </w:rPr>
        <w:t>Immunofluorescence.</w:t>
      </w:r>
      <w:proofErr w:type="gramEnd"/>
      <w:r>
        <w:rPr>
          <w:rFonts w:ascii="Arial" w:hAnsi="Arial" w:cs="Arial"/>
          <w:sz w:val="18"/>
          <w:szCs w:val="18"/>
        </w:rPr>
        <w:t xml:space="preserve"> Cells, previously cultured on coverslips, were seeded 1 d before immunofluorescence analysis, reaching a final confluence of 70–80%. The cells were fixed with 4% paraformaldehyde for 10 min, </w:t>
      </w:r>
      <w:proofErr w:type="spellStart"/>
      <w:r>
        <w:rPr>
          <w:rFonts w:ascii="Arial" w:hAnsi="Arial" w:cs="Arial"/>
          <w:sz w:val="18"/>
          <w:szCs w:val="18"/>
        </w:rPr>
        <w:t>permeabilized</w:t>
      </w:r>
      <w:proofErr w:type="spellEnd"/>
      <w:r>
        <w:rPr>
          <w:rFonts w:ascii="Arial" w:hAnsi="Arial" w:cs="Arial"/>
          <w:sz w:val="18"/>
          <w:szCs w:val="18"/>
        </w:rPr>
        <w:t xml:space="preserve"> using 0.1% Triton X-100 for 5 min, blocked with 5% bovine serum albumin, and subsequently incubated with the specified antibodies. This was followed by staining with Texas Red-conjugated anti-rabbit IgG and fluorescein </w:t>
      </w:r>
      <w:proofErr w:type="spellStart"/>
      <w:r>
        <w:rPr>
          <w:rFonts w:ascii="Arial" w:hAnsi="Arial" w:cs="Arial"/>
          <w:sz w:val="18"/>
          <w:szCs w:val="18"/>
        </w:rPr>
        <w:t>isothiocyanate</w:t>
      </w:r>
      <w:proofErr w:type="spellEnd"/>
      <w:r>
        <w:rPr>
          <w:rFonts w:ascii="Arial" w:hAnsi="Arial" w:cs="Arial"/>
          <w:sz w:val="18"/>
          <w:szCs w:val="18"/>
        </w:rPr>
        <w:t>-conjugated anti-mouse IgG. The cells were mounted with a DAPI-containing medium (</w:t>
      </w:r>
      <w:proofErr w:type="spellStart"/>
      <w:r>
        <w:rPr>
          <w:rFonts w:ascii="Arial" w:hAnsi="Arial" w:cs="Arial"/>
          <w:sz w:val="18"/>
          <w:szCs w:val="18"/>
        </w:rPr>
        <w:t>Helixgen</w:t>
      </w:r>
      <w:proofErr w:type="spellEnd"/>
      <w:r>
        <w:rPr>
          <w:rFonts w:ascii="Arial" w:hAnsi="Arial" w:cs="Arial"/>
          <w:sz w:val="18"/>
          <w:szCs w:val="18"/>
        </w:rPr>
        <w:t>), and images were captured using a microscope (Olympus).</w:t>
      </w:r>
    </w:p>
    <w:p w:rsidR="00D43581" w:rsidRDefault="00D43581" w:rsidP="00D43581">
      <w:pPr>
        <w:spacing w:afterLines="100" w:after="312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b/>
          <w:bCs/>
          <w:sz w:val="18"/>
          <w:szCs w:val="18"/>
        </w:rPr>
        <w:t>Metabolic measurements</w:t>
      </w:r>
      <w:r>
        <w:rPr>
          <w:rFonts w:ascii="Arial" w:hAnsi="Arial" w:cs="Arial"/>
          <w:sz w:val="18"/>
          <w:szCs w:val="18"/>
        </w:rPr>
        <w:t>.</w:t>
      </w:r>
      <w:proofErr w:type="gramEnd"/>
      <w:r>
        <w:rPr>
          <w:rFonts w:ascii="Arial" w:hAnsi="Arial" w:cs="Arial"/>
          <w:sz w:val="18"/>
          <w:szCs w:val="18"/>
        </w:rPr>
        <w:t xml:space="preserve"> Intracellular NADPH was measured using cell lysates with an NADPH assay kit (</w:t>
      </w:r>
      <w:proofErr w:type="spellStart"/>
      <w:r>
        <w:rPr>
          <w:rFonts w:ascii="Arial" w:hAnsi="Arial" w:cs="Arial"/>
          <w:sz w:val="18"/>
          <w:szCs w:val="18"/>
        </w:rPr>
        <w:t>Beyotime</w:t>
      </w:r>
      <w:proofErr w:type="spellEnd"/>
      <w:r>
        <w:rPr>
          <w:rFonts w:ascii="Arial" w:hAnsi="Arial" w:cs="Arial"/>
          <w:sz w:val="18"/>
          <w:szCs w:val="18"/>
        </w:rPr>
        <w:t>) according to the manufacturer’s instructions. The intracellular GSH was measured using cell lysates with a GSH assay kit (</w:t>
      </w:r>
      <w:proofErr w:type="spellStart"/>
      <w:r>
        <w:rPr>
          <w:rFonts w:ascii="Arial" w:hAnsi="Arial" w:cs="Arial"/>
          <w:sz w:val="18"/>
          <w:szCs w:val="18"/>
        </w:rPr>
        <w:t>Beyotime</w:t>
      </w:r>
      <w:proofErr w:type="spellEnd"/>
      <w:r>
        <w:rPr>
          <w:rFonts w:ascii="Arial" w:hAnsi="Arial" w:cs="Arial"/>
          <w:sz w:val="18"/>
          <w:szCs w:val="18"/>
        </w:rPr>
        <w:t xml:space="preserve">) according to the manufacturer’s instructions and normalized to the protein concentration. G6PD enzyme activity was determined by using a </w:t>
      </w:r>
      <w:proofErr w:type="spellStart"/>
      <w:r>
        <w:rPr>
          <w:rFonts w:ascii="Arial" w:hAnsi="Arial" w:cs="Arial"/>
          <w:sz w:val="18"/>
          <w:szCs w:val="18"/>
        </w:rPr>
        <w:t>Solarbio</w:t>
      </w:r>
      <w:proofErr w:type="spellEnd"/>
      <w:r>
        <w:rPr>
          <w:rFonts w:ascii="Arial" w:hAnsi="Arial" w:cs="Arial"/>
          <w:sz w:val="18"/>
          <w:szCs w:val="18"/>
        </w:rPr>
        <w:t xml:space="preserve"> kit (BC0265) according to the manufacturer’s instruction.</w:t>
      </w:r>
    </w:p>
    <w:p w:rsidR="00D43581" w:rsidRDefault="00D43581" w:rsidP="00D43581">
      <w:pPr>
        <w:spacing w:afterLines="100" w:after="312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b/>
          <w:bCs/>
          <w:sz w:val="18"/>
          <w:szCs w:val="18"/>
        </w:rPr>
        <w:lastRenderedPageBreak/>
        <w:t>Intracellular ROS measurement.</w:t>
      </w:r>
      <w:proofErr w:type="gramEnd"/>
      <w:r>
        <w:rPr>
          <w:rFonts w:ascii="Arial" w:hAnsi="Arial" w:cs="Arial"/>
          <w:b/>
          <w:bCs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Intracellular ROS levels were assessed by detecting </w:t>
      </w:r>
      <w:proofErr w:type="spellStart"/>
      <w:r>
        <w:rPr>
          <w:rFonts w:ascii="Arial" w:hAnsi="Arial" w:cs="Arial"/>
          <w:sz w:val="18"/>
          <w:szCs w:val="18"/>
        </w:rPr>
        <w:t>dichlorodihydrofluorescein</w:t>
      </w:r>
      <w:proofErr w:type="spellEnd"/>
      <w:r>
        <w:rPr>
          <w:rFonts w:ascii="Arial" w:hAnsi="Arial" w:cs="Arial"/>
          <w:sz w:val="18"/>
          <w:szCs w:val="18"/>
        </w:rPr>
        <w:t>, the cleavage product of carboxy-H2DCFDA (Invitrogen), following the manufacturer’s guidelines. Briefly, 2 × 10</w:t>
      </w:r>
      <w:r>
        <w:rPr>
          <w:rFonts w:ascii="Arial" w:hAnsi="Arial" w:cs="Arial"/>
          <w:sz w:val="18"/>
          <w:szCs w:val="18"/>
          <w:vertAlign w:val="superscript"/>
        </w:rPr>
        <w:t>5</w:t>
      </w:r>
      <w:r>
        <w:rPr>
          <w:rFonts w:ascii="Arial" w:hAnsi="Arial" w:cs="Arial"/>
          <w:sz w:val="18"/>
          <w:szCs w:val="18"/>
        </w:rPr>
        <w:t xml:space="preserve"> cells were initially seeded in 6-well plates. After 24 h, the cells were rinsed with PBS and then incubated with 5 </w:t>
      </w:r>
      <w:proofErr w:type="spellStart"/>
      <w:r>
        <w:rPr>
          <w:rFonts w:ascii="Arial" w:hAnsi="Arial" w:cs="Arial"/>
          <w:sz w:val="18"/>
          <w:szCs w:val="18"/>
        </w:rPr>
        <w:t>μM</w:t>
      </w:r>
      <w:proofErr w:type="spellEnd"/>
      <w:r>
        <w:rPr>
          <w:rFonts w:ascii="Arial" w:hAnsi="Arial" w:cs="Arial"/>
          <w:sz w:val="18"/>
          <w:szCs w:val="18"/>
        </w:rPr>
        <w:t xml:space="preserve"> carboxy-H2DCFDA for 30 min at 37°C. The cells were harvested, </w:t>
      </w:r>
      <w:proofErr w:type="spellStart"/>
      <w:r>
        <w:rPr>
          <w:rFonts w:ascii="Arial" w:hAnsi="Arial" w:cs="Arial"/>
          <w:sz w:val="18"/>
          <w:szCs w:val="18"/>
        </w:rPr>
        <w:t>resuspended</w:t>
      </w:r>
      <w:proofErr w:type="spellEnd"/>
      <w:r>
        <w:rPr>
          <w:rFonts w:ascii="Arial" w:hAnsi="Arial" w:cs="Arial"/>
          <w:sz w:val="18"/>
          <w:szCs w:val="18"/>
        </w:rPr>
        <w:t xml:space="preserve"> in PBS, and subjected to FACS analysis (BD Biosciences, USA; excitation and emission at 490 and 530 nm, respectively). </w:t>
      </w:r>
    </w:p>
    <w:p w:rsidR="00D43581" w:rsidRDefault="00D43581" w:rsidP="00D43581">
      <w:pPr>
        <w:spacing w:afterLines="100" w:after="312"/>
        <w:jc w:val="both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b/>
          <w:bCs/>
          <w:sz w:val="18"/>
          <w:szCs w:val="18"/>
        </w:rPr>
        <w:t>Transwell</w:t>
      </w:r>
      <w:proofErr w:type="spellEnd"/>
      <w:r>
        <w:rPr>
          <w:rFonts w:ascii="Arial" w:hAnsi="Arial" w:cs="Arial"/>
          <w:b/>
          <w:bCs/>
          <w:sz w:val="18"/>
          <w:szCs w:val="18"/>
        </w:rPr>
        <w:t xml:space="preserve"> Cell Migration/Invasion </w:t>
      </w:r>
      <w:proofErr w:type="spellStart"/>
      <w:r>
        <w:rPr>
          <w:rFonts w:ascii="Arial" w:hAnsi="Arial" w:cs="Arial"/>
          <w:b/>
          <w:bCs/>
          <w:sz w:val="18"/>
          <w:szCs w:val="18"/>
        </w:rPr>
        <w:t>Matrigel</w:t>
      </w:r>
      <w:proofErr w:type="spellEnd"/>
      <w:r>
        <w:rPr>
          <w:rFonts w:ascii="Arial" w:hAnsi="Arial" w:cs="Arial"/>
          <w:b/>
          <w:bCs/>
          <w:sz w:val="18"/>
          <w:szCs w:val="18"/>
        </w:rPr>
        <w:t xml:space="preserve"> Assays</w:t>
      </w:r>
      <w:r>
        <w:rPr>
          <w:rFonts w:ascii="Arial" w:hAnsi="Arial" w:cs="Arial"/>
          <w:sz w:val="18"/>
          <w:szCs w:val="18"/>
        </w:rPr>
        <w:t xml:space="preserve">. C33A and HeLa cells alone or transduced with shR-DCBLD1, or </w:t>
      </w:r>
      <w:proofErr w:type="spellStart"/>
      <w:r>
        <w:rPr>
          <w:rFonts w:ascii="Arial" w:hAnsi="Arial" w:cs="Arial"/>
          <w:sz w:val="18"/>
          <w:szCs w:val="18"/>
        </w:rPr>
        <w:t>shR</w:t>
      </w:r>
      <w:proofErr w:type="spellEnd"/>
      <w:r>
        <w:rPr>
          <w:rFonts w:ascii="Arial" w:hAnsi="Arial" w:cs="Arial"/>
          <w:sz w:val="18"/>
          <w:szCs w:val="18"/>
        </w:rPr>
        <w:t xml:space="preserve">-Ctrl were placed in the upper chamber of the </w:t>
      </w:r>
      <w:proofErr w:type="spellStart"/>
      <w:r>
        <w:rPr>
          <w:rFonts w:ascii="Arial" w:hAnsi="Arial" w:cs="Arial"/>
          <w:sz w:val="18"/>
          <w:szCs w:val="18"/>
        </w:rPr>
        <w:t>Transwell</w:t>
      </w:r>
      <w:proofErr w:type="spellEnd"/>
      <w:r>
        <w:rPr>
          <w:rFonts w:ascii="Arial" w:hAnsi="Arial" w:cs="Arial"/>
          <w:sz w:val="18"/>
          <w:szCs w:val="18"/>
        </w:rPr>
        <w:t xml:space="preserve"> Membrane Inserts or </w:t>
      </w:r>
      <w:proofErr w:type="spellStart"/>
      <w:r>
        <w:rPr>
          <w:rFonts w:ascii="Arial" w:hAnsi="Arial" w:cs="Arial"/>
          <w:sz w:val="18"/>
          <w:szCs w:val="18"/>
        </w:rPr>
        <w:t>precoated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Matrigel</w:t>
      </w:r>
      <w:proofErr w:type="spellEnd"/>
      <w:r>
        <w:rPr>
          <w:rFonts w:ascii="Arial" w:hAnsi="Arial" w:cs="Arial"/>
          <w:sz w:val="18"/>
          <w:szCs w:val="18"/>
        </w:rPr>
        <w:t xml:space="preserve"> Chambers from BD Biosciences. After 48 h, migrated/invasive cells were stained with 1% crystal violet and quantified under a microscope.</w:t>
      </w:r>
    </w:p>
    <w:p w:rsidR="00D43581" w:rsidRDefault="00D43581" w:rsidP="00D43581">
      <w:pPr>
        <w:spacing w:afterLines="100" w:after="312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b/>
          <w:bCs/>
          <w:sz w:val="18"/>
          <w:szCs w:val="18"/>
        </w:rPr>
        <w:t>LC-MS analysis of cell metabolites.</w:t>
      </w:r>
      <w:proofErr w:type="gramEnd"/>
      <w:r>
        <w:rPr>
          <w:rFonts w:ascii="Arial" w:hAnsi="Arial" w:cs="Arial"/>
          <w:sz w:val="18"/>
          <w:szCs w:val="18"/>
        </w:rPr>
        <w:t xml:space="preserve"> Approximately 5 × 10</w:t>
      </w:r>
      <w:r>
        <w:rPr>
          <w:rFonts w:ascii="Arial" w:hAnsi="Arial" w:cs="Arial"/>
          <w:sz w:val="18"/>
          <w:szCs w:val="18"/>
          <w:vertAlign w:val="superscript"/>
        </w:rPr>
        <w:t>6</w:t>
      </w:r>
      <w:r>
        <w:rPr>
          <w:rFonts w:ascii="Arial" w:hAnsi="Arial" w:cs="Arial"/>
          <w:sz w:val="18"/>
          <w:szCs w:val="18"/>
        </w:rPr>
        <w:t xml:space="preserve"> cells were washed twice with cold PBS, and polar metabolites were immediately extracted with ice-cold 80% methanol. Samples were subjected to freeze–thaw cycles or sonication to extract the metabolites. The supernatants were collected and dried. The powder containing metabolites was dissolved in 80% methanol to run LC-MS. For the kinetic LC-MS analyses, a Shimadzu </w:t>
      </w:r>
      <w:proofErr w:type="spellStart"/>
      <w:r>
        <w:rPr>
          <w:rFonts w:ascii="Arial" w:hAnsi="Arial" w:cs="Arial"/>
          <w:sz w:val="18"/>
          <w:szCs w:val="18"/>
        </w:rPr>
        <w:t>Nexera</w:t>
      </w:r>
      <w:proofErr w:type="spellEnd"/>
      <w:r>
        <w:rPr>
          <w:rFonts w:ascii="Arial" w:hAnsi="Arial" w:cs="Arial"/>
          <w:sz w:val="18"/>
          <w:szCs w:val="18"/>
        </w:rPr>
        <w:t xml:space="preserve"> ×2 UHPLC combined with a </w:t>
      </w:r>
      <w:proofErr w:type="spellStart"/>
      <w:r>
        <w:rPr>
          <w:rFonts w:ascii="Arial" w:hAnsi="Arial" w:cs="Arial"/>
          <w:sz w:val="18"/>
          <w:szCs w:val="18"/>
        </w:rPr>
        <w:t>Sciex</w:t>
      </w:r>
      <w:proofErr w:type="spellEnd"/>
      <w:r>
        <w:rPr>
          <w:rFonts w:ascii="Arial" w:hAnsi="Arial" w:cs="Arial"/>
          <w:sz w:val="18"/>
          <w:szCs w:val="18"/>
        </w:rPr>
        <w:t xml:space="preserve"> 5600 Triple Time of Flight-Mass Spectrometry (TOFMS) was used, which was controlled by </w:t>
      </w:r>
      <w:proofErr w:type="spellStart"/>
      <w:r>
        <w:rPr>
          <w:rFonts w:ascii="Arial" w:hAnsi="Arial" w:cs="Arial"/>
          <w:sz w:val="18"/>
          <w:szCs w:val="18"/>
        </w:rPr>
        <w:t>Sciex</w:t>
      </w:r>
      <w:proofErr w:type="spellEnd"/>
      <w:r>
        <w:rPr>
          <w:rFonts w:ascii="Arial" w:hAnsi="Arial" w:cs="Arial"/>
          <w:sz w:val="18"/>
          <w:szCs w:val="18"/>
        </w:rPr>
        <w:t xml:space="preserve"> Analyst 1.7.1 instrument acquiring software. A </w:t>
      </w:r>
      <w:proofErr w:type="spellStart"/>
      <w:r>
        <w:rPr>
          <w:rFonts w:ascii="Arial" w:hAnsi="Arial" w:cs="Arial"/>
          <w:sz w:val="18"/>
          <w:szCs w:val="18"/>
        </w:rPr>
        <w:t>Supelco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Ascentis</w:t>
      </w:r>
      <w:proofErr w:type="spellEnd"/>
      <w:r>
        <w:rPr>
          <w:rFonts w:ascii="Arial" w:hAnsi="Arial" w:cs="Arial"/>
          <w:sz w:val="18"/>
          <w:szCs w:val="18"/>
        </w:rPr>
        <w:t xml:space="preserve"> Express HILIC </w:t>
      </w:r>
      <w:proofErr w:type="spellStart"/>
      <w:r>
        <w:rPr>
          <w:rFonts w:ascii="Arial" w:hAnsi="Arial" w:cs="Arial"/>
          <w:sz w:val="18"/>
          <w:szCs w:val="18"/>
        </w:rPr>
        <w:t>Acquity</w:t>
      </w:r>
      <w:proofErr w:type="spellEnd"/>
      <w:r>
        <w:rPr>
          <w:rFonts w:ascii="Arial" w:hAnsi="Arial" w:cs="Arial"/>
          <w:sz w:val="18"/>
          <w:szCs w:val="18"/>
        </w:rPr>
        <w:t xml:space="preserve"> UPLC BEH Amide (150 cm × 2.1 mm, 1.7 </w:t>
      </w:r>
      <w:proofErr w:type="spellStart"/>
      <w:r>
        <w:rPr>
          <w:rFonts w:ascii="Arial" w:hAnsi="Arial" w:cs="Arial"/>
          <w:sz w:val="18"/>
          <w:szCs w:val="18"/>
        </w:rPr>
        <w:t>μm</w:t>
      </w:r>
      <w:proofErr w:type="spellEnd"/>
      <w:r>
        <w:rPr>
          <w:rFonts w:ascii="Arial" w:hAnsi="Arial" w:cs="Arial"/>
          <w:sz w:val="18"/>
          <w:szCs w:val="18"/>
        </w:rPr>
        <w:t xml:space="preserve">) column was used with mobile phase (A) consisting of 5 </w:t>
      </w:r>
      <w:proofErr w:type="spellStart"/>
      <w:r>
        <w:rPr>
          <w:rFonts w:ascii="Arial" w:hAnsi="Arial" w:cs="Arial"/>
          <w:sz w:val="18"/>
          <w:szCs w:val="18"/>
        </w:rPr>
        <w:t>mM</w:t>
      </w:r>
      <w:proofErr w:type="spellEnd"/>
      <w:r>
        <w:rPr>
          <w:rFonts w:ascii="Arial" w:hAnsi="Arial" w:cs="Arial"/>
          <w:sz w:val="18"/>
          <w:szCs w:val="18"/>
        </w:rPr>
        <w:t xml:space="preserve"> ammonium </w:t>
      </w:r>
      <w:proofErr w:type="spellStart"/>
      <w:r>
        <w:rPr>
          <w:rFonts w:ascii="Arial" w:hAnsi="Arial" w:cs="Arial"/>
          <w:sz w:val="18"/>
          <w:szCs w:val="18"/>
        </w:rPr>
        <w:t>formate</w:t>
      </w:r>
      <w:proofErr w:type="spellEnd"/>
      <w:r>
        <w:rPr>
          <w:rFonts w:ascii="Arial" w:hAnsi="Arial" w:cs="Arial"/>
          <w:sz w:val="18"/>
          <w:szCs w:val="18"/>
        </w:rPr>
        <w:t xml:space="preserve"> and 0.05% formic acid; mobile phase (B) consisting of 90% acetonitrile (ACN) and 10% water. Gradient program: mobile phase (A) was held at 15% for 0 min and then increased to 30% in 7 min; then to 60% in 6 min and held for 1 min before returning initial condition. The column was held at 40 °C and 5 </w:t>
      </w:r>
      <w:proofErr w:type="spellStart"/>
      <w:r>
        <w:rPr>
          <w:rFonts w:ascii="Arial" w:hAnsi="Arial" w:cs="Arial"/>
          <w:sz w:val="18"/>
          <w:szCs w:val="18"/>
        </w:rPr>
        <w:t>μl</w:t>
      </w:r>
      <w:proofErr w:type="spellEnd"/>
      <w:r>
        <w:rPr>
          <w:rFonts w:ascii="Arial" w:hAnsi="Arial" w:cs="Arial"/>
          <w:sz w:val="18"/>
          <w:szCs w:val="18"/>
        </w:rPr>
        <w:t xml:space="preserve"> of sample was injected into the LC-MS with a flow rate of 0.2 ml/min. Automatic calibrations of TOFMS were achieved with average mass accuracy of &lt; 2 ppm. Data Processing Software included </w:t>
      </w:r>
      <w:proofErr w:type="spellStart"/>
      <w:r>
        <w:rPr>
          <w:rFonts w:ascii="Arial" w:hAnsi="Arial" w:cs="Arial"/>
          <w:sz w:val="18"/>
          <w:szCs w:val="18"/>
        </w:rPr>
        <w:t>Sciex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PeakView</w:t>
      </w:r>
      <w:proofErr w:type="spellEnd"/>
      <w:r>
        <w:rPr>
          <w:rFonts w:ascii="Arial" w:hAnsi="Arial" w:cs="Arial"/>
          <w:sz w:val="18"/>
          <w:szCs w:val="18"/>
        </w:rPr>
        <w:t xml:space="preserve"> 2.2, </w:t>
      </w:r>
      <w:proofErr w:type="spellStart"/>
      <w:r>
        <w:rPr>
          <w:rFonts w:ascii="Arial" w:hAnsi="Arial" w:cs="Arial"/>
          <w:sz w:val="18"/>
          <w:szCs w:val="18"/>
        </w:rPr>
        <w:t>MasterView</w:t>
      </w:r>
      <w:proofErr w:type="spellEnd"/>
      <w:r>
        <w:rPr>
          <w:rFonts w:ascii="Arial" w:hAnsi="Arial" w:cs="Arial"/>
          <w:sz w:val="18"/>
          <w:szCs w:val="18"/>
        </w:rPr>
        <w:t xml:space="preserve"> 1.1, and </w:t>
      </w:r>
      <w:proofErr w:type="spellStart"/>
      <w:r>
        <w:rPr>
          <w:rFonts w:ascii="Arial" w:hAnsi="Arial" w:cs="Arial"/>
          <w:sz w:val="18"/>
          <w:szCs w:val="18"/>
        </w:rPr>
        <w:t>MultiQuant</w:t>
      </w:r>
      <w:proofErr w:type="spellEnd"/>
      <w:r>
        <w:rPr>
          <w:rFonts w:ascii="Arial" w:hAnsi="Arial" w:cs="Arial"/>
          <w:sz w:val="18"/>
          <w:szCs w:val="18"/>
        </w:rPr>
        <w:t xml:space="preserve"> 3.0.2.</w:t>
      </w:r>
    </w:p>
    <w:p w:rsidR="00D43581" w:rsidRDefault="00D43581" w:rsidP="00D43581">
      <w:pPr>
        <w:spacing w:afterLines="100" w:after="312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b/>
          <w:bCs/>
          <w:sz w:val="18"/>
          <w:szCs w:val="18"/>
        </w:rPr>
        <w:t>Immunohistochemistry.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Immunohistochemical</w:t>
      </w:r>
      <w:proofErr w:type="spellEnd"/>
      <w:r>
        <w:rPr>
          <w:rFonts w:ascii="Arial" w:hAnsi="Arial" w:cs="Arial"/>
          <w:sz w:val="18"/>
          <w:szCs w:val="18"/>
        </w:rPr>
        <w:t xml:space="preserve"> staining of cervical cancer tissues was performed at the </w:t>
      </w:r>
      <w:proofErr w:type="spellStart"/>
      <w:r>
        <w:rPr>
          <w:rFonts w:ascii="Arial" w:hAnsi="Arial" w:cs="Arial"/>
          <w:sz w:val="18"/>
          <w:szCs w:val="18"/>
        </w:rPr>
        <w:t>Histomorphology</w:t>
      </w:r>
      <w:proofErr w:type="spellEnd"/>
      <w:r>
        <w:rPr>
          <w:rFonts w:ascii="Arial" w:hAnsi="Arial" w:cs="Arial"/>
          <w:sz w:val="18"/>
          <w:szCs w:val="18"/>
        </w:rPr>
        <w:t xml:space="preserve"> Platform of Jilin University following the manufacturer’s standard protocol. Briefly, the tissues were fixed with 4% paraformaldehyde at room temperature. Following paraffin embedding, the tissue paraffin blocks were sectioned into 4 mm slices. The sections were </w:t>
      </w:r>
      <w:proofErr w:type="spellStart"/>
      <w:r>
        <w:rPr>
          <w:rFonts w:ascii="Arial" w:hAnsi="Arial" w:cs="Arial"/>
          <w:sz w:val="18"/>
          <w:szCs w:val="18"/>
        </w:rPr>
        <w:t>deparaffinized</w:t>
      </w:r>
      <w:proofErr w:type="spellEnd"/>
      <w:r>
        <w:rPr>
          <w:rFonts w:ascii="Arial" w:hAnsi="Arial" w:cs="Arial"/>
          <w:sz w:val="18"/>
          <w:szCs w:val="18"/>
        </w:rPr>
        <w:t xml:space="preserve"> with xylene and subsequently rehydrated through a series of decreasing ethanol concentrations. After conducting antigen retrieval through high-pressure heat treatment, the slides were treated with 3% H2O2 for 10 min. Subsequently, the tissue slides were blocked in 5% goat serum for 30 min and left to incubate with primary antibodies overnight at 4°C. The following day, the slides were washed thrice with PBS. HRP-conjugated secondary antibody was used and incubated for 30 min at 37°C. The slides were then washed thrice with PBS. Subsequently, the slides were subjected to color development using 3, 3’-diaminobenzidine (DAB). Images were captured using a microscope (OLYMPUS BX51). </w:t>
      </w:r>
      <w:r>
        <w:rPr>
          <w:rFonts w:ascii="Arial" w:eastAsiaTheme="minorEastAsia" w:hAnsi="Arial" w:cs="Arial"/>
          <w:color w:val="000000"/>
          <w:sz w:val="18"/>
          <w:szCs w:val="18"/>
        </w:rPr>
        <w:t xml:space="preserve">The staining index was based on the staining intensity, which was graded as “−,” no staining; “+,” weak staining; “++,” moderate staining; and “+++,” strong staining. Samples that scored as “−” or “+” were considered as low expression and those scored as “++” or “+++” as high expression. All stained slides were </w:t>
      </w:r>
      <w:proofErr w:type="spellStart"/>
      <w:r>
        <w:rPr>
          <w:rFonts w:ascii="Arial" w:eastAsiaTheme="minorEastAsia" w:hAnsi="Arial" w:cs="Arial"/>
          <w:color w:val="000000"/>
          <w:sz w:val="18"/>
          <w:szCs w:val="18"/>
        </w:rPr>
        <w:t>ob</w:t>
      </w:r>
      <w:proofErr w:type="spellEnd"/>
      <w:r>
        <w:rPr>
          <w:rFonts w:ascii="Arial" w:eastAsiaTheme="minorEastAsia" w:hAnsi="Arial" w:cs="Arial"/>
          <w:color w:val="000000"/>
          <w:sz w:val="18"/>
          <w:szCs w:val="18"/>
        </w:rPr>
        <w:t xml:space="preserve">- served and scored by two pathologists. If the staining interpretation differed between the two investigators, the data for the slide were discarded. For determining the H score, stained tissues were scored by calculating the </w:t>
      </w:r>
      <w:r>
        <w:rPr>
          <w:rFonts w:ascii="Arial" w:eastAsiaTheme="minorEastAsia" w:hAnsi="Arial" w:cs="Arial"/>
          <w:color w:val="000000"/>
          <w:sz w:val="18"/>
          <w:szCs w:val="18"/>
        </w:rPr>
        <w:lastRenderedPageBreak/>
        <w:t>product of the intensity level and the percentage of cells staining at that level (0, negative; 1, weak; 2, moderate; 3, strong). An H score was then calculated by summing the individual intensity level scores.</w:t>
      </w:r>
    </w:p>
    <w:p w:rsidR="00D43581" w:rsidRDefault="00D43581" w:rsidP="00D43581">
      <w:pPr>
        <w:spacing w:afterLines="100" w:after="312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b/>
          <w:bCs/>
          <w:sz w:val="18"/>
          <w:szCs w:val="18"/>
        </w:rPr>
        <w:t xml:space="preserve">LC-MS for </w:t>
      </w:r>
      <w:proofErr w:type="spellStart"/>
      <w:r>
        <w:rPr>
          <w:rFonts w:ascii="Arial" w:hAnsi="Arial" w:cs="Arial"/>
          <w:b/>
          <w:bCs/>
          <w:sz w:val="18"/>
          <w:szCs w:val="18"/>
        </w:rPr>
        <w:t>lactylation</w:t>
      </w:r>
      <w:proofErr w:type="spellEnd"/>
      <w:r>
        <w:rPr>
          <w:rFonts w:ascii="Arial" w:hAnsi="Arial" w:cs="Arial"/>
          <w:b/>
          <w:bCs/>
          <w:sz w:val="18"/>
          <w:szCs w:val="18"/>
        </w:rPr>
        <w:t xml:space="preserve"> detection.</w:t>
      </w:r>
      <w:proofErr w:type="gramEnd"/>
      <w:r>
        <w:rPr>
          <w:rFonts w:ascii="Arial" w:hAnsi="Arial" w:cs="Arial"/>
          <w:sz w:val="18"/>
          <w:szCs w:val="18"/>
        </w:rPr>
        <w:t xml:space="preserve"> HEK293T cells were transfected with the His-DCBLD1 plasmid for 24 h and then exposed to L-</w:t>
      </w:r>
      <w:r>
        <w:rPr>
          <w:rFonts w:ascii="Arial" w:hAnsi="Arial" w:cs="Arial" w:hint="eastAsia"/>
          <w:sz w:val="18"/>
          <w:szCs w:val="18"/>
        </w:rPr>
        <w:t>lactate</w:t>
      </w:r>
      <w:r>
        <w:rPr>
          <w:rFonts w:ascii="Arial" w:hAnsi="Arial" w:cs="Arial"/>
          <w:sz w:val="18"/>
          <w:szCs w:val="18"/>
        </w:rPr>
        <w:t xml:space="preserve"> for 24 h. Cell lysates were treated with 1% sodium dodecyl sulfate (SDS) before immunoprecipitation using an antibody targeting the His epitope tag. SDS-PAGE was performed, followed by </w:t>
      </w:r>
      <w:proofErr w:type="spellStart"/>
      <w:r>
        <w:rPr>
          <w:rFonts w:ascii="Arial" w:hAnsi="Arial" w:cs="Arial"/>
          <w:sz w:val="18"/>
          <w:szCs w:val="18"/>
        </w:rPr>
        <w:t>Coomassie</w:t>
      </w:r>
      <w:proofErr w:type="spellEnd"/>
      <w:r>
        <w:rPr>
          <w:rFonts w:ascii="Arial" w:hAnsi="Arial" w:cs="Arial"/>
          <w:sz w:val="18"/>
          <w:szCs w:val="18"/>
        </w:rPr>
        <w:t xml:space="preserve"> blue staining and the excision of bands for detection. Mass spectrometry (LTQ </w:t>
      </w:r>
      <w:proofErr w:type="spellStart"/>
      <w:r>
        <w:rPr>
          <w:rFonts w:ascii="Arial" w:hAnsi="Arial" w:cs="Arial"/>
          <w:sz w:val="18"/>
          <w:szCs w:val="18"/>
        </w:rPr>
        <w:t>Orbitrap</w:t>
      </w:r>
      <w:proofErr w:type="spellEnd"/>
      <w:r>
        <w:rPr>
          <w:rFonts w:ascii="Arial" w:hAnsi="Arial" w:cs="Arial"/>
          <w:sz w:val="18"/>
          <w:szCs w:val="18"/>
        </w:rPr>
        <w:t xml:space="preserve"> Elite, </w:t>
      </w:r>
      <w:proofErr w:type="spellStart"/>
      <w:r>
        <w:rPr>
          <w:rFonts w:ascii="Arial" w:hAnsi="Arial" w:cs="Arial"/>
          <w:sz w:val="18"/>
          <w:szCs w:val="18"/>
        </w:rPr>
        <w:t>Thermo</w:t>
      </w:r>
      <w:proofErr w:type="spellEnd"/>
      <w:r>
        <w:rPr>
          <w:rFonts w:ascii="Arial" w:hAnsi="Arial" w:cs="Arial"/>
          <w:sz w:val="18"/>
          <w:szCs w:val="18"/>
        </w:rPr>
        <w:t xml:space="preserve"> Fisher Scientific) was used to identify the </w:t>
      </w:r>
      <w:proofErr w:type="spellStart"/>
      <w:r>
        <w:rPr>
          <w:rFonts w:ascii="Arial" w:hAnsi="Arial" w:cs="Arial"/>
          <w:sz w:val="18"/>
          <w:szCs w:val="18"/>
        </w:rPr>
        <w:t>lactylation</w:t>
      </w:r>
      <w:proofErr w:type="spellEnd"/>
      <w:r>
        <w:rPr>
          <w:rFonts w:ascii="Arial" w:hAnsi="Arial" w:cs="Arial"/>
          <w:sz w:val="18"/>
          <w:szCs w:val="18"/>
        </w:rPr>
        <w:t xml:space="preserve"> of the DCBLD1 protein. </w:t>
      </w:r>
    </w:p>
    <w:p w:rsidR="00D43581" w:rsidRDefault="00D43581" w:rsidP="00D43581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Chromatin immunoprecipitation and reporter assays.</w:t>
      </w:r>
      <w:r>
        <w:rPr>
          <w:rFonts w:ascii="Arial" w:hAnsi="Arial" w:cs="Arial"/>
          <w:sz w:val="18"/>
          <w:szCs w:val="18"/>
        </w:rPr>
        <w:t xml:space="preserve"> For chromatin immunoprecipitation assays, cells were crosslinked with 1% formaldehyde for 15 min at room temperature. The crosslinking reaction was halted by adding 12 </w:t>
      </w:r>
      <w:proofErr w:type="spellStart"/>
      <w:r>
        <w:rPr>
          <w:rFonts w:ascii="Arial" w:hAnsi="Arial" w:cs="Arial"/>
          <w:sz w:val="18"/>
          <w:szCs w:val="18"/>
        </w:rPr>
        <w:t>nM</w:t>
      </w:r>
      <w:proofErr w:type="spellEnd"/>
      <w:r>
        <w:rPr>
          <w:rFonts w:ascii="Arial" w:hAnsi="Arial" w:cs="Arial"/>
          <w:sz w:val="18"/>
          <w:szCs w:val="18"/>
        </w:rPr>
        <w:t xml:space="preserve"> glycine (final concentration). Cell lysates were sonicated to generate DNA fragments with an average size of &lt;1,000 </w:t>
      </w:r>
      <w:proofErr w:type="spellStart"/>
      <w:r>
        <w:rPr>
          <w:rFonts w:ascii="Arial" w:hAnsi="Arial" w:cs="Arial"/>
          <w:sz w:val="18"/>
          <w:szCs w:val="18"/>
        </w:rPr>
        <w:t>bp</w:t>
      </w:r>
      <w:proofErr w:type="spellEnd"/>
      <w:r>
        <w:rPr>
          <w:rFonts w:ascii="Arial" w:hAnsi="Arial" w:cs="Arial"/>
          <w:sz w:val="18"/>
          <w:szCs w:val="18"/>
        </w:rPr>
        <w:t xml:space="preserve"> and these fragments were subjected to immunoprecipitation with the indicated antibodies. The bound DNA fragments were eluted and then amplified through PCR. Primer pairs used were as follows: HIF-1α, 5’-ATCATCGGGTGGAGTCCTTC-3’ and 5’-GCACAGTGAACAGGTGGGT-3’’.</w:t>
      </w:r>
    </w:p>
    <w:p w:rsidR="00D43581" w:rsidRDefault="00D43581" w:rsidP="00D43581">
      <w:pPr>
        <w:spacing w:afterLines="100" w:after="312"/>
        <w:ind w:firstLineChars="100" w:firstLine="18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 the reporter assay, the DCBLD1 genomic fragments containing the wild-type or mutant HIF-1α- binding region were cloned into a pGL3-basic vector (</w:t>
      </w:r>
      <w:proofErr w:type="spellStart"/>
      <w:r>
        <w:rPr>
          <w:rFonts w:ascii="Arial" w:hAnsi="Arial" w:cs="Arial"/>
          <w:sz w:val="18"/>
          <w:szCs w:val="18"/>
        </w:rPr>
        <w:t>Promega</w:t>
      </w:r>
      <w:proofErr w:type="spellEnd"/>
      <w:r>
        <w:rPr>
          <w:rFonts w:ascii="Arial" w:hAnsi="Arial" w:cs="Arial"/>
          <w:sz w:val="18"/>
          <w:szCs w:val="18"/>
        </w:rPr>
        <w:t xml:space="preserve">, catalog No: E1751). Luciferase reporter assays were performed as previously described. Briefly, reporter plasmids were transfected into DCBLD1-null 293T and </w:t>
      </w:r>
      <w:proofErr w:type="spellStart"/>
      <w:r>
        <w:rPr>
          <w:rFonts w:ascii="Arial" w:hAnsi="Arial" w:cs="Arial"/>
          <w:sz w:val="18"/>
          <w:szCs w:val="18"/>
        </w:rPr>
        <w:t>SiHa</w:t>
      </w:r>
      <w:proofErr w:type="spellEnd"/>
      <w:r>
        <w:rPr>
          <w:rFonts w:ascii="Arial" w:hAnsi="Arial" w:cs="Arial"/>
          <w:sz w:val="18"/>
          <w:szCs w:val="18"/>
        </w:rPr>
        <w:t xml:space="preserve"> cells along with a </w:t>
      </w:r>
      <w:proofErr w:type="spellStart"/>
      <w:r>
        <w:rPr>
          <w:rFonts w:ascii="Arial" w:hAnsi="Arial" w:cs="Arial"/>
          <w:sz w:val="18"/>
          <w:szCs w:val="18"/>
        </w:rPr>
        <w:t>Renilla</w:t>
      </w:r>
      <w:proofErr w:type="spellEnd"/>
      <w:r>
        <w:rPr>
          <w:rFonts w:ascii="Arial" w:hAnsi="Arial" w:cs="Arial"/>
          <w:sz w:val="18"/>
          <w:szCs w:val="18"/>
        </w:rPr>
        <w:t xml:space="preserve"> luciferase plasmid. After 24 h of transfection, the luciferase activity was assessed using a dual-luciferase assay system (</w:t>
      </w:r>
      <w:proofErr w:type="spellStart"/>
      <w:r>
        <w:rPr>
          <w:rFonts w:ascii="Arial" w:hAnsi="Arial" w:cs="Arial"/>
          <w:sz w:val="18"/>
          <w:szCs w:val="18"/>
        </w:rPr>
        <w:t>Promega</w:t>
      </w:r>
      <w:proofErr w:type="spellEnd"/>
      <w:r>
        <w:rPr>
          <w:rFonts w:ascii="Arial" w:hAnsi="Arial" w:cs="Arial"/>
          <w:sz w:val="18"/>
          <w:szCs w:val="18"/>
        </w:rPr>
        <w:t xml:space="preserve">, catalogue number: E1910). Transfection efficiency was normalized to the </w:t>
      </w:r>
      <w:proofErr w:type="spellStart"/>
      <w:r>
        <w:rPr>
          <w:rFonts w:ascii="Arial" w:hAnsi="Arial" w:cs="Arial"/>
          <w:sz w:val="18"/>
          <w:szCs w:val="18"/>
        </w:rPr>
        <w:t>Renilla</w:t>
      </w:r>
      <w:proofErr w:type="spellEnd"/>
      <w:r>
        <w:rPr>
          <w:rFonts w:ascii="Arial" w:hAnsi="Arial" w:cs="Arial"/>
          <w:sz w:val="18"/>
          <w:szCs w:val="18"/>
        </w:rPr>
        <w:t xml:space="preserve"> luciferase activity.</w:t>
      </w:r>
    </w:p>
    <w:p w:rsidR="00D43581" w:rsidRDefault="00D43581" w:rsidP="00D43581">
      <w:pPr>
        <w:spacing w:afterLines="100" w:after="312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b/>
          <w:bCs/>
          <w:sz w:val="18"/>
          <w:szCs w:val="18"/>
          <w:highlight w:val="yellow"/>
        </w:rPr>
        <w:t>Molecular Docking</w:t>
      </w:r>
      <w:r>
        <w:rPr>
          <w:rFonts w:ascii="Arial" w:hAnsi="Arial" w:cs="Arial"/>
          <w:sz w:val="18"/>
          <w:szCs w:val="18"/>
          <w:highlight w:val="yellow"/>
        </w:rPr>
        <w:t>.</w:t>
      </w:r>
      <w:proofErr w:type="gramEnd"/>
      <w:r>
        <w:rPr>
          <w:highlight w:val="yellow"/>
        </w:rPr>
        <w:t xml:space="preserve"> </w:t>
      </w:r>
      <w:r>
        <w:rPr>
          <w:rFonts w:ascii="Arial" w:hAnsi="Arial" w:cs="Arial"/>
          <w:sz w:val="18"/>
          <w:szCs w:val="18"/>
          <w:highlight w:val="yellow"/>
        </w:rPr>
        <w:t xml:space="preserve">Auto-Dock 4.0 was used to dock L-Lactate </w:t>
      </w:r>
      <w:r>
        <w:rPr>
          <w:rFonts w:ascii="Arial" w:hAnsi="Arial" w:cs="Arial" w:hint="eastAsia"/>
          <w:sz w:val="18"/>
          <w:szCs w:val="18"/>
          <w:highlight w:val="yellow"/>
        </w:rPr>
        <w:t>(</w:t>
      </w:r>
      <w:r>
        <w:rPr>
          <w:rFonts w:ascii="Arial" w:hAnsi="Arial" w:cs="Arial"/>
          <w:sz w:val="18"/>
          <w:szCs w:val="18"/>
          <w:highlight w:val="yellow"/>
        </w:rPr>
        <w:t xml:space="preserve">PubChem CID: 5460161) into protein DCBLD1. 3D structure of DCBLD1 was predicted by </w:t>
      </w:r>
      <w:proofErr w:type="spellStart"/>
      <w:r>
        <w:rPr>
          <w:rFonts w:ascii="Arial" w:hAnsi="Arial" w:cs="Arial"/>
          <w:sz w:val="18"/>
          <w:szCs w:val="18"/>
          <w:highlight w:val="yellow"/>
        </w:rPr>
        <w:t>AlphaFold</w:t>
      </w:r>
      <w:proofErr w:type="spellEnd"/>
      <w:r>
        <w:rPr>
          <w:rFonts w:ascii="Arial" w:hAnsi="Arial" w:cs="Arial"/>
          <w:sz w:val="18"/>
          <w:szCs w:val="18"/>
          <w:highlight w:val="yellow"/>
        </w:rPr>
        <w:t xml:space="preserve"> tool. In this study, the binding of L-Lactate and DCBLD1 was simulated. Before the docking simulation, DCBLD1 was placed into the substrate binding site of L-Lactate as the start point of docking. The conformation with the lowest binding energy of DCBLD1 was considered as the L-Lactate-bound conformation. By comparing the binding energy and conformation of the L-Lactate with DCBLD1 </w:t>
      </w:r>
      <w:r>
        <w:rPr>
          <w:rFonts w:ascii="Arial" w:hAnsi="Arial" w:cs="Arial" w:hint="eastAsia"/>
          <w:sz w:val="18"/>
          <w:szCs w:val="18"/>
          <w:highlight w:val="yellow"/>
        </w:rPr>
        <w:t>K172</w:t>
      </w:r>
      <w:r>
        <w:rPr>
          <w:rFonts w:ascii="Arial" w:hAnsi="Arial" w:cs="Arial"/>
          <w:sz w:val="18"/>
          <w:szCs w:val="18"/>
          <w:highlight w:val="yellow"/>
        </w:rPr>
        <w:t xml:space="preserve">/497, </w:t>
      </w:r>
      <w:proofErr w:type="gramStart"/>
      <w:r>
        <w:rPr>
          <w:rFonts w:ascii="Arial" w:hAnsi="Arial" w:cs="Arial"/>
          <w:sz w:val="18"/>
          <w:szCs w:val="18"/>
          <w:highlight w:val="yellow"/>
        </w:rPr>
        <w:t>We</w:t>
      </w:r>
      <w:proofErr w:type="gramEnd"/>
      <w:r>
        <w:rPr>
          <w:rFonts w:ascii="Arial" w:hAnsi="Arial" w:cs="Arial"/>
          <w:sz w:val="18"/>
          <w:szCs w:val="18"/>
          <w:highlight w:val="yellow"/>
        </w:rPr>
        <w:t xml:space="preserve"> inferred that DCBLD1 K172 is more likely to undergo </w:t>
      </w:r>
      <w:proofErr w:type="spellStart"/>
      <w:r>
        <w:rPr>
          <w:rFonts w:ascii="Arial" w:hAnsi="Arial" w:cs="Arial"/>
          <w:sz w:val="18"/>
          <w:szCs w:val="18"/>
          <w:highlight w:val="yellow"/>
        </w:rPr>
        <w:t>lactylation</w:t>
      </w:r>
      <w:proofErr w:type="spellEnd"/>
      <w:r>
        <w:rPr>
          <w:rFonts w:ascii="Arial" w:hAnsi="Arial" w:cs="Arial"/>
          <w:sz w:val="18"/>
          <w:szCs w:val="18"/>
          <w:highlight w:val="yellow"/>
        </w:rPr>
        <w:t xml:space="preserve"> modification compared to K497.</w:t>
      </w:r>
    </w:p>
    <w:p w:rsidR="00D43581" w:rsidRDefault="00D43581" w:rsidP="00D43581">
      <w:pPr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b/>
          <w:bCs/>
          <w:sz w:val="18"/>
          <w:szCs w:val="18"/>
          <w:highlight w:val="yellow"/>
        </w:rPr>
        <w:t>Statistical Analysis</w:t>
      </w:r>
      <w:r>
        <w:rPr>
          <w:rFonts w:ascii="Arial" w:hAnsi="Arial" w:cs="Arial"/>
          <w:sz w:val="18"/>
          <w:szCs w:val="18"/>
          <w:highlight w:val="yellow"/>
        </w:rPr>
        <w:t>.</w:t>
      </w:r>
      <w:bookmarkStart w:id="8" w:name="OLE_LINK35"/>
      <w:proofErr w:type="gramEnd"/>
      <w:r>
        <w:rPr>
          <w:rFonts w:ascii="Arial" w:hAnsi="Arial" w:cs="Arial"/>
          <w:sz w:val="18"/>
          <w:szCs w:val="18"/>
          <w:highlight w:val="yellow"/>
        </w:rPr>
        <w:t xml:space="preserve"> </w:t>
      </w:r>
      <w:bookmarkEnd w:id="8"/>
      <w:r>
        <w:rPr>
          <w:rFonts w:ascii="Arial" w:hAnsi="Arial" w:cs="Arial"/>
          <w:sz w:val="18"/>
          <w:szCs w:val="18"/>
          <w:highlight w:val="yellow"/>
        </w:rPr>
        <w:t xml:space="preserve">Data were obtained from at least 3 biological individual experiments and presented as the mean ± standard deviation (SD). ImageJ was used to quantify the western blotting and immunofluorescence results. Statistical data were analyzed using </w:t>
      </w:r>
      <w:proofErr w:type="spellStart"/>
      <w:r>
        <w:rPr>
          <w:rFonts w:ascii="Arial" w:hAnsi="Arial" w:cs="Arial"/>
          <w:sz w:val="18"/>
          <w:szCs w:val="18"/>
          <w:highlight w:val="yellow"/>
        </w:rPr>
        <w:t>GraphPad</w:t>
      </w:r>
      <w:proofErr w:type="spellEnd"/>
      <w:r>
        <w:rPr>
          <w:rFonts w:ascii="Arial" w:hAnsi="Arial" w:cs="Arial"/>
          <w:sz w:val="18"/>
          <w:szCs w:val="18"/>
          <w:highlight w:val="yellow"/>
        </w:rPr>
        <w:t xml:space="preserve"> Prism 9.5. The Pearson’s χ2-test was used to analyze the distribution difference of DCBLD1 and G6PD staining among human cervical tissues and xenograft tumor model tissues. A two-tailed Student's t-test was used for the comparison between two groups. ANOVA was applied for the comparisons among three or more groups. P &lt; 0.05 was considered to represent a significant difference. </w:t>
      </w:r>
      <w:proofErr w:type="gramStart"/>
      <w:r>
        <w:rPr>
          <w:rFonts w:ascii="Arial" w:hAnsi="Arial" w:cs="Arial"/>
          <w:sz w:val="18"/>
          <w:szCs w:val="18"/>
          <w:highlight w:val="yellow"/>
        </w:rPr>
        <w:t>*p &lt; 0.05, **p &lt; 0.01, ***p &lt; 0.001.</w:t>
      </w:r>
      <w:proofErr w:type="gramEnd"/>
    </w:p>
    <w:p w:rsidR="00D43581" w:rsidRDefault="00D43581" w:rsidP="00D43581">
      <w:pPr>
        <w:jc w:val="both"/>
        <w:rPr>
          <w:rFonts w:ascii="Arial" w:hAnsi="Arial" w:cs="Arial"/>
          <w:sz w:val="18"/>
          <w:szCs w:val="18"/>
        </w:rPr>
      </w:pPr>
    </w:p>
    <w:p w:rsidR="00D43581" w:rsidRDefault="00D43581" w:rsidP="00D43581">
      <w:pPr>
        <w:rPr>
          <w:rFonts w:ascii="Arial" w:hAnsi="Arial" w:cs="Arial"/>
          <w:sz w:val="18"/>
          <w:szCs w:val="18"/>
        </w:rPr>
      </w:pPr>
    </w:p>
    <w:p w:rsidR="00D94995" w:rsidRDefault="00D94995"/>
    <w:sectPr w:rsidR="00D949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9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581"/>
    <w:rsid w:val="000001F5"/>
    <w:rsid w:val="0000034B"/>
    <w:rsid w:val="00000DCA"/>
    <w:rsid w:val="00005BE8"/>
    <w:rsid w:val="0001252C"/>
    <w:rsid w:val="000125DE"/>
    <w:rsid w:val="00012E3D"/>
    <w:rsid w:val="00015097"/>
    <w:rsid w:val="00023DF1"/>
    <w:rsid w:val="00031D6F"/>
    <w:rsid w:val="0003313B"/>
    <w:rsid w:val="00034425"/>
    <w:rsid w:val="0003452F"/>
    <w:rsid w:val="00040850"/>
    <w:rsid w:val="0004152A"/>
    <w:rsid w:val="00046672"/>
    <w:rsid w:val="00047126"/>
    <w:rsid w:val="00047929"/>
    <w:rsid w:val="00052A4B"/>
    <w:rsid w:val="00053F22"/>
    <w:rsid w:val="000546BE"/>
    <w:rsid w:val="000569A4"/>
    <w:rsid w:val="00057CA0"/>
    <w:rsid w:val="00060EC1"/>
    <w:rsid w:val="00060FDE"/>
    <w:rsid w:val="000644B9"/>
    <w:rsid w:val="00065ED9"/>
    <w:rsid w:val="000674E0"/>
    <w:rsid w:val="0007027A"/>
    <w:rsid w:val="00073413"/>
    <w:rsid w:val="00075863"/>
    <w:rsid w:val="0008156B"/>
    <w:rsid w:val="00081EA1"/>
    <w:rsid w:val="00083B90"/>
    <w:rsid w:val="0009397F"/>
    <w:rsid w:val="00094267"/>
    <w:rsid w:val="00094E6D"/>
    <w:rsid w:val="00097DB4"/>
    <w:rsid w:val="000A4D8A"/>
    <w:rsid w:val="000A617C"/>
    <w:rsid w:val="000B1C87"/>
    <w:rsid w:val="000B1FE5"/>
    <w:rsid w:val="000B2D37"/>
    <w:rsid w:val="000B4167"/>
    <w:rsid w:val="000B61BA"/>
    <w:rsid w:val="000C0068"/>
    <w:rsid w:val="000C264A"/>
    <w:rsid w:val="000C330D"/>
    <w:rsid w:val="000C5884"/>
    <w:rsid w:val="000C5E6E"/>
    <w:rsid w:val="000D1EF5"/>
    <w:rsid w:val="000D7522"/>
    <w:rsid w:val="000E2D62"/>
    <w:rsid w:val="000E384C"/>
    <w:rsid w:val="000E5785"/>
    <w:rsid w:val="000F12D6"/>
    <w:rsid w:val="000F2876"/>
    <w:rsid w:val="000F2B1C"/>
    <w:rsid w:val="000F7752"/>
    <w:rsid w:val="000F7E49"/>
    <w:rsid w:val="00104838"/>
    <w:rsid w:val="001050E0"/>
    <w:rsid w:val="00105AE5"/>
    <w:rsid w:val="00110BCD"/>
    <w:rsid w:val="00112314"/>
    <w:rsid w:val="00114B81"/>
    <w:rsid w:val="00115D16"/>
    <w:rsid w:val="00123091"/>
    <w:rsid w:val="00123D00"/>
    <w:rsid w:val="00126AEE"/>
    <w:rsid w:val="0012740D"/>
    <w:rsid w:val="00131044"/>
    <w:rsid w:val="00136176"/>
    <w:rsid w:val="00137C1C"/>
    <w:rsid w:val="001409FD"/>
    <w:rsid w:val="00140E00"/>
    <w:rsid w:val="001437F1"/>
    <w:rsid w:val="00146096"/>
    <w:rsid w:val="001471BD"/>
    <w:rsid w:val="00151075"/>
    <w:rsid w:val="00157A71"/>
    <w:rsid w:val="00162B56"/>
    <w:rsid w:val="00164CDC"/>
    <w:rsid w:val="0017325E"/>
    <w:rsid w:val="00173A9D"/>
    <w:rsid w:val="00175340"/>
    <w:rsid w:val="001766B3"/>
    <w:rsid w:val="001803BF"/>
    <w:rsid w:val="0018155B"/>
    <w:rsid w:val="00183A9C"/>
    <w:rsid w:val="00185B2C"/>
    <w:rsid w:val="0019383E"/>
    <w:rsid w:val="001944C3"/>
    <w:rsid w:val="001950BA"/>
    <w:rsid w:val="00196985"/>
    <w:rsid w:val="001A37F1"/>
    <w:rsid w:val="001B09E8"/>
    <w:rsid w:val="001B0FE3"/>
    <w:rsid w:val="001C022F"/>
    <w:rsid w:val="001C1B6A"/>
    <w:rsid w:val="001C292F"/>
    <w:rsid w:val="001C551F"/>
    <w:rsid w:val="001C64B4"/>
    <w:rsid w:val="001D4775"/>
    <w:rsid w:val="001D63C6"/>
    <w:rsid w:val="001E0C71"/>
    <w:rsid w:val="001E529F"/>
    <w:rsid w:val="001F087B"/>
    <w:rsid w:val="001F2673"/>
    <w:rsid w:val="001F2DF7"/>
    <w:rsid w:val="001F4E1C"/>
    <w:rsid w:val="001F61E1"/>
    <w:rsid w:val="001F7A28"/>
    <w:rsid w:val="002012DB"/>
    <w:rsid w:val="00202003"/>
    <w:rsid w:val="00203B20"/>
    <w:rsid w:val="00204C25"/>
    <w:rsid w:val="00210567"/>
    <w:rsid w:val="00216433"/>
    <w:rsid w:val="00216C5D"/>
    <w:rsid w:val="00222F3D"/>
    <w:rsid w:val="00224134"/>
    <w:rsid w:val="00233A9E"/>
    <w:rsid w:val="002350FA"/>
    <w:rsid w:val="00235443"/>
    <w:rsid w:val="00237A13"/>
    <w:rsid w:val="00242871"/>
    <w:rsid w:val="00243201"/>
    <w:rsid w:val="00251487"/>
    <w:rsid w:val="00251752"/>
    <w:rsid w:val="0025184D"/>
    <w:rsid w:val="0025335D"/>
    <w:rsid w:val="002542D1"/>
    <w:rsid w:val="00257D18"/>
    <w:rsid w:val="002613CE"/>
    <w:rsid w:val="002614E6"/>
    <w:rsid w:val="00267603"/>
    <w:rsid w:val="00267D43"/>
    <w:rsid w:val="00267E93"/>
    <w:rsid w:val="0027195F"/>
    <w:rsid w:val="00274BBD"/>
    <w:rsid w:val="00281F0D"/>
    <w:rsid w:val="002821D5"/>
    <w:rsid w:val="00284CAB"/>
    <w:rsid w:val="00296546"/>
    <w:rsid w:val="002966D2"/>
    <w:rsid w:val="002A04FA"/>
    <w:rsid w:val="002A36BF"/>
    <w:rsid w:val="002A5640"/>
    <w:rsid w:val="002A5F95"/>
    <w:rsid w:val="002B43E9"/>
    <w:rsid w:val="002C29E8"/>
    <w:rsid w:val="002C50ED"/>
    <w:rsid w:val="002D0177"/>
    <w:rsid w:val="002D31F1"/>
    <w:rsid w:val="002D3E55"/>
    <w:rsid w:val="002D553C"/>
    <w:rsid w:val="002D7BFB"/>
    <w:rsid w:val="002E3DBA"/>
    <w:rsid w:val="002F5A66"/>
    <w:rsid w:val="002F5AD3"/>
    <w:rsid w:val="00300D30"/>
    <w:rsid w:val="00302BD1"/>
    <w:rsid w:val="00302E69"/>
    <w:rsid w:val="0030304D"/>
    <w:rsid w:val="003037F7"/>
    <w:rsid w:val="0030606A"/>
    <w:rsid w:val="00310897"/>
    <w:rsid w:val="00310D20"/>
    <w:rsid w:val="00311404"/>
    <w:rsid w:val="0031426C"/>
    <w:rsid w:val="00315EAB"/>
    <w:rsid w:val="003211BC"/>
    <w:rsid w:val="00324839"/>
    <w:rsid w:val="00324D8A"/>
    <w:rsid w:val="003343DD"/>
    <w:rsid w:val="00340082"/>
    <w:rsid w:val="00341F41"/>
    <w:rsid w:val="00342826"/>
    <w:rsid w:val="00342FF0"/>
    <w:rsid w:val="00345EB5"/>
    <w:rsid w:val="003460AD"/>
    <w:rsid w:val="00356822"/>
    <w:rsid w:val="00361F8E"/>
    <w:rsid w:val="00363032"/>
    <w:rsid w:val="00363767"/>
    <w:rsid w:val="0036428C"/>
    <w:rsid w:val="00365D5E"/>
    <w:rsid w:val="00365FDC"/>
    <w:rsid w:val="00372C8F"/>
    <w:rsid w:val="003730E8"/>
    <w:rsid w:val="003732B7"/>
    <w:rsid w:val="0037437F"/>
    <w:rsid w:val="00374A14"/>
    <w:rsid w:val="00376337"/>
    <w:rsid w:val="00381A03"/>
    <w:rsid w:val="00382E25"/>
    <w:rsid w:val="00385464"/>
    <w:rsid w:val="00393E08"/>
    <w:rsid w:val="003953BD"/>
    <w:rsid w:val="00396B52"/>
    <w:rsid w:val="003A2338"/>
    <w:rsid w:val="003A3AF8"/>
    <w:rsid w:val="003A53BE"/>
    <w:rsid w:val="003A7C39"/>
    <w:rsid w:val="003C072C"/>
    <w:rsid w:val="003C0D58"/>
    <w:rsid w:val="003C25D6"/>
    <w:rsid w:val="003C7604"/>
    <w:rsid w:val="003D102A"/>
    <w:rsid w:val="003D2A96"/>
    <w:rsid w:val="003D3F70"/>
    <w:rsid w:val="003E7638"/>
    <w:rsid w:val="003E7F7A"/>
    <w:rsid w:val="003F16D9"/>
    <w:rsid w:val="003F1B8E"/>
    <w:rsid w:val="003F3345"/>
    <w:rsid w:val="003F6A4E"/>
    <w:rsid w:val="004000CD"/>
    <w:rsid w:val="004034DA"/>
    <w:rsid w:val="00403B8D"/>
    <w:rsid w:val="00403D74"/>
    <w:rsid w:val="00406938"/>
    <w:rsid w:val="0041252C"/>
    <w:rsid w:val="00417658"/>
    <w:rsid w:val="0042023F"/>
    <w:rsid w:val="00421ADF"/>
    <w:rsid w:val="0042249C"/>
    <w:rsid w:val="00422E2D"/>
    <w:rsid w:val="004232CB"/>
    <w:rsid w:val="004338B6"/>
    <w:rsid w:val="0043732B"/>
    <w:rsid w:val="00437856"/>
    <w:rsid w:val="0044123E"/>
    <w:rsid w:val="00441312"/>
    <w:rsid w:val="00443085"/>
    <w:rsid w:val="00443B5B"/>
    <w:rsid w:val="0044470F"/>
    <w:rsid w:val="00450067"/>
    <w:rsid w:val="004523B7"/>
    <w:rsid w:val="00452C02"/>
    <w:rsid w:val="00453670"/>
    <w:rsid w:val="004571CA"/>
    <w:rsid w:val="00460171"/>
    <w:rsid w:val="00461AA1"/>
    <w:rsid w:val="00464E7E"/>
    <w:rsid w:val="00467160"/>
    <w:rsid w:val="0047002B"/>
    <w:rsid w:val="0047237F"/>
    <w:rsid w:val="00475D74"/>
    <w:rsid w:val="00476761"/>
    <w:rsid w:val="00476860"/>
    <w:rsid w:val="00477B31"/>
    <w:rsid w:val="00485E24"/>
    <w:rsid w:val="0048764B"/>
    <w:rsid w:val="004960E1"/>
    <w:rsid w:val="004978E0"/>
    <w:rsid w:val="004A7500"/>
    <w:rsid w:val="004B1D4E"/>
    <w:rsid w:val="004B3FFD"/>
    <w:rsid w:val="004B4830"/>
    <w:rsid w:val="004B4EB6"/>
    <w:rsid w:val="004B687B"/>
    <w:rsid w:val="004B6AE2"/>
    <w:rsid w:val="004C0BAC"/>
    <w:rsid w:val="004C0F17"/>
    <w:rsid w:val="004C1144"/>
    <w:rsid w:val="004C16B5"/>
    <w:rsid w:val="004C20D9"/>
    <w:rsid w:val="004C481E"/>
    <w:rsid w:val="004C68BC"/>
    <w:rsid w:val="004D5DFD"/>
    <w:rsid w:val="004D5E07"/>
    <w:rsid w:val="004D6307"/>
    <w:rsid w:val="004D6A14"/>
    <w:rsid w:val="004E1A72"/>
    <w:rsid w:val="004E3F22"/>
    <w:rsid w:val="004E4052"/>
    <w:rsid w:val="004E4A90"/>
    <w:rsid w:val="004E4F0E"/>
    <w:rsid w:val="004E51FA"/>
    <w:rsid w:val="004E5A8A"/>
    <w:rsid w:val="004F134A"/>
    <w:rsid w:val="004F2A01"/>
    <w:rsid w:val="004F64E4"/>
    <w:rsid w:val="005001E6"/>
    <w:rsid w:val="005034F4"/>
    <w:rsid w:val="00504592"/>
    <w:rsid w:val="0050796A"/>
    <w:rsid w:val="0051403B"/>
    <w:rsid w:val="0051622E"/>
    <w:rsid w:val="005167C0"/>
    <w:rsid w:val="00516C95"/>
    <w:rsid w:val="00517830"/>
    <w:rsid w:val="00533534"/>
    <w:rsid w:val="0053486F"/>
    <w:rsid w:val="00537235"/>
    <w:rsid w:val="00537662"/>
    <w:rsid w:val="00540448"/>
    <w:rsid w:val="00540EAB"/>
    <w:rsid w:val="00541F1D"/>
    <w:rsid w:val="005458EE"/>
    <w:rsid w:val="00545B32"/>
    <w:rsid w:val="005533C5"/>
    <w:rsid w:val="00556AF5"/>
    <w:rsid w:val="0056307B"/>
    <w:rsid w:val="00567498"/>
    <w:rsid w:val="00567BDE"/>
    <w:rsid w:val="00570527"/>
    <w:rsid w:val="0057206C"/>
    <w:rsid w:val="00574715"/>
    <w:rsid w:val="005766CF"/>
    <w:rsid w:val="00577AE8"/>
    <w:rsid w:val="00577B89"/>
    <w:rsid w:val="00582FDF"/>
    <w:rsid w:val="00583077"/>
    <w:rsid w:val="00584CB2"/>
    <w:rsid w:val="00584F73"/>
    <w:rsid w:val="005918CF"/>
    <w:rsid w:val="0059302B"/>
    <w:rsid w:val="0059604C"/>
    <w:rsid w:val="00597539"/>
    <w:rsid w:val="005A2475"/>
    <w:rsid w:val="005A386F"/>
    <w:rsid w:val="005A40FA"/>
    <w:rsid w:val="005A423F"/>
    <w:rsid w:val="005B03A6"/>
    <w:rsid w:val="005B1170"/>
    <w:rsid w:val="005B5583"/>
    <w:rsid w:val="005C19C4"/>
    <w:rsid w:val="005C2F2F"/>
    <w:rsid w:val="005C3372"/>
    <w:rsid w:val="005C591F"/>
    <w:rsid w:val="005C6273"/>
    <w:rsid w:val="005C6CEC"/>
    <w:rsid w:val="005C7D8C"/>
    <w:rsid w:val="005D0D81"/>
    <w:rsid w:val="005D1B8B"/>
    <w:rsid w:val="005D3AAC"/>
    <w:rsid w:val="005D4ED5"/>
    <w:rsid w:val="005D57A1"/>
    <w:rsid w:val="005D6476"/>
    <w:rsid w:val="005E1AD1"/>
    <w:rsid w:val="005E4B7E"/>
    <w:rsid w:val="005E764B"/>
    <w:rsid w:val="005F721E"/>
    <w:rsid w:val="00600351"/>
    <w:rsid w:val="00600595"/>
    <w:rsid w:val="006011EF"/>
    <w:rsid w:val="006038AA"/>
    <w:rsid w:val="006142D5"/>
    <w:rsid w:val="00616CD6"/>
    <w:rsid w:val="006171F7"/>
    <w:rsid w:val="00620594"/>
    <w:rsid w:val="006220D1"/>
    <w:rsid w:val="006223AD"/>
    <w:rsid w:val="0062343F"/>
    <w:rsid w:val="00627C1A"/>
    <w:rsid w:val="006348B8"/>
    <w:rsid w:val="0063560D"/>
    <w:rsid w:val="00635FB7"/>
    <w:rsid w:val="006448D7"/>
    <w:rsid w:val="0064637D"/>
    <w:rsid w:val="0064747C"/>
    <w:rsid w:val="00650C5D"/>
    <w:rsid w:val="00651B39"/>
    <w:rsid w:val="00652E52"/>
    <w:rsid w:val="006570A8"/>
    <w:rsid w:val="00660798"/>
    <w:rsid w:val="0066079E"/>
    <w:rsid w:val="00663434"/>
    <w:rsid w:val="00672163"/>
    <w:rsid w:val="00674697"/>
    <w:rsid w:val="0067562B"/>
    <w:rsid w:val="00680F4C"/>
    <w:rsid w:val="00682B7B"/>
    <w:rsid w:val="00684B3A"/>
    <w:rsid w:val="0069092B"/>
    <w:rsid w:val="00692EFC"/>
    <w:rsid w:val="006970B3"/>
    <w:rsid w:val="00697792"/>
    <w:rsid w:val="006A1E61"/>
    <w:rsid w:val="006A7D4C"/>
    <w:rsid w:val="006B015E"/>
    <w:rsid w:val="006B08EF"/>
    <w:rsid w:val="006B354E"/>
    <w:rsid w:val="006C49AF"/>
    <w:rsid w:val="006D0F23"/>
    <w:rsid w:val="006D46D2"/>
    <w:rsid w:val="006D4796"/>
    <w:rsid w:val="006D4B2C"/>
    <w:rsid w:val="006D4C9E"/>
    <w:rsid w:val="006D6BB4"/>
    <w:rsid w:val="006E00A8"/>
    <w:rsid w:val="006E4B7D"/>
    <w:rsid w:val="006E6B0B"/>
    <w:rsid w:val="006F0F5C"/>
    <w:rsid w:val="006F1586"/>
    <w:rsid w:val="006F53C2"/>
    <w:rsid w:val="006F561B"/>
    <w:rsid w:val="00700414"/>
    <w:rsid w:val="00701DD6"/>
    <w:rsid w:val="007024BC"/>
    <w:rsid w:val="0070283C"/>
    <w:rsid w:val="0071212F"/>
    <w:rsid w:val="00712E97"/>
    <w:rsid w:val="00716DFC"/>
    <w:rsid w:val="00720473"/>
    <w:rsid w:val="007217F6"/>
    <w:rsid w:val="00723311"/>
    <w:rsid w:val="007243D1"/>
    <w:rsid w:val="00725E37"/>
    <w:rsid w:val="00732475"/>
    <w:rsid w:val="00732C6A"/>
    <w:rsid w:val="007339C9"/>
    <w:rsid w:val="00736CC8"/>
    <w:rsid w:val="0073761C"/>
    <w:rsid w:val="0074009A"/>
    <w:rsid w:val="00743D8E"/>
    <w:rsid w:val="00745950"/>
    <w:rsid w:val="0074619C"/>
    <w:rsid w:val="00747E16"/>
    <w:rsid w:val="00753FCF"/>
    <w:rsid w:val="007606B9"/>
    <w:rsid w:val="0076530F"/>
    <w:rsid w:val="007675CF"/>
    <w:rsid w:val="00771ACD"/>
    <w:rsid w:val="00773DE9"/>
    <w:rsid w:val="00785D7E"/>
    <w:rsid w:val="00787E06"/>
    <w:rsid w:val="00790A13"/>
    <w:rsid w:val="0079172D"/>
    <w:rsid w:val="00791D14"/>
    <w:rsid w:val="00793F1D"/>
    <w:rsid w:val="00794A44"/>
    <w:rsid w:val="007A15CD"/>
    <w:rsid w:val="007A47D9"/>
    <w:rsid w:val="007A4F38"/>
    <w:rsid w:val="007A7740"/>
    <w:rsid w:val="007B1DD3"/>
    <w:rsid w:val="007B2995"/>
    <w:rsid w:val="007B2B56"/>
    <w:rsid w:val="007B4393"/>
    <w:rsid w:val="007C00D7"/>
    <w:rsid w:val="007C05BF"/>
    <w:rsid w:val="007C2E48"/>
    <w:rsid w:val="007C3417"/>
    <w:rsid w:val="007D0404"/>
    <w:rsid w:val="007D19F2"/>
    <w:rsid w:val="007D1CB5"/>
    <w:rsid w:val="007D60D4"/>
    <w:rsid w:val="007D6254"/>
    <w:rsid w:val="007D76C7"/>
    <w:rsid w:val="007E07EE"/>
    <w:rsid w:val="007E0A6A"/>
    <w:rsid w:val="007E0D84"/>
    <w:rsid w:val="007E2E0B"/>
    <w:rsid w:val="007E322B"/>
    <w:rsid w:val="007E3720"/>
    <w:rsid w:val="007E3768"/>
    <w:rsid w:val="007E4294"/>
    <w:rsid w:val="007E4617"/>
    <w:rsid w:val="007E5C5C"/>
    <w:rsid w:val="007F1DEF"/>
    <w:rsid w:val="007F4139"/>
    <w:rsid w:val="007F6977"/>
    <w:rsid w:val="008016C3"/>
    <w:rsid w:val="008044FD"/>
    <w:rsid w:val="0080675F"/>
    <w:rsid w:val="00810432"/>
    <w:rsid w:val="00810A17"/>
    <w:rsid w:val="00810BF7"/>
    <w:rsid w:val="00817EC9"/>
    <w:rsid w:val="00821683"/>
    <w:rsid w:val="008251DC"/>
    <w:rsid w:val="00826217"/>
    <w:rsid w:val="00826607"/>
    <w:rsid w:val="0082743E"/>
    <w:rsid w:val="00827B60"/>
    <w:rsid w:val="00833278"/>
    <w:rsid w:val="008348CD"/>
    <w:rsid w:val="00835ED3"/>
    <w:rsid w:val="00840652"/>
    <w:rsid w:val="00845A0C"/>
    <w:rsid w:val="0084790D"/>
    <w:rsid w:val="00853938"/>
    <w:rsid w:val="00856900"/>
    <w:rsid w:val="00857A08"/>
    <w:rsid w:val="008633CA"/>
    <w:rsid w:val="008730D1"/>
    <w:rsid w:val="00880B6B"/>
    <w:rsid w:val="00881DB6"/>
    <w:rsid w:val="008906E8"/>
    <w:rsid w:val="00891074"/>
    <w:rsid w:val="00892FFC"/>
    <w:rsid w:val="00896602"/>
    <w:rsid w:val="00896D2A"/>
    <w:rsid w:val="0089779D"/>
    <w:rsid w:val="008A0581"/>
    <w:rsid w:val="008A5545"/>
    <w:rsid w:val="008A7D68"/>
    <w:rsid w:val="008B05E6"/>
    <w:rsid w:val="008B344A"/>
    <w:rsid w:val="008B366D"/>
    <w:rsid w:val="008B5A52"/>
    <w:rsid w:val="008B7D91"/>
    <w:rsid w:val="008C0B99"/>
    <w:rsid w:val="008C3C73"/>
    <w:rsid w:val="008D29D0"/>
    <w:rsid w:val="008D47B0"/>
    <w:rsid w:val="008D4D58"/>
    <w:rsid w:val="008E014B"/>
    <w:rsid w:val="008E05AF"/>
    <w:rsid w:val="008E59C5"/>
    <w:rsid w:val="008E7D43"/>
    <w:rsid w:val="008E7E07"/>
    <w:rsid w:val="008F5CA7"/>
    <w:rsid w:val="008F6350"/>
    <w:rsid w:val="0090607A"/>
    <w:rsid w:val="00906758"/>
    <w:rsid w:val="009068D0"/>
    <w:rsid w:val="00911BDC"/>
    <w:rsid w:val="009170AC"/>
    <w:rsid w:val="009304DF"/>
    <w:rsid w:val="0093147B"/>
    <w:rsid w:val="009326F0"/>
    <w:rsid w:val="00933D2D"/>
    <w:rsid w:val="00934139"/>
    <w:rsid w:val="0093514B"/>
    <w:rsid w:val="00940EE8"/>
    <w:rsid w:val="00941067"/>
    <w:rsid w:val="009417C7"/>
    <w:rsid w:val="00941CA2"/>
    <w:rsid w:val="00943338"/>
    <w:rsid w:val="00944DB0"/>
    <w:rsid w:val="009476A8"/>
    <w:rsid w:val="009505AC"/>
    <w:rsid w:val="00955244"/>
    <w:rsid w:val="00961283"/>
    <w:rsid w:val="00964B2F"/>
    <w:rsid w:val="00965085"/>
    <w:rsid w:val="0096543A"/>
    <w:rsid w:val="00966913"/>
    <w:rsid w:val="00966942"/>
    <w:rsid w:val="0097344D"/>
    <w:rsid w:val="00973BE3"/>
    <w:rsid w:val="00973C70"/>
    <w:rsid w:val="0097534A"/>
    <w:rsid w:val="00982CA1"/>
    <w:rsid w:val="00991D10"/>
    <w:rsid w:val="00991D33"/>
    <w:rsid w:val="00992C35"/>
    <w:rsid w:val="009955EA"/>
    <w:rsid w:val="009A02E8"/>
    <w:rsid w:val="009B194E"/>
    <w:rsid w:val="009B566E"/>
    <w:rsid w:val="009C1060"/>
    <w:rsid w:val="009C5AAC"/>
    <w:rsid w:val="009C5F20"/>
    <w:rsid w:val="009C6097"/>
    <w:rsid w:val="009C6D4D"/>
    <w:rsid w:val="009C75D3"/>
    <w:rsid w:val="009D0791"/>
    <w:rsid w:val="009D3E7B"/>
    <w:rsid w:val="009D3EA3"/>
    <w:rsid w:val="009D4F2B"/>
    <w:rsid w:val="009D6440"/>
    <w:rsid w:val="009E0401"/>
    <w:rsid w:val="009E662E"/>
    <w:rsid w:val="009F1E9A"/>
    <w:rsid w:val="009F3FC3"/>
    <w:rsid w:val="009F7F12"/>
    <w:rsid w:val="00A01A31"/>
    <w:rsid w:val="00A022D8"/>
    <w:rsid w:val="00A068A2"/>
    <w:rsid w:val="00A16920"/>
    <w:rsid w:val="00A17F03"/>
    <w:rsid w:val="00A2052F"/>
    <w:rsid w:val="00A213EC"/>
    <w:rsid w:val="00A22885"/>
    <w:rsid w:val="00A22F6D"/>
    <w:rsid w:val="00A2542F"/>
    <w:rsid w:val="00A26697"/>
    <w:rsid w:val="00A271B5"/>
    <w:rsid w:val="00A4092D"/>
    <w:rsid w:val="00A41A37"/>
    <w:rsid w:val="00A439DA"/>
    <w:rsid w:val="00A5441C"/>
    <w:rsid w:val="00A54E7F"/>
    <w:rsid w:val="00A56131"/>
    <w:rsid w:val="00A71068"/>
    <w:rsid w:val="00A73427"/>
    <w:rsid w:val="00A747FD"/>
    <w:rsid w:val="00A7491A"/>
    <w:rsid w:val="00A75A95"/>
    <w:rsid w:val="00A76B1B"/>
    <w:rsid w:val="00A81D32"/>
    <w:rsid w:val="00A85B7D"/>
    <w:rsid w:val="00A86589"/>
    <w:rsid w:val="00A8658E"/>
    <w:rsid w:val="00A90F3B"/>
    <w:rsid w:val="00A9203D"/>
    <w:rsid w:val="00A926C6"/>
    <w:rsid w:val="00A930FD"/>
    <w:rsid w:val="00A94DC5"/>
    <w:rsid w:val="00A97D38"/>
    <w:rsid w:val="00AA2B78"/>
    <w:rsid w:val="00AA311D"/>
    <w:rsid w:val="00AA5BEC"/>
    <w:rsid w:val="00AB0FA7"/>
    <w:rsid w:val="00AB2422"/>
    <w:rsid w:val="00AB2BCA"/>
    <w:rsid w:val="00AB431A"/>
    <w:rsid w:val="00AB5055"/>
    <w:rsid w:val="00AB66A0"/>
    <w:rsid w:val="00AC70D8"/>
    <w:rsid w:val="00AD6CB6"/>
    <w:rsid w:val="00AD77FA"/>
    <w:rsid w:val="00AE7E0D"/>
    <w:rsid w:val="00AF5074"/>
    <w:rsid w:val="00AF6026"/>
    <w:rsid w:val="00B015C8"/>
    <w:rsid w:val="00B060D2"/>
    <w:rsid w:val="00B06EDC"/>
    <w:rsid w:val="00B123B0"/>
    <w:rsid w:val="00B1277D"/>
    <w:rsid w:val="00B138B9"/>
    <w:rsid w:val="00B1523F"/>
    <w:rsid w:val="00B16AE2"/>
    <w:rsid w:val="00B17B77"/>
    <w:rsid w:val="00B277E6"/>
    <w:rsid w:val="00B349FB"/>
    <w:rsid w:val="00B41C26"/>
    <w:rsid w:val="00B41D88"/>
    <w:rsid w:val="00B427C3"/>
    <w:rsid w:val="00B521CD"/>
    <w:rsid w:val="00B5320C"/>
    <w:rsid w:val="00B5483F"/>
    <w:rsid w:val="00B56074"/>
    <w:rsid w:val="00B56999"/>
    <w:rsid w:val="00B56CD0"/>
    <w:rsid w:val="00B575BE"/>
    <w:rsid w:val="00B57D34"/>
    <w:rsid w:val="00B65413"/>
    <w:rsid w:val="00B66E41"/>
    <w:rsid w:val="00B70D3C"/>
    <w:rsid w:val="00B808A7"/>
    <w:rsid w:val="00B81C9F"/>
    <w:rsid w:val="00B86A29"/>
    <w:rsid w:val="00B914D5"/>
    <w:rsid w:val="00B92931"/>
    <w:rsid w:val="00B92BD3"/>
    <w:rsid w:val="00B942FE"/>
    <w:rsid w:val="00BA4334"/>
    <w:rsid w:val="00BA454B"/>
    <w:rsid w:val="00BA4A07"/>
    <w:rsid w:val="00BB142D"/>
    <w:rsid w:val="00BB18A8"/>
    <w:rsid w:val="00BB220A"/>
    <w:rsid w:val="00BB414E"/>
    <w:rsid w:val="00BB4B8E"/>
    <w:rsid w:val="00BB5437"/>
    <w:rsid w:val="00BB63D2"/>
    <w:rsid w:val="00BB6EE5"/>
    <w:rsid w:val="00BC0B54"/>
    <w:rsid w:val="00BC56EB"/>
    <w:rsid w:val="00BD3205"/>
    <w:rsid w:val="00BD3A8B"/>
    <w:rsid w:val="00BD4B86"/>
    <w:rsid w:val="00BE07CF"/>
    <w:rsid w:val="00BE441B"/>
    <w:rsid w:val="00BE4FAD"/>
    <w:rsid w:val="00BE7F76"/>
    <w:rsid w:val="00BF09E6"/>
    <w:rsid w:val="00BF3DD3"/>
    <w:rsid w:val="00BF612E"/>
    <w:rsid w:val="00BF64BC"/>
    <w:rsid w:val="00BF6D73"/>
    <w:rsid w:val="00C02917"/>
    <w:rsid w:val="00C1362B"/>
    <w:rsid w:val="00C237B4"/>
    <w:rsid w:val="00C24692"/>
    <w:rsid w:val="00C25F64"/>
    <w:rsid w:val="00C30CD3"/>
    <w:rsid w:val="00C3120C"/>
    <w:rsid w:val="00C32B8D"/>
    <w:rsid w:val="00C33F38"/>
    <w:rsid w:val="00C34DDA"/>
    <w:rsid w:val="00C365CE"/>
    <w:rsid w:val="00C404A6"/>
    <w:rsid w:val="00C413ED"/>
    <w:rsid w:val="00C4186F"/>
    <w:rsid w:val="00C423C0"/>
    <w:rsid w:val="00C44628"/>
    <w:rsid w:val="00C519B7"/>
    <w:rsid w:val="00C534D0"/>
    <w:rsid w:val="00C53EBC"/>
    <w:rsid w:val="00C547B7"/>
    <w:rsid w:val="00C56EDA"/>
    <w:rsid w:val="00C57DD7"/>
    <w:rsid w:val="00C6275B"/>
    <w:rsid w:val="00C638C9"/>
    <w:rsid w:val="00C66069"/>
    <w:rsid w:val="00C73EE0"/>
    <w:rsid w:val="00C7456D"/>
    <w:rsid w:val="00C7551C"/>
    <w:rsid w:val="00C77646"/>
    <w:rsid w:val="00C842C4"/>
    <w:rsid w:val="00C8459F"/>
    <w:rsid w:val="00C86F0E"/>
    <w:rsid w:val="00C87F2B"/>
    <w:rsid w:val="00C91A36"/>
    <w:rsid w:val="00C91EA8"/>
    <w:rsid w:val="00CA2A05"/>
    <w:rsid w:val="00CA3192"/>
    <w:rsid w:val="00CA41B5"/>
    <w:rsid w:val="00CA6A21"/>
    <w:rsid w:val="00CA7B1A"/>
    <w:rsid w:val="00CB367C"/>
    <w:rsid w:val="00CB421D"/>
    <w:rsid w:val="00CC12CB"/>
    <w:rsid w:val="00CC28E3"/>
    <w:rsid w:val="00CC35E6"/>
    <w:rsid w:val="00CC50E7"/>
    <w:rsid w:val="00CC5868"/>
    <w:rsid w:val="00CD1BBF"/>
    <w:rsid w:val="00CD4EED"/>
    <w:rsid w:val="00CD523B"/>
    <w:rsid w:val="00CD628F"/>
    <w:rsid w:val="00CD6747"/>
    <w:rsid w:val="00CE1BE6"/>
    <w:rsid w:val="00CE5A90"/>
    <w:rsid w:val="00CF224C"/>
    <w:rsid w:val="00CF7114"/>
    <w:rsid w:val="00CF77B5"/>
    <w:rsid w:val="00D019A7"/>
    <w:rsid w:val="00D03455"/>
    <w:rsid w:val="00D13D28"/>
    <w:rsid w:val="00D15530"/>
    <w:rsid w:val="00D16634"/>
    <w:rsid w:val="00D16D5B"/>
    <w:rsid w:val="00D175D7"/>
    <w:rsid w:val="00D179F5"/>
    <w:rsid w:val="00D20BC2"/>
    <w:rsid w:val="00D239A4"/>
    <w:rsid w:val="00D23C71"/>
    <w:rsid w:val="00D3050B"/>
    <w:rsid w:val="00D30EB6"/>
    <w:rsid w:val="00D35770"/>
    <w:rsid w:val="00D40CB0"/>
    <w:rsid w:val="00D43581"/>
    <w:rsid w:val="00D45794"/>
    <w:rsid w:val="00D46414"/>
    <w:rsid w:val="00D472CC"/>
    <w:rsid w:val="00D517B2"/>
    <w:rsid w:val="00D51A31"/>
    <w:rsid w:val="00D55E6A"/>
    <w:rsid w:val="00D562FD"/>
    <w:rsid w:val="00D61750"/>
    <w:rsid w:val="00D63581"/>
    <w:rsid w:val="00D64083"/>
    <w:rsid w:val="00D65DA4"/>
    <w:rsid w:val="00D73735"/>
    <w:rsid w:val="00D75B64"/>
    <w:rsid w:val="00D81CF9"/>
    <w:rsid w:val="00D81F57"/>
    <w:rsid w:val="00D84CDC"/>
    <w:rsid w:val="00D85C9D"/>
    <w:rsid w:val="00D91925"/>
    <w:rsid w:val="00D94995"/>
    <w:rsid w:val="00DA7C30"/>
    <w:rsid w:val="00DB2B3A"/>
    <w:rsid w:val="00DB30B9"/>
    <w:rsid w:val="00DB3638"/>
    <w:rsid w:val="00DB596F"/>
    <w:rsid w:val="00DB5AC2"/>
    <w:rsid w:val="00DC0533"/>
    <w:rsid w:val="00DD7F6F"/>
    <w:rsid w:val="00DE3431"/>
    <w:rsid w:val="00DE3B37"/>
    <w:rsid w:val="00DE44FD"/>
    <w:rsid w:val="00DE7DDD"/>
    <w:rsid w:val="00DF066F"/>
    <w:rsid w:val="00DF4EE8"/>
    <w:rsid w:val="00DF794C"/>
    <w:rsid w:val="00E009CE"/>
    <w:rsid w:val="00E019BA"/>
    <w:rsid w:val="00E03054"/>
    <w:rsid w:val="00E07660"/>
    <w:rsid w:val="00E07FF6"/>
    <w:rsid w:val="00E11962"/>
    <w:rsid w:val="00E1336E"/>
    <w:rsid w:val="00E13A3E"/>
    <w:rsid w:val="00E14894"/>
    <w:rsid w:val="00E178AB"/>
    <w:rsid w:val="00E17AB9"/>
    <w:rsid w:val="00E22260"/>
    <w:rsid w:val="00E239EA"/>
    <w:rsid w:val="00E25DCB"/>
    <w:rsid w:val="00E26552"/>
    <w:rsid w:val="00E3384B"/>
    <w:rsid w:val="00E34B36"/>
    <w:rsid w:val="00E353E3"/>
    <w:rsid w:val="00E35B11"/>
    <w:rsid w:val="00E41992"/>
    <w:rsid w:val="00E441A0"/>
    <w:rsid w:val="00E451CC"/>
    <w:rsid w:val="00E4601F"/>
    <w:rsid w:val="00E5108F"/>
    <w:rsid w:val="00E51E7B"/>
    <w:rsid w:val="00E51EB3"/>
    <w:rsid w:val="00E553B6"/>
    <w:rsid w:val="00E60D35"/>
    <w:rsid w:val="00E645C2"/>
    <w:rsid w:val="00E6772D"/>
    <w:rsid w:val="00E67E83"/>
    <w:rsid w:val="00E74718"/>
    <w:rsid w:val="00E85647"/>
    <w:rsid w:val="00E862A4"/>
    <w:rsid w:val="00E87132"/>
    <w:rsid w:val="00E93067"/>
    <w:rsid w:val="00E94D45"/>
    <w:rsid w:val="00E94D78"/>
    <w:rsid w:val="00E9725B"/>
    <w:rsid w:val="00EB6152"/>
    <w:rsid w:val="00EB62D5"/>
    <w:rsid w:val="00EC2E4B"/>
    <w:rsid w:val="00EC66F5"/>
    <w:rsid w:val="00EC6855"/>
    <w:rsid w:val="00EC6D82"/>
    <w:rsid w:val="00EC768B"/>
    <w:rsid w:val="00ED3623"/>
    <w:rsid w:val="00EE2449"/>
    <w:rsid w:val="00EE5554"/>
    <w:rsid w:val="00EE6BCD"/>
    <w:rsid w:val="00EE7DDC"/>
    <w:rsid w:val="00EF4502"/>
    <w:rsid w:val="00EF4B9D"/>
    <w:rsid w:val="00EF7BB6"/>
    <w:rsid w:val="00F011C5"/>
    <w:rsid w:val="00F013B4"/>
    <w:rsid w:val="00F01A48"/>
    <w:rsid w:val="00F05EC7"/>
    <w:rsid w:val="00F100A0"/>
    <w:rsid w:val="00F13450"/>
    <w:rsid w:val="00F15BBB"/>
    <w:rsid w:val="00F2095F"/>
    <w:rsid w:val="00F20EB2"/>
    <w:rsid w:val="00F22E2D"/>
    <w:rsid w:val="00F26B37"/>
    <w:rsid w:val="00F26C13"/>
    <w:rsid w:val="00F277BB"/>
    <w:rsid w:val="00F40C6C"/>
    <w:rsid w:val="00F420BD"/>
    <w:rsid w:val="00F44CCD"/>
    <w:rsid w:val="00F44E70"/>
    <w:rsid w:val="00F508EA"/>
    <w:rsid w:val="00F51F16"/>
    <w:rsid w:val="00F6282E"/>
    <w:rsid w:val="00F65536"/>
    <w:rsid w:val="00F65E1B"/>
    <w:rsid w:val="00F674D4"/>
    <w:rsid w:val="00F70A97"/>
    <w:rsid w:val="00F72F85"/>
    <w:rsid w:val="00F73C34"/>
    <w:rsid w:val="00F81881"/>
    <w:rsid w:val="00F9441B"/>
    <w:rsid w:val="00F946B6"/>
    <w:rsid w:val="00F961E7"/>
    <w:rsid w:val="00F965A1"/>
    <w:rsid w:val="00FA71D0"/>
    <w:rsid w:val="00FA7409"/>
    <w:rsid w:val="00FA7D45"/>
    <w:rsid w:val="00FB271B"/>
    <w:rsid w:val="00FB39BE"/>
    <w:rsid w:val="00FC1385"/>
    <w:rsid w:val="00FC2DC1"/>
    <w:rsid w:val="00FC3451"/>
    <w:rsid w:val="00FC6ED8"/>
    <w:rsid w:val="00FC7E5E"/>
    <w:rsid w:val="00FD67F8"/>
    <w:rsid w:val="00FE150D"/>
    <w:rsid w:val="00FE32D0"/>
    <w:rsid w:val="00FE446D"/>
    <w:rsid w:val="00FF0C8D"/>
    <w:rsid w:val="00FF48A1"/>
    <w:rsid w:val="00FF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3581"/>
    <w:pPr>
      <w:spacing w:after="0" w:line="240" w:lineRule="auto"/>
    </w:pPr>
    <w:rPr>
      <w:rFonts w:ascii="SimSun" w:eastAsia="SimSun" w:hAnsi="SimSun" w:cs="SimSun"/>
      <w:sz w:val="24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2B1C"/>
    <w:rPr>
      <w:rFonts w:ascii="Tahoma" w:eastAsiaTheme="minorHAnsi" w:hAnsi="Tahoma" w:cs="Tahoma"/>
      <w:sz w:val="16"/>
      <w:szCs w:val="16"/>
      <w:lang w:val="en-PH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B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3581"/>
    <w:pPr>
      <w:spacing w:after="0" w:line="240" w:lineRule="auto"/>
    </w:pPr>
    <w:rPr>
      <w:rFonts w:ascii="SimSun" w:eastAsia="SimSun" w:hAnsi="SimSun" w:cs="SimSun"/>
      <w:sz w:val="24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2B1C"/>
    <w:rPr>
      <w:rFonts w:ascii="Tahoma" w:eastAsiaTheme="minorHAnsi" w:hAnsi="Tahoma" w:cs="Tahoma"/>
      <w:sz w:val="16"/>
      <w:szCs w:val="16"/>
      <w:lang w:val="en-PH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B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2037</Words>
  <Characters>11611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Nelfa Pausal</dc:creator>
  <cp:lastModifiedBy>Nelfa Pausal</cp:lastModifiedBy>
  <cp:revision>1</cp:revision>
  <dcterms:created xsi:type="dcterms:W3CDTF">2024-01-04T12:55:00Z</dcterms:created>
  <dcterms:modified xsi:type="dcterms:W3CDTF">2024-01-04T12:56:00Z</dcterms:modified>
</cp:coreProperties>
</file>