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tabs>
          <w:tab w:val="left" w:pos="68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744CF1">
        <w:rPr>
          <w:noProof/>
          <w:lang w:eastAsia="en-US"/>
        </w:rPr>
        <w:lastRenderedPageBreak/>
        <w:drawing>
          <wp:inline distT="0" distB="0" distL="0" distR="0" wp14:anchorId="5D9CFCCA" wp14:editId="6A9AB58F">
            <wp:extent cx="5270500" cy="7159625"/>
            <wp:effectExtent l="0" t="0" r="6350" b="3175"/>
            <wp:docPr id="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15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>Figure S1.</w:t>
      </w:r>
    </w:p>
    <w:p w:rsidR="00F94A1E" w:rsidRDefault="00F94A1E" w:rsidP="00F94A1E">
      <w:pPr>
        <w:spacing w:line="360" w:lineRule="auto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 w:hint="eastAsia"/>
          <w:sz w:val="22"/>
          <w:szCs w:val="28"/>
        </w:rPr>
        <w:t>(A,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D,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G) Uniform </w:t>
      </w:r>
      <w:r>
        <w:rPr>
          <w:rFonts w:ascii="Times New Roman" w:hAnsi="Times New Roman"/>
          <w:sz w:val="22"/>
          <w:szCs w:val="28"/>
        </w:rPr>
        <w:t>manifold approximation and projection</w:t>
      </w:r>
      <w:r>
        <w:rPr>
          <w:rFonts w:ascii="Times New Roman" w:hAnsi="Times New Roman" w:hint="eastAsia"/>
          <w:sz w:val="22"/>
          <w:szCs w:val="28"/>
        </w:rPr>
        <w:t xml:space="preserve"> (UMAP) analysis depicting the cell type clusters identified within the prostate cancer datasets GSE137829, GSE141445, and GSE206962, respectively. Each point represents a single cell, </w:t>
      </w:r>
      <w:proofErr w:type="spellStart"/>
      <w:r>
        <w:rPr>
          <w:rFonts w:ascii="Times New Roman" w:hAnsi="Times New Roman" w:hint="eastAsia"/>
          <w:sz w:val="22"/>
          <w:szCs w:val="28"/>
        </w:rPr>
        <w:t>colour</w:t>
      </w:r>
      <w:proofErr w:type="spellEnd"/>
      <w:r>
        <w:rPr>
          <w:rFonts w:ascii="Times New Roman" w:hAnsi="Times New Roman" w:hint="eastAsia"/>
          <w:sz w:val="22"/>
          <w:szCs w:val="28"/>
        </w:rPr>
        <w:t>-coded according to cell type.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(B,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E,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H) Dot plots </w:t>
      </w:r>
      <w:r>
        <w:rPr>
          <w:rFonts w:ascii="Times New Roman" w:hAnsi="Times New Roman" w:hint="eastAsia"/>
          <w:sz w:val="22"/>
          <w:szCs w:val="28"/>
        </w:rPr>
        <w:lastRenderedPageBreak/>
        <w:t xml:space="preserve">showing expression levels of IL11 across different cell types within the prostate cancer microenvironment for datasets GSE137829, GSE141445, and GSE206962, respectively. The y-axis represents </w:t>
      </w:r>
      <w:r>
        <w:rPr>
          <w:rFonts w:ascii="Times New Roman" w:hAnsi="Times New Roman"/>
          <w:sz w:val="22"/>
          <w:szCs w:val="28"/>
        </w:rPr>
        <w:t xml:space="preserve">the </w:t>
      </w:r>
      <w:r>
        <w:rPr>
          <w:rFonts w:ascii="Times New Roman" w:hAnsi="Times New Roman" w:hint="eastAsia"/>
          <w:sz w:val="22"/>
          <w:szCs w:val="28"/>
        </w:rPr>
        <w:t>expression level, and each dot represents a single cell.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(C,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F,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I) Dot plots representing expression levels of IL11RA among various cell types in the same datasets as above. Each dot signifies a single cell, and the y-axis corresponds to the expression level of IL11RA.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(J) Bar graphs illustrating the relative expression levels of STAT4 in PC3 and DU145 prostate cancer cell lines following overexpression (OE) of STAT4. Data are shown as </w:t>
      </w:r>
      <w:r>
        <w:rPr>
          <w:rFonts w:ascii="Times New Roman" w:hAnsi="Times New Roman"/>
          <w:sz w:val="22"/>
          <w:szCs w:val="28"/>
        </w:rPr>
        <w:t xml:space="preserve">the </w:t>
      </w:r>
      <w:r>
        <w:rPr>
          <w:rFonts w:ascii="Times New Roman" w:hAnsi="Times New Roman" w:hint="eastAsia"/>
          <w:sz w:val="22"/>
          <w:szCs w:val="28"/>
        </w:rPr>
        <w:t xml:space="preserve">mean </w:t>
      </w:r>
      <w:r>
        <w:rPr>
          <w:rFonts w:ascii="Times New Roman" w:hAnsi="Times New Roman" w:hint="eastAsia"/>
          <w:sz w:val="22"/>
          <w:szCs w:val="28"/>
        </w:rPr>
        <w:t>±</w:t>
      </w:r>
      <w:r>
        <w:rPr>
          <w:rFonts w:ascii="Times New Roman" w:hAnsi="Times New Roman" w:hint="eastAsia"/>
          <w:sz w:val="22"/>
          <w:szCs w:val="28"/>
        </w:rPr>
        <w:t xml:space="preserve"> SD; **p&lt;0.01 indicates statistical significance compared to the control (Ctrl).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(L,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M) Dose</w:t>
      </w:r>
      <w:r>
        <w:rPr>
          <w:rFonts w:ascii="Times New Roman" w:hAnsi="Times New Roman" w:hint="eastAsia"/>
          <w:sz w:val="22"/>
          <w:szCs w:val="28"/>
        </w:rPr>
        <w:t>‒</w:t>
      </w:r>
      <w:r>
        <w:rPr>
          <w:rFonts w:ascii="Times New Roman" w:hAnsi="Times New Roman" w:hint="eastAsia"/>
          <w:sz w:val="22"/>
          <w:szCs w:val="28"/>
        </w:rPr>
        <w:t xml:space="preserve">response curves showing the viability of PC3 and DU145 cells treated with increasing concentrations of </w:t>
      </w:r>
      <w:r>
        <w:rPr>
          <w:rFonts w:ascii="Times New Roman" w:hAnsi="Times New Roman"/>
          <w:sz w:val="22"/>
          <w:szCs w:val="28"/>
        </w:rPr>
        <w:t>docetaxel</w:t>
      </w:r>
      <w:r>
        <w:rPr>
          <w:rFonts w:ascii="Times New Roman" w:hAnsi="Times New Roman" w:hint="eastAsia"/>
          <w:sz w:val="22"/>
          <w:szCs w:val="28"/>
        </w:rPr>
        <w:t xml:space="preserve"> (DTX). The cells were subjected to different treatments: control (Ctrl), shRNA-mediated knockdown of IL-11 (</w:t>
      </w:r>
      <w:proofErr w:type="spellStart"/>
      <w:r>
        <w:rPr>
          <w:rFonts w:ascii="Times New Roman" w:hAnsi="Times New Roman" w:hint="eastAsia"/>
          <w:sz w:val="22"/>
          <w:szCs w:val="28"/>
        </w:rPr>
        <w:t>Sh</w:t>
      </w:r>
      <w:proofErr w:type="spellEnd"/>
      <w:r>
        <w:rPr>
          <w:rFonts w:ascii="Times New Roman" w:hAnsi="Times New Roman" w:hint="eastAsia"/>
          <w:sz w:val="22"/>
          <w:szCs w:val="28"/>
        </w:rPr>
        <w:t xml:space="preserve"> IL-11), overexpression of STAT4 (Ctrl+STAT4), and combination of IL-11 knockdown with STAT4 overexpression (</w:t>
      </w:r>
      <w:proofErr w:type="spellStart"/>
      <w:r>
        <w:rPr>
          <w:rFonts w:ascii="Times New Roman" w:hAnsi="Times New Roman" w:hint="eastAsia"/>
          <w:sz w:val="22"/>
          <w:szCs w:val="28"/>
        </w:rPr>
        <w:t>Sh</w:t>
      </w:r>
      <w:proofErr w:type="spellEnd"/>
      <w:r>
        <w:rPr>
          <w:rFonts w:ascii="Times New Roman" w:hAnsi="Times New Roman" w:hint="eastAsia"/>
          <w:sz w:val="22"/>
          <w:szCs w:val="28"/>
        </w:rPr>
        <w:t xml:space="preserve"> IL-11+STAT4). IC50 values are indicated for each treatment group, demonstrating the impact on cell viability.</w:t>
      </w: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744CF1">
        <w:rPr>
          <w:noProof/>
          <w:lang w:eastAsia="en-US"/>
        </w:rPr>
        <w:lastRenderedPageBreak/>
        <w:drawing>
          <wp:inline distT="0" distB="0" distL="0" distR="0" wp14:anchorId="4C342988" wp14:editId="082A268B">
            <wp:extent cx="5279390" cy="7315200"/>
            <wp:effectExtent l="0" t="0" r="0" b="0"/>
            <wp:docPr id="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>Figure S2.</w:t>
      </w:r>
    </w:p>
    <w:p w:rsidR="00F94A1E" w:rsidRDefault="00F94A1E" w:rsidP="00F94A1E">
      <w:pPr>
        <w:spacing w:line="36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sz w:val="22"/>
          <w:szCs w:val="28"/>
        </w:rPr>
        <w:t xml:space="preserve">(A) Bar graph representing the fold change in expression of STAT family members in DU145 cells following combined knockdown (KD) of IL-11 and overexpression (OE) of IL-11NC compared to </w:t>
      </w:r>
      <w:r>
        <w:rPr>
          <w:rFonts w:ascii="Times New Roman" w:hAnsi="Times New Roman"/>
          <w:sz w:val="22"/>
          <w:szCs w:val="28"/>
        </w:rPr>
        <w:t xml:space="preserve">the </w:t>
      </w:r>
      <w:r>
        <w:rPr>
          <w:rFonts w:ascii="Times New Roman" w:hAnsi="Times New Roman" w:hint="eastAsia"/>
          <w:sz w:val="22"/>
          <w:szCs w:val="28"/>
        </w:rPr>
        <w:lastRenderedPageBreak/>
        <w:t xml:space="preserve">control. Data </w:t>
      </w:r>
      <w:r>
        <w:rPr>
          <w:rFonts w:ascii="Times New Roman" w:hAnsi="Times New Roman"/>
          <w:sz w:val="22"/>
          <w:szCs w:val="28"/>
        </w:rPr>
        <w:t xml:space="preserve">are </w:t>
      </w:r>
      <w:r>
        <w:rPr>
          <w:rFonts w:ascii="Times New Roman" w:hAnsi="Times New Roman" w:hint="eastAsia"/>
          <w:sz w:val="22"/>
          <w:szCs w:val="28"/>
        </w:rPr>
        <w:t xml:space="preserve">presented as </w:t>
      </w:r>
      <w:r>
        <w:rPr>
          <w:rFonts w:ascii="Times New Roman" w:hAnsi="Times New Roman"/>
          <w:sz w:val="22"/>
          <w:szCs w:val="28"/>
        </w:rPr>
        <w:t xml:space="preserve">the </w:t>
      </w:r>
      <w:r>
        <w:rPr>
          <w:rFonts w:ascii="Times New Roman" w:hAnsi="Times New Roman" w:hint="eastAsia"/>
          <w:sz w:val="22"/>
          <w:szCs w:val="28"/>
        </w:rPr>
        <w:t xml:space="preserve">mean </w:t>
      </w:r>
      <w:r>
        <w:rPr>
          <w:rFonts w:ascii="Times New Roman" w:hAnsi="Times New Roman" w:hint="eastAsia"/>
          <w:sz w:val="22"/>
          <w:szCs w:val="28"/>
        </w:rPr>
        <w:t>±</w:t>
      </w:r>
      <w:r>
        <w:rPr>
          <w:rFonts w:ascii="Times New Roman" w:hAnsi="Times New Roman" w:hint="eastAsia"/>
          <w:sz w:val="22"/>
          <w:szCs w:val="28"/>
        </w:rPr>
        <w:t xml:space="preserve"> SD.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(B) Similar to (A), showing fold changes in expression levels of JAK family members in DU145 cells under the same experimental conditions.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(C) Forest plot summarizing the hazard ratios from multiple datasets, indicating the association between expression of </w:t>
      </w:r>
      <w:r>
        <w:rPr>
          <w:rFonts w:ascii="Times New Roman" w:hAnsi="Times New Roman"/>
          <w:sz w:val="22"/>
          <w:szCs w:val="28"/>
        </w:rPr>
        <w:t xml:space="preserve">the </w:t>
      </w:r>
      <w:r>
        <w:rPr>
          <w:rFonts w:ascii="Times New Roman" w:hAnsi="Times New Roman" w:hint="eastAsia"/>
          <w:sz w:val="22"/>
          <w:szCs w:val="28"/>
        </w:rPr>
        <w:t>IL-11 signature and survival in various patient cohorts. The red line denotes the null effect.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(D) Dose</w:t>
      </w:r>
      <w:r>
        <w:rPr>
          <w:rFonts w:ascii="Times New Roman" w:hAnsi="Times New Roman" w:hint="eastAsia"/>
          <w:sz w:val="22"/>
          <w:szCs w:val="28"/>
        </w:rPr>
        <w:t>‒</w:t>
      </w:r>
      <w:r>
        <w:rPr>
          <w:rFonts w:ascii="Times New Roman" w:hAnsi="Times New Roman" w:hint="eastAsia"/>
          <w:sz w:val="22"/>
          <w:szCs w:val="28"/>
        </w:rPr>
        <w:t xml:space="preserve">response curves for PC3 cells treated with </w:t>
      </w:r>
      <w:r>
        <w:rPr>
          <w:rFonts w:ascii="Times New Roman" w:hAnsi="Times New Roman"/>
          <w:sz w:val="22"/>
          <w:szCs w:val="28"/>
        </w:rPr>
        <w:t>docetaxel</w:t>
      </w:r>
      <w:r>
        <w:rPr>
          <w:rFonts w:ascii="Times New Roman" w:hAnsi="Times New Roman" w:hint="eastAsia"/>
          <w:sz w:val="22"/>
          <w:szCs w:val="28"/>
        </w:rPr>
        <w:t xml:space="preserve"> (DTX) under different conditions: control (Ctrl), IL-11 knockdown (shIL-11), c-MYC overexpression (</w:t>
      </w:r>
      <w:proofErr w:type="spellStart"/>
      <w:r>
        <w:rPr>
          <w:rFonts w:ascii="Times New Roman" w:hAnsi="Times New Roman" w:hint="eastAsia"/>
          <w:sz w:val="22"/>
          <w:szCs w:val="28"/>
        </w:rPr>
        <w:t>Ctrl+c-MYC</w:t>
      </w:r>
      <w:proofErr w:type="spellEnd"/>
      <w:r>
        <w:rPr>
          <w:rFonts w:ascii="Times New Roman" w:hAnsi="Times New Roman" w:hint="eastAsia"/>
          <w:sz w:val="22"/>
          <w:szCs w:val="28"/>
        </w:rPr>
        <w:t>), and combination of IL-11 knockdown with c-MYC overexpression (shIL-11+c-MYC). IC50 values are indicated for each treatment group.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(E) Similar to (D), displaying dose</w:t>
      </w:r>
      <w:r>
        <w:rPr>
          <w:rFonts w:ascii="Times New Roman" w:hAnsi="Times New Roman" w:hint="eastAsia"/>
          <w:sz w:val="22"/>
          <w:szCs w:val="28"/>
        </w:rPr>
        <w:t>‒</w:t>
      </w:r>
      <w:r>
        <w:rPr>
          <w:rFonts w:ascii="Times New Roman" w:hAnsi="Times New Roman" w:hint="eastAsia"/>
          <w:sz w:val="22"/>
          <w:szCs w:val="28"/>
        </w:rPr>
        <w:t>response curves and IC50 values for DU145 cells treated with DTX under the same set of conditions.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(F) Network diagram illustrating the interactions among various proteins and STAT4, including genetic interactions, </w:t>
      </w:r>
      <w:r>
        <w:rPr>
          <w:rFonts w:ascii="Times New Roman" w:hAnsi="Times New Roman"/>
          <w:sz w:val="22"/>
          <w:szCs w:val="28"/>
        </w:rPr>
        <w:t>posttranslational</w:t>
      </w:r>
      <w:r>
        <w:rPr>
          <w:rFonts w:ascii="Times New Roman" w:hAnsi="Times New Roman" w:hint="eastAsia"/>
          <w:sz w:val="22"/>
          <w:szCs w:val="28"/>
        </w:rPr>
        <w:t xml:space="preserve"> modifications, and </w:t>
      </w:r>
      <w:proofErr w:type="spellStart"/>
      <w:r>
        <w:rPr>
          <w:rFonts w:ascii="Times New Roman" w:hAnsi="Times New Roman" w:hint="eastAsia"/>
          <w:sz w:val="22"/>
          <w:szCs w:val="28"/>
        </w:rPr>
        <w:t>colocalization</w:t>
      </w:r>
      <w:proofErr w:type="spellEnd"/>
      <w:r>
        <w:rPr>
          <w:rFonts w:ascii="Times New Roman" w:hAnsi="Times New Roman" w:hint="eastAsia"/>
          <w:sz w:val="22"/>
          <w:szCs w:val="28"/>
        </w:rPr>
        <w:t>, based on database and literature evidence.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(G) Western blot images from </w:t>
      </w:r>
      <w:proofErr w:type="spellStart"/>
      <w:r>
        <w:rPr>
          <w:rFonts w:ascii="Times New Roman" w:hAnsi="Times New Roman" w:hint="eastAsia"/>
          <w:sz w:val="22"/>
          <w:szCs w:val="28"/>
        </w:rPr>
        <w:t>coimmunoprecipitation</w:t>
      </w:r>
      <w:proofErr w:type="spellEnd"/>
      <w:r>
        <w:rPr>
          <w:rFonts w:ascii="Times New Roman" w:hAnsi="Times New Roman" w:hint="eastAsia"/>
          <w:sz w:val="22"/>
          <w:szCs w:val="28"/>
        </w:rPr>
        <w:t xml:space="preserve"> assays in PC3 and DU145 cells showing the interaction between phosphorylated STAT4 (pSTAT4) and CBP, with IgG as a control.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(H) Western blot analysis of PC3 and DU145 cells treated with IL-11 </w:t>
      </w:r>
      <w:r>
        <w:rPr>
          <w:rFonts w:ascii="Times New Roman" w:hAnsi="Times New Roman"/>
          <w:sz w:val="22"/>
          <w:szCs w:val="28"/>
        </w:rPr>
        <w:t>overexpression</w:t>
      </w:r>
      <w:r>
        <w:rPr>
          <w:rFonts w:ascii="Times New Roman" w:hAnsi="Times New Roman" w:hint="eastAsia"/>
          <w:sz w:val="22"/>
          <w:szCs w:val="28"/>
        </w:rPr>
        <w:t xml:space="preserve"> and shRNA against CBP, assessing the expression of IL-11, CBP, and c-MYC, with GAPDH as a loading control.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 xml:space="preserve">(I) Cell viability assay for PC3 cells treated with increasing concentrations of DTX, comparing the effects of control, IL-11 </w:t>
      </w:r>
      <w:r>
        <w:rPr>
          <w:rFonts w:ascii="Times New Roman" w:hAnsi="Times New Roman"/>
          <w:sz w:val="22"/>
          <w:szCs w:val="28"/>
        </w:rPr>
        <w:t>overexpression</w:t>
      </w:r>
      <w:r>
        <w:rPr>
          <w:rFonts w:ascii="Times New Roman" w:hAnsi="Times New Roman" w:hint="eastAsia"/>
          <w:sz w:val="22"/>
          <w:szCs w:val="28"/>
        </w:rPr>
        <w:t>, CBP knockdown, and combined IL-11 treatment with CBP knockdown.</w:t>
      </w:r>
      <w:r>
        <w:rPr>
          <w:rFonts w:ascii="Times New Roman" w:hAnsi="Times New Roman"/>
          <w:sz w:val="22"/>
          <w:szCs w:val="28"/>
        </w:rPr>
        <w:t xml:space="preserve"> </w:t>
      </w:r>
      <w:r>
        <w:rPr>
          <w:rFonts w:ascii="Times New Roman" w:hAnsi="Times New Roman" w:hint="eastAsia"/>
          <w:sz w:val="22"/>
          <w:szCs w:val="28"/>
        </w:rPr>
        <w:t>(J) Similar to (</w:t>
      </w:r>
      <w:proofErr w:type="gramStart"/>
      <w:r>
        <w:rPr>
          <w:rFonts w:ascii="Times New Roman" w:hAnsi="Times New Roman" w:hint="eastAsia"/>
          <w:sz w:val="22"/>
          <w:szCs w:val="28"/>
        </w:rPr>
        <w:t>I</w:t>
      </w:r>
      <w:proofErr w:type="gramEnd"/>
      <w:r>
        <w:rPr>
          <w:rFonts w:ascii="Times New Roman" w:hAnsi="Times New Roman" w:hint="eastAsia"/>
          <w:sz w:val="22"/>
          <w:szCs w:val="28"/>
        </w:rPr>
        <w:t>), showing cell viability assay results for DU145 cells under the same treatment conditions as PC3 cells.</w:t>
      </w: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744CF1">
        <w:rPr>
          <w:noProof/>
          <w:lang w:eastAsia="en-US"/>
        </w:rPr>
        <w:lastRenderedPageBreak/>
        <w:drawing>
          <wp:inline distT="0" distB="0" distL="0" distR="0" wp14:anchorId="541557B2" wp14:editId="51D22027">
            <wp:extent cx="5270500" cy="4675505"/>
            <wp:effectExtent l="0" t="0" r="6350" b="0"/>
            <wp:docPr id="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>Figure S3.</w:t>
      </w:r>
    </w:p>
    <w:p w:rsidR="00F94A1E" w:rsidRDefault="00F94A1E" w:rsidP="00F94A1E">
      <w:pPr>
        <w:rPr>
          <w:highlight w:val="yellow"/>
        </w:rPr>
      </w:pPr>
      <w:r>
        <w:rPr>
          <w:rFonts w:ascii="Times New Roman" w:hAnsi="Times New Roman" w:hint="eastAsia"/>
          <w:sz w:val="22"/>
          <w:szCs w:val="28"/>
          <w:highlight w:val="yellow"/>
        </w:rPr>
        <w:t xml:space="preserve">(A-G)Scatter plots displaying the log-transformed half maximal inhibitory concentration (IC50) values for various chemotherapeutic agents across different </w:t>
      </w:r>
      <w:proofErr w:type="spellStart"/>
      <w:r>
        <w:rPr>
          <w:rFonts w:ascii="Times New Roman" w:hAnsi="Times New Roman" w:hint="eastAsia"/>
          <w:sz w:val="22"/>
          <w:szCs w:val="28"/>
          <w:highlight w:val="yellow"/>
        </w:rPr>
        <w:t>tumour</w:t>
      </w:r>
      <w:proofErr w:type="spellEnd"/>
      <w:r>
        <w:rPr>
          <w:rFonts w:ascii="Times New Roman" w:hAnsi="Times New Roman" w:hint="eastAsia"/>
          <w:sz w:val="22"/>
          <w:szCs w:val="28"/>
          <w:highlight w:val="yellow"/>
        </w:rPr>
        <w:t xml:space="preserve"> cell clusters (A-E). Each dot represents a single cell, and </w:t>
      </w:r>
      <w:proofErr w:type="spellStart"/>
      <w:r>
        <w:rPr>
          <w:rFonts w:ascii="Times New Roman" w:hAnsi="Times New Roman" w:hint="eastAsia"/>
          <w:sz w:val="22"/>
          <w:szCs w:val="28"/>
          <w:highlight w:val="yellow"/>
        </w:rPr>
        <w:t>colours</w:t>
      </w:r>
      <w:proofErr w:type="spellEnd"/>
      <w:r>
        <w:rPr>
          <w:rFonts w:ascii="Times New Roman" w:hAnsi="Times New Roman" w:hint="eastAsia"/>
          <w:sz w:val="22"/>
          <w:szCs w:val="28"/>
          <w:highlight w:val="yellow"/>
        </w:rPr>
        <w:t xml:space="preserve"> differentiate the clusters.</w:t>
      </w:r>
      <w:r>
        <w:rPr>
          <w:rFonts w:ascii="Times New Roman" w:hAnsi="Times New Roman"/>
          <w:sz w:val="22"/>
          <w:szCs w:val="28"/>
          <w:highlight w:val="yellow"/>
        </w:rPr>
        <w:t xml:space="preserve"> </w:t>
      </w:r>
      <w:proofErr w:type="gramStart"/>
      <w:r>
        <w:rPr>
          <w:rFonts w:ascii="Times New Roman" w:hAnsi="Times New Roman" w:hint="eastAsia"/>
          <w:i/>
          <w:iCs/>
          <w:sz w:val="22"/>
          <w:szCs w:val="28"/>
          <w:highlight w:val="yellow"/>
        </w:rPr>
        <w:t>p</w:t>
      </w:r>
      <w:proofErr w:type="gramEnd"/>
      <w:r>
        <w:rPr>
          <w:rFonts w:ascii="Times New Roman" w:hAnsi="Times New Roman" w:hint="eastAsia"/>
          <w:i/>
          <w:iCs/>
          <w:sz w:val="22"/>
          <w:szCs w:val="28"/>
          <w:highlight w:val="yellow"/>
        </w:rPr>
        <w:t xml:space="preserve"> </w:t>
      </w:r>
      <w:r>
        <w:rPr>
          <w:rFonts w:ascii="Times New Roman" w:hAnsi="Times New Roman" w:hint="eastAsia"/>
          <w:sz w:val="22"/>
          <w:szCs w:val="28"/>
          <w:highlight w:val="yellow"/>
        </w:rPr>
        <w:t>values are indicated for comparisons between clusters.(H)</w:t>
      </w:r>
      <w:r>
        <w:rPr>
          <w:rFonts w:ascii="Times New Roman" w:hAnsi="Times New Roman"/>
          <w:sz w:val="22"/>
          <w:highlight w:val="yellow"/>
        </w:rPr>
        <w:t xml:space="preserve">Comparison of L-11 mRNA expression between PCA </w:t>
      </w:r>
      <w:proofErr w:type="spellStart"/>
      <w:r>
        <w:rPr>
          <w:rFonts w:ascii="Times New Roman" w:hAnsi="Times New Roman"/>
          <w:sz w:val="22"/>
          <w:highlight w:val="yellow"/>
        </w:rPr>
        <w:t>tumour</w:t>
      </w:r>
      <w:proofErr w:type="spellEnd"/>
      <w:r>
        <w:rPr>
          <w:rFonts w:ascii="Times New Roman" w:hAnsi="Times New Roman"/>
          <w:sz w:val="22"/>
          <w:highlight w:val="yellow"/>
        </w:rPr>
        <w:t xml:space="preserve"> and adjacent normal tissues (unpaired t test)</w:t>
      </w:r>
      <w:r>
        <w:rPr>
          <w:rFonts w:ascii="Times New Roman" w:hAnsi="Times New Roman" w:hint="eastAsia"/>
          <w:sz w:val="22"/>
          <w:highlight w:val="yellow"/>
        </w:rPr>
        <w:t>(n=56)</w:t>
      </w:r>
      <w:r>
        <w:rPr>
          <w:rFonts w:ascii="Times New Roman" w:hAnsi="Times New Roman"/>
          <w:sz w:val="22"/>
          <w:highlight w:val="yellow"/>
        </w:rPr>
        <w:t>.</w:t>
      </w:r>
      <w:r>
        <w:rPr>
          <w:rFonts w:ascii="Times New Roman" w:hAnsi="Times New Roman" w:hint="eastAsia"/>
          <w:sz w:val="22"/>
          <w:szCs w:val="28"/>
          <w:highlight w:val="yellow"/>
        </w:rPr>
        <w:t>(I)</w:t>
      </w:r>
      <w:r>
        <w:rPr>
          <w:rFonts w:ascii="Times New Roman" w:hAnsi="Times New Roman"/>
          <w:sz w:val="22"/>
          <w:highlight w:val="yellow"/>
        </w:rPr>
        <w:t xml:space="preserve">Comparison of L-11 mRNA expression between PCA </w:t>
      </w:r>
      <w:proofErr w:type="spellStart"/>
      <w:r>
        <w:rPr>
          <w:rFonts w:ascii="Times New Roman" w:hAnsi="Times New Roman"/>
          <w:sz w:val="22"/>
          <w:highlight w:val="yellow"/>
        </w:rPr>
        <w:t>tumour</w:t>
      </w:r>
      <w:proofErr w:type="spellEnd"/>
      <w:r>
        <w:rPr>
          <w:rFonts w:ascii="Times New Roman" w:hAnsi="Times New Roman"/>
          <w:sz w:val="22"/>
          <w:highlight w:val="yellow"/>
        </w:rPr>
        <w:t xml:space="preserve"> and adjacent normal tissues (paired t test)</w:t>
      </w:r>
      <w:r>
        <w:rPr>
          <w:rFonts w:ascii="Times New Roman" w:hAnsi="Times New Roman" w:hint="eastAsia"/>
          <w:sz w:val="22"/>
          <w:highlight w:val="yellow"/>
        </w:rPr>
        <w:t>(n=56)</w:t>
      </w:r>
      <w:r>
        <w:rPr>
          <w:rFonts w:ascii="Times New Roman" w:hAnsi="Times New Roman"/>
          <w:sz w:val="22"/>
          <w:highlight w:val="yellow"/>
        </w:rPr>
        <w:t xml:space="preserve">. </w:t>
      </w:r>
    </w:p>
    <w:p w:rsidR="00F94A1E" w:rsidRDefault="00F94A1E" w:rsidP="00F94A1E">
      <w:pPr>
        <w:spacing w:line="360" w:lineRule="auto"/>
        <w:rPr>
          <w:rFonts w:ascii="Times New Roman" w:hAnsi="Times New Roman"/>
          <w:sz w:val="22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94A1E" w:rsidRDefault="00F94A1E" w:rsidP="00F94A1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066DA8" w:rsidRDefault="00066DA8">
      <w:bookmarkStart w:id="0" w:name="_GoBack"/>
      <w:bookmarkEnd w:id="0"/>
    </w:p>
    <w:sectPr w:rsidR="00066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1E"/>
    <w:rsid w:val="00066DA8"/>
    <w:rsid w:val="001630BE"/>
    <w:rsid w:val="00256BBB"/>
    <w:rsid w:val="00274BB3"/>
    <w:rsid w:val="00314FE9"/>
    <w:rsid w:val="003E1404"/>
    <w:rsid w:val="004105E0"/>
    <w:rsid w:val="00434311"/>
    <w:rsid w:val="00532F3E"/>
    <w:rsid w:val="00610508"/>
    <w:rsid w:val="00837D83"/>
    <w:rsid w:val="008520B8"/>
    <w:rsid w:val="00881988"/>
    <w:rsid w:val="008B194F"/>
    <w:rsid w:val="00A00AD2"/>
    <w:rsid w:val="00A16F4C"/>
    <w:rsid w:val="00B6526F"/>
    <w:rsid w:val="00BB655E"/>
    <w:rsid w:val="00CB5C70"/>
    <w:rsid w:val="00D91273"/>
    <w:rsid w:val="00D95686"/>
    <w:rsid w:val="00DF1880"/>
    <w:rsid w:val="00EA3345"/>
    <w:rsid w:val="00F468B7"/>
    <w:rsid w:val="00F94A1E"/>
    <w:rsid w:val="00FA71DE"/>
    <w:rsid w:val="00FB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A1E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A1E"/>
    <w:rPr>
      <w:rFonts w:ascii="Tahoma" w:eastAsia="DengXia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A1E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A1E"/>
    <w:rPr>
      <w:rFonts w:ascii="Tahoma" w:eastAsia="DengXia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Neriza Juslin Buenavista</dc:creator>
  <cp:lastModifiedBy>Neriza Juslin Buenavista</cp:lastModifiedBy>
  <cp:revision>1</cp:revision>
  <dcterms:created xsi:type="dcterms:W3CDTF">2024-02-02T09:53:00Z</dcterms:created>
  <dcterms:modified xsi:type="dcterms:W3CDTF">2024-02-02T09:54:00Z</dcterms:modified>
</cp:coreProperties>
</file>