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4"/>
        <w:tblW w:w="21116" w:type="dxa"/>
        <w:tblLayout w:type="fixed"/>
        <w:tblLook w:val="04A0" w:firstRow="1" w:lastRow="0" w:firstColumn="1" w:lastColumn="0" w:noHBand="0" w:noVBand="1"/>
      </w:tblPr>
      <w:tblGrid>
        <w:gridCol w:w="993"/>
        <w:gridCol w:w="2409"/>
        <w:gridCol w:w="1843"/>
        <w:gridCol w:w="709"/>
        <w:gridCol w:w="2835"/>
        <w:gridCol w:w="1559"/>
        <w:gridCol w:w="992"/>
        <w:gridCol w:w="1134"/>
        <w:gridCol w:w="8642"/>
      </w:tblGrid>
      <w:tr w:rsidR="00B71718" w:rsidRPr="00673210" w14:paraId="08CB9951" w14:textId="77777777" w:rsidTr="001247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Borders>
              <w:top w:val="single" w:sz="24" w:space="0" w:color="auto"/>
              <w:bottom w:val="single" w:sz="12" w:space="0" w:color="auto"/>
            </w:tcBorders>
          </w:tcPr>
          <w:p w14:paraId="7A922BE3" w14:textId="77777777" w:rsidR="00B71718" w:rsidRPr="00673210" w:rsidRDefault="00B71718" w:rsidP="001247F3">
            <w:pPr>
              <w:spacing w:line="480" w:lineRule="auto"/>
              <w:rPr>
                <w:rFonts w:ascii="Times New Roman" w:hAnsi="Times New Roman"/>
                <w:b w:val="0"/>
                <w:bCs w:val="0"/>
                <w:sz w:val="22"/>
              </w:rPr>
            </w:pPr>
            <w:r w:rsidRPr="00673210">
              <w:rPr>
                <w:rFonts w:ascii="Times New Roman" w:hAnsi="Times New Roman"/>
                <w:sz w:val="22"/>
              </w:rPr>
              <w:t>Target</w:t>
            </w:r>
          </w:p>
        </w:tc>
        <w:tc>
          <w:tcPr>
            <w:tcW w:w="2409" w:type="dxa"/>
            <w:tcBorders>
              <w:top w:val="single" w:sz="24" w:space="0" w:color="auto"/>
              <w:bottom w:val="single" w:sz="12" w:space="0" w:color="auto"/>
            </w:tcBorders>
          </w:tcPr>
          <w:p w14:paraId="54AAA8C3" w14:textId="77777777" w:rsidR="00B71718" w:rsidRPr="00673210" w:rsidRDefault="00B71718" w:rsidP="001247F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rPr>
            </w:pPr>
            <w:r w:rsidRPr="00673210">
              <w:rPr>
                <w:rFonts w:ascii="Times New Roman" w:hAnsi="Times New Roman"/>
                <w:sz w:val="22"/>
              </w:rPr>
              <w:t>Intervention</w:t>
            </w:r>
          </w:p>
        </w:tc>
        <w:tc>
          <w:tcPr>
            <w:tcW w:w="1843" w:type="dxa"/>
            <w:tcBorders>
              <w:top w:val="single" w:sz="24" w:space="0" w:color="auto"/>
              <w:bottom w:val="single" w:sz="12" w:space="0" w:color="auto"/>
            </w:tcBorders>
          </w:tcPr>
          <w:p w14:paraId="32192013" w14:textId="77777777" w:rsidR="00B71718" w:rsidRPr="00673210" w:rsidRDefault="00B71718" w:rsidP="001247F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rPr>
            </w:pPr>
            <w:r w:rsidRPr="00673210">
              <w:rPr>
                <w:rFonts w:ascii="Times New Roman" w:hAnsi="Times New Roman"/>
                <w:sz w:val="22"/>
              </w:rPr>
              <w:t>Author</w:t>
            </w:r>
          </w:p>
        </w:tc>
        <w:tc>
          <w:tcPr>
            <w:tcW w:w="709" w:type="dxa"/>
            <w:tcBorders>
              <w:top w:val="single" w:sz="24" w:space="0" w:color="auto"/>
              <w:bottom w:val="single" w:sz="12" w:space="0" w:color="auto"/>
            </w:tcBorders>
          </w:tcPr>
          <w:p w14:paraId="08F04D93" w14:textId="77777777" w:rsidR="00B71718" w:rsidRPr="00673210" w:rsidRDefault="00B71718" w:rsidP="001247F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rPr>
            </w:pPr>
            <w:r w:rsidRPr="00673210">
              <w:rPr>
                <w:rFonts w:ascii="Times New Roman" w:hAnsi="Times New Roman"/>
                <w:sz w:val="22"/>
              </w:rPr>
              <w:t>Year</w:t>
            </w:r>
          </w:p>
        </w:tc>
        <w:tc>
          <w:tcPr>
            <w:tcW w:w="2835" w:type="dxa"/>
            <w:tcBorders>
              <w:top w:val="single" w:sz="24" w:space="0" w:color="auto"/>
              <w:bottom w:val="single" w:sz="12" w:space="0" w:color="auto"/>
            </w:tcBorders>
          </w:tcPr>
          <w:p w14:paraId="05DCBD9F" w14:textId="77777777" w:rsidR="00B71718" w:rsidRPr="00673210" w:rsidRDefault="00B71718" w:rsidP="001247F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rPr>
            </w:pPr>
            <w:r w:rsidRPr="00673210">
              <w:rPr>
                <w:rFonts w:ascii="Times New Roman" w:hAnsi="Times New Roman"/>
                <w:sz w:val="22"/>
              </w:rPr>
              <w:t>Journal</w:t>
            </w:r>
          </w:p>
        </w:tc>
        <w:tc>
          <w:tcPr>
            <w:tcW w:w="1559" w:type="dxa"/>
            <w:tcBorders>
              <w:top w:val="single" w:sz="24" w:space="0" w:color="auto"/>
              <w:bottom w:val="single" w:sz="12" w:space="0" w:color="auto"/>
            </w:tcBorders>
          </w:tcPr>
          <w:p w14:paraId="00633F9A" w14:textId="77777777" w:rsidR="00B71718" w:rsidRPr="00673210" w:rsidRDefault="00B71718" w:rsidP="001247F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rPr>
            </w:pPr>
            <w:r w:rsidRPr="00673210">
              <w:rPr>
                <w:rFonts w:ascii="Times New Roman" w:hAnsi="Times New Roman"/>
                <w:sz w:val="22"/>
              </w:rPr>
              <w:t>Country</w:t>
            </w:r>
          </w:p>
        </w:tc>
        <w:tc>
          <w:tcPr>
            <w:tcW w:w="992" w:type="dxa"/>
            <w:tcBorders>
              <w:top w:val="single" w:sz="24" w:space="0" w:color="auto"/>
              <w:bottom w:val="single" w:sz="12" w:space="0" w:color="auto"/>
            </w:tcBorders>
          </w:tcPr>
          <w:p w14:paraId="7A8BAB51" w14:textId="4D7200DD" w:rsidR="00B71718" w:rsidRPr="00673210" w:rsidRDefault="00B71718" w:rsidP="001247F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rPr>
            </w:pPr>
            <w:r w:rsidRPr="00673210">
              <w:rPr>
                <w:rFonts w:ascii="Times New Roman" w:hAnsi="Times New Roman"/>
                <w:sz w:val="22"/>
              </w:rPr>
              <w:t>Clinical</w:t>
            </w:r>
            <w:r w:rsidRPr="00673210">
              <w:rPr>
                <w:rFonts w:ascii="Times New Roman" w:hAnsi="Times New Roman"/>
                <w:sz w:val="22"/>
              </w:rPr>
              <w:br/>
              <w:t>Trial Phase</w:t>
            </w:r>
          </w:p>
        </w:tc>
        <w:tc>
          <w:tcPr>
            <w:tcW w:w="1134" w:type="dxa"/>
            <w:tcBorders>
              <w:top w:val="single" w:sz="24" w:space="0" w:color="auto"/>
              <w:bottom w:val="single" w:sz="12" w:space="0" w:color="auto"/>
            </w:tcBorders>
          </w:tcPr>
          <w:p w14:paraId="5B38415B" w14:textId="5882FC5A" w:rsidR="00B71718" w:rsidRPr="00673210" w:rsidRDefault="00B71718" w:rsidP="001247F3">
            <w:pPr>
              <w:spacing w:line="480" w:lineRule="auto"/>
              <w:jc w:val="left"/>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rPr>
            </w:pPr>
            <w:r w:rsidRPr="00673210">
              <w:rPr>
                <w:rFonts w:ascii="Times New Roman" w:hAnsi="Times New Roman"/>
                <w:noProof/>
                <w:sz w:val="22"/>
              </w:rPr>
              <mc:AlternateContent>
                <mc:Choice Requires="wps">
                  <w:drawing>
                    <wp:anchor distT="45720" distB="45720" distL="114300" distR="114300" simplePos="0" relativeHeight="251659264" behindDoc="1" locked="0" layoutInCell="1" allowOverlap="1" wp14:anchorId="6985390D" wp14:editId="73FF7289">
                      <wp:simplePos x="0" y="0"/>
                      <wp:positionH relativeFrom="column">
                        <wp:posOffset>-114300</wp:posOffset>
                      </wp:positionH>
                      <wp:positionV relativeFrom="paragraph">
                        <wp:posOffset>46990</wp:posOffset>
                      </wp:positionV>
                      <wp:extent cx="2360930" cy="1404620"/>
                      <wp:effectExtent l="0" t="0" r="0" b="5715"/>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174F9C3" w14:textId="65422B8C" w:rsidR="00B71718" w:rsidRPr="00C27BF7" w:rsidRDefault="00B71718" w:rsidP="00B71718">
                                  <w:pPr>
                                    <w:rPr>
                                      <w:rFonts w:ascii="Times New Roman" w:hAnsi="Times New Roman"/>
                                      <w:b/>
                                      <w:bCs/>
                                      <w:sz w:val="22"/>
                                    </w:rPr>
                                  </w:pPr>
                                  <w:r w:rsidRPr="00C27BF7">
                                    <w:rPr>
                                      <w:rFonts w:ascii="Times New Roman" w:hAnsi="Times New Roman"/>
                                      <w:b/>
                                      <w:bCs/>
                                      <w:sz w:val="22"/>
                                    </w:rPr>
                                    <w:t>Enrolment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985390D" id="_x0000_t202" coordsize="21600,21600" o:spt="202" path="m,l,21600r21600,l21600,xe">
                      <v:stroke joinstyle="miter"/>
                      <v:path gradientshapeok="t" o:connecttype="rect"/>
                    </v:shapetype>
                    <v:shape id="文本框 2" o:spid="_x0000_s1026" type="#_x0000_t202" style="position:absolute;margin-left:-9pt;margin-top:3.7pt;width:185.9pt;height:110.6pt;z-index:-2516572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" stroked="f">
                      <v:textbox style="mso-fit-shape-to-text:t">
                        <w:txbxContent>
                          <w:p w14:paraId="0174F9C3" w14:textId="65422B8C" w:rsidR="00B71718" w:rsidRPr="00C27BF7" w:rsidRDefault="00B71718" w:rsidP="00B71718">
                            <w:pPr>
                              <w:rPr>
                                <w:rFonts w:ascii="Times New Roman" w:hAnsi="Times New Roman"/>
                                <w:b/>
                                <w:bCs/>
                                <w:sz w:val="22"/>
                              </w:rPr>
                            </w:pPr>
                            <w:r w:rsidRPr="00C27BF7">
                              <w:rPr>
                                <w:rFonts w:ascii="Times New Roman" w:hAnsi="Times New Roman"/>
                                <w:b/>
                                <w:bCs/>
                                <w:sz w:val="22"/>
                              </w:rPr>
                              <w:t>Enrolment</w:t>
                            </w:r>
                          </w:p>
                        </w:txbxContent>
                      </v:textbox>
                    </v:shape>
                  </w:pict>
                </mc:Fallback>
              </mc:AlternateContent>
            </w:r>
          </w:p>
        </w:tc>
        <w:tc>
          <w:tcPr>
            <w:tcW w:w="8642" w:type="dxa"/>
            <w:tcBorders>
              <w:top w:val="single" w:sz="24" w:space="0" w:color="auto"/>
              <w:bottom w:val="single" w:sz="12" w:space="0" w:color="auto"/>
            </w:tcBorders>
          </w:tcPr>
          <w:p w14:paraId="18301CBF" w14:textId="26E2D054" w:rsidR="00B71718" w:rsidRPr="00673210" w:rsidRDefault="00B71718" w:rsidP="001247F3">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2"/>
              </w:rPr>
            </w:pPr>
            <w:r>
              <w:rPr>
                <w:rFonts w:ascii="Times New Roman" w:hAnsi="Times New Roman"/>
                <w:sz w:val="22"/>
              </w:rPr>
              <w:t>Comments</w:t>
            </w:r>
          </w:p>
        </w:tc>
      </w:tr>
      <w:tr w:rsidR="00B71718" w:rsidRPr="00673210" w14:paraId="646D974F"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Borders>
              <w:top w:val="single" w:sz="12" w:space="0" w:color="auto"/>
            </w:tcBorders>
          </w:tcPr>
          <w:p w14:paraId="05C5684F"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PD-1</w:t>
            </w:r>
          </w:p>
          <w:p w14:paraId="013F54CD" w14:textId="77777777" w:rsidR="00B71718" w:rsidRPr="00673210" w:rsidRDefault="00B71718" w:rsidP="001247F3">
            <w:pPr>
              <w:spacing w:line="480" w:lineRule="auto"/>
              <w:rPr>
                <w:rFonts w:ascii="Times New Roman" w:hAnsi="Times New Roman"/>
                <w:sz w:val="22"/>
              </w:rPr>
            </w:pPr>
          </w:p>
        </w:tc>
        <w:tc>
          <w:tcPr>
            <w:tcW w:w="2409" w:type="dxa"/>
            <w:tcBorders>
              <w:top w:val="single" w:sz="12" w:space="0" w:color="auto"/>
            </w:tcBorders>
          </w:tcPr>
          <w:p w14:paraId="75A4F57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Pembrolizumab (Keytruda)</w:t>
            </w:r>
          </w:p>
          <w:p w14:paraId="546AC56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F23011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CEE9E7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Nivolumab (Opdivo)</w:t>
            </w:r>
          </w:p>
          <w:p w14:paraId="0940ED8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AE6234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Cemiplimab (Libtayo)</w:t>
            </w:r>
          </w:p>
          <w:p w14:paraId="09E4013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B10153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30BB91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3C7E7A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70F55D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25C742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Dostarlimab</w:t>
            </w:r>
          </w:p>
          <w:p w14:paraId="2FE15A6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35617E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HX009</w:t>
            </w:r>
            <w:r w:rsidRPr="00673210">
              <w:rPr>
                <w:rFonts w:ascii="Times New Roman" w:hAnsi="Times New Roman"/>
                <w:sz w:val="22"/>
                <w:vertAlign w:val="superscript"/>
              </w:rPr>
              <w:t>a</w:t>
            </w:r>
          </w:p>
        </w:tc>
        <w:tc>
          <w:tcPr>
            <w:tcW w:w="1843" w:type="dxa"/>
            <w:tcBorders>
              <w:top w:val="single" w:sz="12" w:space="0" w:color="auto"/>
            </w:tcBorders>
          </w:tcPr>
          <w:p w14:paraId="48DF0A4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Reck </w:t>
            </w:r>
            <w:r w:rsidRPr="00673210">
              <w:rPr>
                <w:rFonts w:ascii="Times New Roman" w:hAnsi="Times New Roman"/>
                <w:i/>
                <w:iCs/>
                <w:sz w:val="22"/>
              </w:rPr>
              <w:t>et al.</w:t>
            </w:r>
          </w:p>
          <w:p w14:paraId="2F99084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CE03DA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Schmid </w:t>
            </w:r>
            <w:r w:rsidRPr="00673210">
              <w:rPr>
                <w:rFonts w:ascii="Times New Roman" w:hAnsi="Times New Roman"/>
                <w:i/>
                <w:iCs/>
                <w:sz w:val="22"/>
              </w:rPr>
              <w:t>et al.</w:t>
            </w:r>
          </w:p>
          <w:p w14:paraId="61A9F4A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01C75D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Topalian </w:t>
            </w:r>
            <w:r w:rsidRPr="00673210">
              <w:rPr>
                <w:rFonts w:ascii="Times New Roman" w:hAnsi="Times New Roman"/>
                <w:i/>
                <w:iCs/>
                <w:sz w:val="22"/>
              </w:rPr>
              <w:t>et al.</w:t>
            </w:r>
          </w:p>
          <w:p w14:paraId="6EE2005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F33E2C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Gross </w:t>
            </w:r>
            <w:r w:rsidRPr="00673210">
              <w:rPr>
                <w:rFonts w:ascii="Times New Roman" w:hAnsi="Times New Roman"/>
                <w:i/>
                <w:iCs/>
                <w:sz w:val="22"/>
              </w:rPr>
              <w:t>et al.</w:t>
            </w:r>
          </w:p>
          <w:p w14:paraId="348F7F6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017523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Ferrarotto </w:t>
            </w:r>
            <w:r w:rsidRPr="00673210">
              <w:rPr>
                <w:rFonts w:ascii="Times New Roman" w:hAnsi="Times New Roman"/>
                <w:i/>
                <w:iCs/>
                <w:sz w:val="22"/>
              </w:rPr>
              <w:t>et al.</w:t>
            </w:r>
          </w:p>
          <w:p w14:paraId="19B89EA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AAB54B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Rischin </w:t>
            </w:r>
            <w:r w:rsidRPr="00673210">
              <w:rPr>
                <w:rFonts w:ascii="Times New Roman" w:hAnsi="Times New Roman"/>
                <w:i/>
                <w:iCs/>
                <w:sz w:val="22"/>
              </w:rPr>
              <w:t>et al.</w:t>
            </w:r>
          </w:p>
          <w:p w14:paraId="79DEEFF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8A95A9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Yap </w:t>
            </w:r>
            <w:r w:rsidRPr="00673210">
              <w:rPr>
                <w:rFonts w:ascii="Times New Roman" w:hAnsi="Times New Roman"/>
                <w:i/>
                <w:iCs/>
                <w:sz w:val="22"/>
              </w:rPr>
              <w:t>et al.</w:t>
            </w:r>
          </w:p>
          <w:p w14:paraId="1404DD4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9A9838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7267A6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A327E0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709" w:type="dxa"/>
            <w:tcBorders>
              <w:top w:val="single" w:sz="12" w:space="0" w:color="auto"/>
            </w:tcBorders>
          </w:tcPr>
          <w:p w14:paraId="3E19F71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2016</w:t>
            </w:r>
          </w:p>
          <w:p w14:paraId="0528DC5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B99A4D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205483A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54C3B9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2019</w:t>
            </w:r>
          </w:p>
          <w:p w14:paraId="3897157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71ED7D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154A03C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37FD27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p w14:paraId="69BB068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6F5A82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p w14:paraId="5940D4D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731C21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3AF0274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A20963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F30266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53F315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Borders>
              <w:top w:val="single" w:sz="12" w:space="0" w:color="auto"/>
            </w:tcBorders>
          </w:tcPr>
          <w:p w14:paraId="545589B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N Engl J Med.</w:t>
            </w:r>
          </w:p>
          <w:p w14:paraId="7091E00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274CCB4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N Engl J Med.</w:t>
            </w:r>
          </w:p>
          <w:p w14:paraId="482049E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19C0D3B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JAMA Oncol.</w:t>
            </w:r>
          </w:p>
          <w:p w14:paraId="15875D1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050BF38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N Engl J Med.</w:t>
            </w:r>
          </w:p>
          <w:p w14:paraId="3689912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56915CB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Clin Cancer Res.</w:t>
            </w:r>
          </w:p>
          <w:p w14:paraId="219F3F3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7547D25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Immunother Cancer.</w:t>
            </w:r>
          </w:p>
          <w:p w14:paraId="5F5CBBB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0399C47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Immunother Cancer.</w:t>
            </w:r>
          </w:p>
          <w:p w14:paraId="3D135F3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2B3904E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457E84D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21BADAF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Borders>
              <w:top w:val="single" w:sz="12" w:space="0" w:color="auto"/>
            </w:tcBorders>
          </w:tcPr>
          <w:p w14:paraId="186DF0D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N.A.</w:t>
            </w:r>
          </w:p>
          <w:p w14:paraId="4CBC74A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4D394F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7405A17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71029D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6221442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3140E82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22172BC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DF69A8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2892F9D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987B45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561EB53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31AD49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675BC93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742AA0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AU</w:t>
            </w:r>
          </w:p>
          <w:p w14:paraId="6381BC1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CN</w:t>
            </w:r>
          </w:p>
          <w:p w14:paraId="0319874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CN</w:t>
            </w:r>
          </w:p>
        </w:tc>
        <w:tc>
          <w:tcPr>
            <w:tcW w:w="992" w:type="dxa"/>
            <w:tcBorders>
              <w:top w:val="single" w:sz="12" w:space="0" w:color="auto"/>
            </w:tcBorders>
          </w:tcPr>
          <w:p w14:paraId="0566E51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576E7AD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46B8DB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6D29A86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22E9DA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01641ED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8FEDC1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p w14:paraId="644F3A7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E83159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p w14:paraId="15E00F5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FB902A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p w14:paraId="07A875A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4B7249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Ib</w:t>
            </w:r>
          </w:p>
          <w:p w14:paraId="6104B92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D3F313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4C50832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47C3ECB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tc>
        <w:tc>
          <w:tcPr>
            <w:tcW w:w="1134" w:type="dxa"/>
            <w:tcBorders>
              <w:top w:val="single" w:sz="12" w:space="0" w:color="auto"/>
            </w:tcBorders>
          </w:tcPr>
          <w:p w14:paraId="425C42B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305</w:t>
            </w:r>
          </w:p>
          <w:p w14:paraId="6878C02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B703ED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1174</w:t>
            </w:r>
          </w:p>
          <w:p w14:paraId="1C2740B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8EB073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395</w:t>
            </w:r>
          </w:p>
          <w:p w14:paraId="5B7FEB0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568013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79</w:t>
            </w:r>
          </w:p>
          <w:p w14:paraId="1202C7F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FBDF85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40</w:t>
            </w:r>
          </w:p>
          <w:p w14:paraId="05EC0E0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BE1CFE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432</w:t>
            </w:r>
          </w:p>
          <w:p w14:paraId="30F253D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B88624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58</w:t>
            </w:r>
          </w:p>
          <w:p w14:paraId="1A2E6C6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2023B0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21</w:t>
            </w:r>
          </w:p>
          <w:p w14:paraId="2A9F8CE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25</w:t>
            </w:r>
          </w:p>
          <w:p w14:paraId="45ED627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210</w:t>
            </w:r>
          </w:p>
        </w:tc>
        <w:tc>
          <w:tcPr>
            <w:tcW w:w="8642" w:type="dxa"/>
            <w:tcBorders>
              <w:top w:val="single" w:sz="12" w:space="0" w:color="auto"/>
            </w:tcBorders>
          </w:tcPr>
          <w:p w14:paraId="3EE688C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Median progression-free survival was 10.3 months in the pembrolizumab group versus 6.0 months in the chemotherapy group.</w:t>
            </w:r>
          </w:p>
          <w:p w14:paraId="2D1B151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Estimated event-free survival at 36 months was 84.5% in the pembrolizumab-chemotherapy group, as compared with </w:t>
            </w:r>
            <w:r>
              <w:rPr>
                <w:rFonts w:ascii="Times New Roman" w:hAnsi="Times New Roman"/>
                <w:sz w:val="22"/>
              </w:rPr>
              <w:t>76.8% in</w:t>
            </w:r>
            <w:r w:rsidRPr="00673210">
              <w:rPr>
                <w:rFonts w:ascii="Times New Roman" w:hAnsi="Times New Roman"/>
                <w:sz w:val="22"/>
              </w:rPr>
              <w:t xml:space="preserve"> the placebo-chemotherapy group.</w:t>
            </w:r>
          </w:p>
          <w:p w14:paraId="0303D29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Nivolumab treatment was associated with long-term survival in a subset of heavily pretreated patients with advanced melanoma, renal cell carcinoma, or NSCLC. </w:t>
            </w:r>
          </w:p>
          <w:p w14:paraId="44B1D0A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Pathological complete response was observed in 51% of patients and a pathological major response in 13% of the patients.</w:t>
            </w:r>
          </w:p>
          <w:p w14:paraId="749E778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Cemiplimab immunotherapy in locoregionally advanced, resectable cutaneous HNSCC was safe and induced a high pathologic response rate.</w:t>
            </w:r>
          </w:p>
          <w:p w14:paraId="7E5D47B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Substantial clinical activity of cemiplimab in cutaneous squamous cell carcinoma patients was confirmed.</w:t>
            </w:r>
          </w:p>
          <w:p w14:paraId="5B96370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Dostarlimab was well tolerated in both doublet and triplet regimens tested, with promising antitumor activity observed with all combinations.</w:t>
            </w:r>
          </w:p>
          <w:p w14:paraId="2CCA4D9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NCT04097769</w:t>
            </w:r>
          </w:p>
          <w:p w14:paraId="680F038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NCT05731752</w:t>
            </w:r>
          </w:p>
          <w:p w14:paraId="230726F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NCT04886271</w:t>
            </w:r>
          </w:p>
        </w:tc>
      </w:tr>
      <w:tr w:rsidR="00B71718" w:rsidRPr="00673210" w14:paraId="190CCACA"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5B528E89"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PD-L1</w:t>
            </w:r>
          </w:p>
        </w:tc>
        <w:tc>
          <w:tcPr>
            <w:tcW w:w="2409" w:type="dxa"/>
          </w:tcPr>
          <w:p w14:paraId="0932F9A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Atezolizumab</w:t>
            </w:r>
          </w:p>
          <w:p w14:paraId="039F89D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A784D6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43E672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906F00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A32CEE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A383AA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Avelumab</w:t>
            </w:r>
          </w:p>
          <w:p w14:paraId="0A2EDE2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30C5A1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BE86CA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Durvalumab</w:t>
            </w:r>
          </w:p>
          <w:p w14:paraId="2E9E50F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A95C47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E9ED8C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EF02CE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Spartalizumab</w:t>
            </w:r>
          </w:p>
          <w:p w14:paraId="7EF874F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PF-07257876</w:t>
            </w:r>
            <w:r w:rsidRPr="00673210">
              <w:rPr>
                <w:rFonts w:ascii="Times New Roman" w:hAnsi="Times New Roman"/>
                <w:sz w:val="22"/>
                <w:vertAlign w:val="superscript"/>
              </w:rPr>
              <w:t>a</w:t>
            </w:r>
          </w:p>
          <w:p w14:paraId="1CACCF2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IBI322</w:t>
            </w:r>
            <w:r w:rsidRPr="00673210">
              <w:rPr>
                <w:rFonts w:ascii="Times New Roman" w:hAnsi="Times New Roman"/>
                <w:sz w:val="22"/>
                <w:vertAlign w:val="superscript"/>
              </w:rPr>
              <w:t>a</w:t>
            </w:r>
          </w:p>
        </w:tc>
        <w:tc>
          <w:tcPr>
            <w:tcW w:w="1843" w:type="dxa"/>
          </w:tcPr>
          <w:p w14:paraId="2C94ACE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lastRenderedPageBreak/>
              <w:t xml:space="preserve">Finn </w:t>
            </w:r>
            <w:r w:rsidRPr="00673210">
              <w:rPr>
                <w:rFonts w:ascii="Times New Roman" w:hAnsi="Times New Roman"/>
                <w:i/>
                <w:iCs/>
                <w:sz w:val="22"/>
              </w:rPr>
              <w:t>et al.</w:t>
            </w:r>
          </w:p>
          <w:p w14:paraId="5EBA765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25B69B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7F4219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Herbst </w:t>
            </w:r>
            <w:r w:rsidRPr="00673210">
              <w:rPr>
                <w:rFonts w:ascii="Times New Roman" w:hAnsi="Times New Roman"/>
                <w:i/>
                <w:iCs/>
                <w:sz w:val="22"/>
              </w:rPr>
              <w:t>et al.</w:t>
            </w:r>
          </w:p>
          <w:p w14:paraId="6BBA9FC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191BA5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Liu </w:t>
            </w:r>
            <w:r w:rsidRPr="00673210">
              <w:rPr>
                <w:rFonts w:ascii="Times New Roman" w:hAnsi="Times New Roman"/>
                <w:i/>
                <w:iCs/>
                <w:sz w:val="22"/>
              </w:rPr>
              <w:t>et al.</w:t>
            </w:r>
          </w:p>
          <w:p w14:paraId="7EA5817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E650D3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Powless</w:t>
            </w:r>
            <w:r w:rsidRPr="00673210">
              <w:rPr>
                <w:rFonts w:ascii="Times New Roman" w:hAnsi="Times New Roman"/>
                <w:i/>
                <w:iCs/>
                <w:sz w:val="22"/>
              </w:rPr>
              <w:t xml:space="preserve"> et al.</w:t>
            </w:r>
          </w:p>
          <w:p w14:paraId="75BA015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BD1CC6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A9A8F9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Spigel </w:t>
            </w:r>
            <w:r w:rsidRPr="00673210">
              <w:rPr>
                <w:rFonts w:ascii="Times New Roman" w:hAnsi="Times New Roman"/>
                <w:i/>
                <w:iCs/>
                <w:sz w:val="22"/>
              </w:rPr>
              <w:t>et al.</w:t>
            </w:r>
            <w:r w:rsidRPr="00673210">
              <w:rPr>
                <w:rFonts w:ascii="Times New Roman" w:hAnsi="Times New Roman"/>
                <w:sz w:val="22"/>
              </w:rPr>
              <w:t xml:space="preserve"> </w:t>
            </w:r>
          </w:p>
          <w:p w14:paraId="5682578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165F76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Johnson </w:t>
            </w:r>
            <w:r w:rsidRPr="00673210">
              <w:rPr>
                <w:rFonts w:ascii="Times New Roman" w:hAnsi="Times New Roman"/>
                <w:i/>
                <w:iCs/>
                <w:sz w:val="22"/>
              </w:rPr>
              <w:t>et al.</w:t>
            </w:r>
          </w:p>
          <w:p w14:paraId="1FD0AD7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39C7F6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Schöffski </w:t>
            </w:r>
            <w:r w:rsidRPr="00673210">
              <w:rPr>
                <w:rFonts w:ascii="Times New Roman" w:hAnsi="Times New Roman"/>
                <w:i/>
                <w:iCs/>
                <w:sz w:val="22"/>
              </w:rPr>
              <w:t>et al.</w:t>
            </w:r>
          </w:p>
        </w:tc>
        <w:tc>
          <w:tcPr>
            <w:tcW w:w="709" w:type="dxa"/>
          </w:tcPr>
          <w:p w14:paraId="45D0A14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lastRenderedPageBreak/>
              <w:t>2020</w:t>
            </w:r>
          </w:p>
          <w:p w14:paraId="6FC9161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061214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946B88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2020</w:t>
            </w:r>
          </w:p>
          <w:p w14:paraId="2921BFB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EC419C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p w14:paraId="141CF84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66C81B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2020</w:t>
            </w:r>
          </w:p>
          <w:p w14:paraId="7BBA55B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676A1A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0242D4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06E8E93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046905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2023</w:t>
            </w:r>
          </w:p>
          <w:p w14:paraId="1E1CEAF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66DB56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tc>
        <w:tc>
          <w:tcPr>
            <w:tcW w:w="2835" w:type="dxa"/>
          </w:tcPr>
          <w:p w14:paraId="49D4A85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lastRenderedPageBreak/>
              <w:t>N Eng J Med.</w:t>
            </w:r>
          </w:p>
          <w:p w14:paraId="7E4BD0A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3D905A7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65EBE2F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N Eng J Med.</w:t>
            </w:r>
          </w:p>
          <w:p w14:paraId="257020F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59AD4C6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Clin Oncol.</w:t>
            </w:r>
          </w:p>
          <w:p w14:paraId="6859708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4A3F963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N Eng J Med.</w:t>
            </w:r>
          </w:p>
          <w:p w14:paraId="04733A7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5395AED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3060FA8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Clin Oncol.</w:t>
            </w:r>
          </w:p>
          <w:p w14:paraId="1378862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11C06AD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Clin Oncol.</w:t>
            </w:r>
          </w:p>
          <w:p w14:paraId="1DCF11D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2BED5D1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Immunother Cancer.</w:t>
            </w:r>
          </w:p>
        </w:tc>
        <w:tc>
          <w:tcPr>
            <w:tcW w:w="1559" w:type="dxa"/>
          </w:tcPr>
          <w:p w14:paraId="4C194DB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lastRenderedPageBreak/>
              <w:t>Multinational</w:t>
            </w:r>
          </w:p>
          <w:p w14:paraId="01C64F5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FDDFCB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233EE7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4D5025B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6C4D40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1807AB0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938D6C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149462B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B9BD8D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4DA086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7B80DA3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93F58E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2E434EB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730B64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tc>
        <w:tc>
          <w:tcPr>
            <w:tcW w:w="992" w:type="dxa"/>
          </w:tcPr>
          <w:p w14:paraId="52CD80C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lastRenderedPageBreak/>
              <w:t>III</w:t>
            </w:r>
          </w:p>
          <w:p w14:paraId="30D355D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690443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795AD2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24215DD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F1A717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I/III</w:t>
            </w:r>
          </w:p>
          <w:p w14:paraId="248023C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2E91D3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2412F9B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701909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2146E1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44D0002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AA3DBC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7B33067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F8B93F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tc>
        <w:tc>
          <w:tcPr>
            <w:tcW w:w="1134" w:type="dxa"/>
          </w:tcPr>
          <w:p w14:paraId="58B74B8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lastRenderedPageBreak/>
              <w:t>558</w:t>
            </w:r>
          </w:p>
          <w:p w14:paraId="0AD894A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1CC20D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F13AA5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572</w:t>
            </w:r>
          </w:p>
          <w:p w14:paraId="307AE98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65EC28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503</w:t>
            </w:r>
          </w:p>
          <w:p w14:paraId="2C599BF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4C24F4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700</w:t>
            </w:r>
          </w:p>
          <w:p w14:paraId="2D68B8E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58B3D4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9BABD2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713</w:t>
            </w:r>
          </w:p>
          <w:p w14:paraId="3BF89F9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C0F7D2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1186</w:t>
            </w:r>
          </w:p>
          <w:p w14:paraId="094159C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B1EC10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490</w:t>
            </w:r>
          </w:p>
        </w:tc>
        <w:tc>
          <w:tcPr>
            <w:tcW w:w="8642" w:type="dxa"/>
          </w:tcPr>
          <w:p w14:paraId="55DFDBD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lastRenderedPageBreak/>
              <w:t xml:space="preserve">In patients with unresectable hepatocellular carcinoma, atezolizumab combined with </w:t>
            </w:r>
            <w:r w:rsidRPr="00673210">
              <w:rPr>
                <w:rFonts w:ascii="Times New Roman" w:hAnsi="Times New Roman"/>
                <w:sz w:val="22"/>
              </w:rPr>
              <w:lastRenderedPageBreak/>
              <w:t>bevacizumab resulted in better overall and progression-free survival outcomes than kinase inhibitor sorafenib.</w:t>
            </w:r>
          </w:p>
          <w:p w14:paraId="0800DC9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Atezolizumab treatment resulted in significantly longer overall survival than platinum-based chemotherapy among patients with NSCLC, regardless of histologic type.</w:t>
            </w:r>
          </w:p>
          <w:p w14:paraId="241A288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Adding atezolizumab as </w:t>
            </w:r>
            <w:r>
              <w:rPr>
                <w:rFonts w:ascii="Times New Roman" w:hAnsi="Times New Roman"/>
                <w:sz w:val="22"/>
              </w:rPr>
              <w:t xml:space="preserve">a </w:t>
            </w:r>
            <w:r w:rsidRPr="00673210">
              <w:rPr>
                <w:rFonts w:ascii="Times New Roman" w:hAnsi="Times New Roman"/>
                <w:sz w:val="22"/>
              </w:rPr>
              <w:t>treatment for extensive-stage small-cell lung cancer continued to demonstrate improved overall survival and a tolerable safety profile.</w:t>
            </w:r>
          </w:p>
          <w:p w14:paraId="1A92717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Maintenance </w:t>
            </w:r>
            <w:r>
              <w:rPr>
                <w:rFonts w:ascii="Times New Roman" w:hAnsi="Times New Roman"/>
                <w:sz w:val="22"/>
              </w:rPr>
              <w:t xml:space="preserve">of </w:t>
            </w:r>
            <w:r w:rsidRPr="00673210">
              <w:rPr>
                <w:rFonts w:ascii="Times New Roman" w:hAnsi="Times New Roman"/>
                <w:sz w:val="22"/>
              </w:rPr>
              <w:t>avelumab plus best supportive care significantly prolonged overall survival, as compared with best supportive care alone, among patients with urothelial cancer who had disease that had not progressed with first-line chemotherapy.</w:t>
            </w:r>
          </w:p>
          <w:p w14:paraId="7F174CD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Sustained overall survival and </w:t>
            </w:r>
            <w:r>
              <w:rPr>
                <w:rFonts w:ascii="Times New Roman" w:hAnsi="Times New Roman"/>
                <w:sz w:val="22"/>
              </w:rPr>
              <w:t>progression-free</w:t>
            </w:r>
            <w:r w:rsidRPr="00673210">
              <w:rPr>
                <w:rFonts w:ascii="Times New Roman" w:hAnsi="Times New Roman"/>
                <w:sz w:val="22"/>
              </w:rPr>
              <w:t xml:space="preserve"> survival </w:t>
            </w:r>
            <w:r>
              <w:rPr>
                <w:rFonts w:ascii="Times New Roman" w:hAnsi="Times New Roman"/>
                <w:sz w:val="22"/>
              </w:rPr>
              <w:t>were</w:t>
            </w:r>
            <w:r w:rsidRPr="00673210">
              <w:rPr>
                <w:rFonts w:ascii="Times New Roman" w:hAnsi="Times New Roman"/>
                <w:sz w:val="22"/>
              </w:rPr>
              <w:t xml:space="preserve"> observed with durvalumab after chemoradiotherapy.</w:t>
            </w:r>
          </w:p>
          <w:p w14:paraId="3BED102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Pr>
                <w:rFonts w:ascii="Times New Roman" w:hAnsi="Times New Roman"/>
                <w:sz w:val="22"/>
              </w:rPr>
              <w:t>Progression-free</w:t>
            </w:r>
            <w:r w:rsidRPr="00673210">
              <w:rPr>
                <w:rFonts w:ascii="Times New Roman" w:hAnsi="Times New Roman"/>
                <w:sz w:val="22"/>
              </w:rPr>
              <w:t xml:space="preserve"> survival was significantly improved with durvalumab + chemotherapy versus chemotherapy alone.</w:t>
            </w:r>
          </w:p>
          <w:p w14:paraId="1090AB6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Spartalizumab was well tolerated in combination with ieramilimab.</w:t>
            </w:r>
          </w:p>
        </w:tc>
      </w:tr>
      <w:tr w:rsidR="00B71718" w:rsidRPr="00673210" w14:paraId="4190E11F"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1ACC7396"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lastRenderedPageBreak/>
              <w:t>CTLA-4</w:t>
            </w:r>
          </w:p>
        </w:tc>
        <w:tc>
          <w:tcPr>
            <w:tcW w:w="2409" w:type="dxa"/>
          </w:tcPr>
          <w:p w14:paraId="307B10E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Ipilimumab</w:t>
            </w:r>
          </w:p>
          <w:p w14:paraId="7C44CF8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6DA44C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E8EA03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30A5A19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Tremelimumab</w:t>
            </w:r>
          </w:p>
        </w:tc>
        <w:tc>
          <w:tcPr>
            <w:tcW w:w="1843" w:type="dxa"/>
          </w:tcPr>
          <w:p w14:paraId="5D360E5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Sun </w:t>
            </w:r>
            <w:r w:rsidRPr="00673210">
              <w:rPr>
                <w:rFonts w:ascii="Times New Roman" w:hAnsi="Times New Roman"/>
                <w:i/>
                <w:iCs/>
                <w:sz w:val="22"/>
              </w:rPr>
              <w:t>et al.</w:t>
            </w:r>
          </w:p>
          <w:p w14:paraId="7DD1785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803C10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Slovin</w:t>
            </w:r>
            <w:r w:rsidRPr="00673210">
              <w:rPr>
                <w:rFonts w:ascii="Times New Roman" w:hAnsi="Times New Roman"/>
                <w:i/>
                <w:iCs/>
                <w:sz w:val="22"/>
              </w:rPr>
              <w:t xml:space="preserve"> et al.</w:t>
            </w:r>
          </w:p>
          <w:p w14:paraId="7310442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213E25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Hersh </w:t>
            </w:r>
            <w:r w:rsidRPr="00673210">
              <w:rPr>
                <w:rFonts w:ascii="Times New Roman" w:hAnsi="Times New Roman"/>
                <w:i/>
                <w:iCs/>
                <w:sz w:val="22"/>
              </w:rPr>
              <w:t>et al.</w:t>
            </w:r>
          </w:p>
          <w:p w14:paraId="5FDDF5F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Siu </w:t>
            </w:r>
            <w:r w:rsidRPr="00673210">
              <w:rPr>
                <w:rFonts w:ascii="Times New Roman" w:hAnsi="Times New Roman"/>
                <w:i/>
                <w:iCs/>
                <w:sz w:val="22"/>
              </w:rPr>
              <w:t>et al.</w:t>
            </w:r>
          </w:p>
          <w:p w14:paraId="613316C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FFE5DC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Baverel </w:t>
            </w:r>
            <w:r w:rsidRPr="00673210">
              <w:rPr>
                <w:rFonts w:ascii="Times New Roman" w:hAnsi="Times New Roman"/>
                <w:i/>
                <w:iCs/>
                <w:sz w:val="22"/>
              </w:rPr>
              <w:t>et al.</w:t>
            </w:r>
          </w:p>
          <w:p w14:paraId="5C61B5E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B8C216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Subudhi </w:t>
            </w:r>
            <w:r w:rsidRPr="00673210">
              <w:rPr>
                <w:rFonts w:ascii="Times New Roman" w:hAnsi="Times New Roman"/>
                <w:i/>
                <w:iCs/>
                <w:sz w:val="22"/>
              </w:rPr>
              <w:t>et al.</w:t>
            </w:r>
          </w:p>
        </w:tc>
        <w:tc>
          <w:tcPr>
            <w:tcW w:w="709" w:type="dxa"/>
          </w:tcPr>
          <w:p w14:paraId="39E9648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p w14:paraId="49C1494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726282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2013</w:t>
            </w:r>
          </w:p>
          <w:p w14:paraId="2DDE37F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1156DC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2011</w:t>
            </w:r>
          </w:p>
          <w:p w14:paraId="6E2202F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2019</w:t>
            </w:r>
          </w:p>
          <w:p w14:paraId="29D9F35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958158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2019</w:t>
            </w:r>
          </w:p>
          <w:p w14:paraId="333E071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DA23E7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tc>
        <w:tc>
          <w:tcPr>
            <w:tcW w:w="2835" w:type="dxa"/>
          </w:tcPr>
          <w:p w14:paraId="0444326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Prostate.</w:t>
            </w:r>
          </w:p>
          <w:p w14:paraId="474E6FF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272A025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Ann Oncol</w:t>
            </w:r>
          </w:p>
          <w:p w14:paraId="11A8928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0B0942F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Invest New Drugs.</w:t>
            </w:r>
          </w:p>
          <w:p w14:paraId="7D5AF15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JAMA Oncol.</w:t>
            </w:r>
          </w:p>
          <w:p w14:paraId="24E9A13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31DAE30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Clin Transl Sci.</w:t>
            </w:r>
          </w:p>
          <w:p w14:paraId="354506F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3428459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Immunother Cancer.</w:t>
            </w:r>
          </w:p>
        </w:tc>
        <w:tc>
          <w:tcPr>
            <w:tcW w:w="1559" w:type="dxa"/>
          </w:tcPr>
          <w:p w14:paraId="0803476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00D6996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3C6CDB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3CCFD20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BB86FD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3DA67DA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372ED8D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B40946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178A226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9560A2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tc>
        <w:tc>
          <w:tcPr>
            <w:tcW w:w="992" w:type="dxa"/>
          </w:tcPr>
          <w:p w14:paraId="64D154D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4DB1671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9CBEDA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0F6866B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33399F4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p w14:paraId="449F1E2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p w14:paraId="2753EDE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9DB3BF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p w14:paraId="4A986CA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48C975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tc>
        <w:tc>
          <w:tcPr>
            <w:tcW w:w="1134" w:type="dxa"/>
          </w:tcPr>
          <w:p w14:paraId="30977EB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75</w:t>
            </w:r>
          </w:p>
          <w:p w14:paraId="3EE4E13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DA1A1D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75</w:t>
            </w:r>
          </w:p>
          <w:p w14:paraId="6CC9EC1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97464C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72</w:t>
            </w:r>
          </w:p>
          <w:p w14:paraId="214A5E4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267</w:t>
            </w:r>
          </w:p>
          <w:p w14:paraId="3D10015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A114DB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571</w:t>
            </w:r>
          </w:p>
          <w:p w14:paraId="74E0164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3C3EB6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31</w:t>
            </w:r>
          </w:p>
        </w:tc>
        <w:tc>
          <w:tcPr>
            <w:tcW w:w="8642" w:type="dxa"/>
          </w:tcPr>
          <w:p w14:paraId="1E2B86A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Demonstrated potential in treating metastatic castrate-resistant prostate cancer, suggesting application in a wider range of prostate cancer patients.</w:t>
            </w:r>
          </w:p>
          <w:p w14:paraId="06D93DD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In metastatic castrate-resistant prostate cancer patients, ipilimumab 10 mg/kg ± radiotherapy suggested clinical antitumor activity with disease control and manageable adverse effects.</w:t>
            </w:r>
          </w:p>
          <w:p w14:paraId="57250E2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Ipilimumab therapy resulted in clinically meaningful responses in advanced melanoma patients.</w:t>
            </w:r>
          </w:p>
          <w:p w14:paraId="439DEEB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Tremelimumab exhibited a manageable toxicity profile in patients with recurrent or metastatic HNSCC and low or no PD-L1 tumor cell expression, </w:t>
            </w:r>
          </w:p>
          <w:p w14:paraId="1CDB29C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Tremelimumab demonstrated no clinically meaningful differences in overall survival in patients with unresectable malignant mesothelioma.</w:t>
            </w:r>
          </w:p>
          <w:p w14:paraId="1EDDE46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Tremelimumab was safe and well tolerated in patients with chemotherapy-naive metastatic castrate-resistant prostate cancer to bone, with potential activity in a small number of patients as measured by radiographic progression-free survival</w:t>
            </w:r>
          </w:p>
        </w:tc>
      </w:tr>
      <w:tr w:rsidR="00B71718" w:rsidRPr="00673210" w14:paraId="171597FF"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6E192C97"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TIM-3</w:t>
            </w:r>
          </w:p>
        </w:tc>
        <w:tc>
          <w:tcPr>
            <w:tcW w:w="2409" w:type="dxa"/>
          </w:tcPr>
          <w:p w14:paraId="56D07DE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Sym023</w:t>
            </w:r>
          </w:p>
          <w:p w14:paraId="177A500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A5BBE0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C951A6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Spartalizumab</w:t>
            </w:r>
          </w:p>
          <w:p w14:paraId="3F23E7A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TSR-022</w:t>
            </w:r>
          </w:p>
        </w:tc>
        <w:tc>
          <w:tcPr>
            <w:tcW w:w="1843" w:type="dxa"/>
          </w:tcPr>
          <w:p w14:paraId="5F7A7E2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7947915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49A070C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2B1373F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Curigliano </w:t>
            </w:r>
            <w:r w:rsidRPr="00673210">
              <w:rPr>
                <w:rFonts w:ascii="Times New Roman" w:hAnsi="Times New Roman"/>
                <w:i/>
                <w:iCs/>
                <w:sz w:val="22"/>
              </w:rPr>
              <w:t>et al.</w:t>
            </w:r>
            <w:r w:rsidRPr="00673210">
              <w:rPr>
                <w:rFonts w:ascii="Times New Roman" w:hAnsi="Times New Roman"/>
                <w:sz w:val="22"/>
              </w:rPr>
              <w:t xml:space="preserve"> </w:t>
            </w:r>
          </w:p>
          <w:p w14:paraId="24546CE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55E286C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6E5A38B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709" w:type="dxa"/>
          </w:tcPr>
          <w:p w14:paraId="163FBBC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261454C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7506388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0AB471A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p w14:paraId="477829C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67E837B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52AD978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Pr>
          <w:p w14:paraId="689B1D8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21C8140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13B4A6B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146D468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Clin Cancer Res.</w:t>
            </w:r>
          </w:p>
          <w:p w14:paraId="3F366BE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25D72B4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4AA3336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Pr>
          <w:p w14:paraId="71F6F71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2A72FC7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184B138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1339F14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30E9D73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15F2D33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 ES</w:t>
            </w:r>
          </w:p>
          <w:p w14:paraId="1F9EBF1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tc>
        <w:tc>
          <w:tcPr>
            <w:tcW w:w="992" w:type="dxa"/>
          </w:tcPr>
          <w:p w14:paraId="281515A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4BED0BD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5FEB7B2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67E0C81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I-Ib/II</w:t>
            </w:r>
          </w:p>
          <w:p w14:paraId="3569A97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p w14:paraId="31965AF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702DC7A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tc>
        <w:tc>
          <w:tcPr>
            <w:tcW w:w="1134" w:type="dxa"/>
          </w:tcPr>
          <w:p w14:paraId="2750EB1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24</w:t>
            </w:r>
          </w:p>
          <w:p w14:paraId="6656DB3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148</w:t>
            </w:r>
          </w:p>
          <w:p w14:paraId="2D23D5D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89</w:t>
            </w:r>
          </w:p>
          <w:p w14:paraId="52CFA0A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252</w:t>
            </w:r>
          </w:p>
          <w:p w14:paraId="0252F0B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42</w:t>
            </w:r>
          </w:p>
          <w:p w14:paraId="42E8C83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475</w:t>
            </w:r>
          </w:p>
          <w:p w14:paraId="7754A60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56</w:t>
            </w:r>
          </w:p>
        </w:tc>
        <w:tc>
          <w:tcPr>
            <w:tcW w:w="8642" w:type="dxa"/>
          </w:tcPr>
          <w:p w14:paraId="0571CA5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NCT03489343</w:t>
            </w:r>
          </w:p>
          <w:p w14:paraId="796CFC4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NCT04641871</w:t>
            </w:r>
          </w:p>
          <w:p w14:paraId="6516BC8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NCT03311412</w:t>
            </w:r>
          </w:p>
          <w:p w14:paraId="344B82C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Sabatolimab was well tolerated and showed preliminary signs of antitumor activity.</w:t>
            </w:r>
          </w:p>
          <w:p w14:paraId="4FE3D55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NCT03680508</w:t>
            </w:r>
          </w:p>
          <w:p w14:paraId="727B6EE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NCT02817633</w:t>
            </w:r>
          </w:p>
          <w:p w14:paraId="045A4BA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NCT04139902</w:t>
            </w:r>
          </w:p>
        </w:tc>
      </w:tr>
      <w:tr w:rsidR="00B71718" w:rsidRPr="00673210" w14:paraId="0624B08F"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3274BFF2"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TIGIT</w:t>
            </w:r>
          </w:p>
        </w:tc>
        <w:tc>
          <w:tcPr>
            <w:tcW w:w="2409" w:type="dxa"/>
          </w:tcPr>
          <w:p w14:paraId="43F4642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Tiragolumab</w:t>
            </w:r>
          </w:p>
          <w:p w14:paraId="11B22F3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BC91F2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DBDD9E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Etigilimab</w:t>
            </w:r>
          </w:p>
          <w:p w14:paraId="275DB47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Vibostolimab</w:t>
            </w:r>
          </w:p>
        </w:tc>
        <w:tc>
          <w:tcPr>
            <w:tcW w:w="1843" w:type="dxa"/>
          </w:tcPr>
          <w:p w14:paraId="50E0CD3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Cho </w:t>
            </w:r>
            <w:r w:rsidRPr="00673210">
              <w:rPr>
                <w:rFonts w:ascii="Times New Roman" w:hAnsi="Times New Roman"/>
                <w:i/>
                <w:iCs/>
                <w:sz w:val="22"/>
              </w:rPr>
              <w:t>et al.</w:t>
            </w:r>
            <w:r w:rsidRPr="00673210">
              <w:rPr>
                <w:rFonts w:ascii="Times New Roman" w:hAnsi="Times New Roman"/>
                <w:sz w:val="22"/>
              </w:rPr>
              <w:t xml:space="preserve"> </w:t>
            </w:r>
          </w:p>
          <w:p w14:paraId="5B2E63B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DB54DE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F7AADF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Mettu </w:t>
            </w:r>
            <w:r w:rsidRPr="00673210">
              <w:rPr>
                <w:rFonts w:ascii="Times New Roman" w:hAnsi="Times New Roman"/>
                <w:i/>
                <w:iCs/>
                <w:sz w:val="22"/>
              </w:rPr>
              <w:t>et al.</w:t>
            </w:r>
          </w:p>
          <w:p w14:paraId="30710A7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Niu </w:t>
            </w:r>
            <w:r w:rsidRPr="00673210">
              <w:rPr>
                <w:rFonts w:ascii="Times New Roman" w:hAnsi="Times New Roman"/>
                <w:i/>
                <w:iCs/>
                <w:sz w:val="22"/>
              </w:rPr>
              <w:t>et al.</w:t>
            </w:r>
          </w:p>
        </w:tc>
        <w:tc>
          <w:tcPr>
            <w:tcW w:w="709" w:type="dxa"/>
          </w:tcPr>
          <w:p w14:paraId="7BAC3FD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1A1AF50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737BFA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0BF370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52AF534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tc>
        <w:tc>
          <w:tcPr>
            <w:tcW w:w="2835" w:type="dxa"/>
          </w:tcPr>
          <w:p w14:paraId="2B1A79B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Lancet Oncol.</w:t>
            </w:r>
          </w:p>
          <w:p w14:paraId="31BB96A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048E66B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66077E9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Clin Cancer Res.</w:t>
            </w:r>
          </w:p>
          <w:p w14:paraId="488FD68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Ann Oncol.</w:t>
            </w:r>
          </w:p>
        </w:tc>
        <w:tc>
          <w:tcPr>
            <w:tcW w:w="1559" w:type="dxa"/>
          </w:tcPr>
          <w:p w14:paraId="5125959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29E8A39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CD79FC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718A42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675E3B5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tc>
        <w:tc>
          <w:tcPr>
            <w:tcW w:w="992" w:type="dxa"/>
          </w:tcPr>
          <w:p w14:paraId="25185EC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p w14:paraId="32F841F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907ACD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367ECDE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Ia/b</w:t>
            </w:r>
          </w:p>
          <w:p w14:paraId="39AF203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tc>
        <w:tc>
          <w:tcPr>
            <w:tcW w:w="1134" w:type="dxa"/>
          </w:tcPr>
          <w:p w14:paraId="0E73C86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135</w:t>
            </w:r>
          </w:p>
          <w:p w14:paraId="0ADB086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FDD549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39031F8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33</w:t>
            </w:r>
          </w:p>
          <w:p w14:paraId="47DCCBB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492</w:t>
            </w:r>
          </w:p>
        </w:tc>
        <w:tc>
          <w:tcPr>
            <w:tcW w:w="8642" w:type="dxa"/>
          </w:tcPr>
          <w:p w14:paraId="7C7F1CB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Tiragolumab showed a clinically meaningful improvement in objective response rate and progression-free survival in patients with chemotherapy-naive, PD-L1-positive, recurrent</w:t>
            </w:r>
            <w:r>
              <w:rPr>
                <w:rFonts w:ascii="Times New Roman" w:hAnsi="Times New Roman"/>
                <w:sz w:val="22"/>
              </w:rPr>
              <w:t>,</w:t>
            </w:r>
            <w:r w:rsidRPr="00673210">
              <w:rPr>
                <w:rFonts w:ascii="Times New Roman" w:hAnsi="Times New Roman"/>
                <w:sz w:val="22"/>
              </w:rPr>
              <w:t xml:space="preserve"> or metastatic NSCLC.</w:t>
            </w:r>
          </w:p>
          <w:p w14:paraId="337E7DE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Etigilimab had an acceptable safety profile with preliminary evidence of clinical benefits.</w:t>
            </w:r>
          </w:p>
          <w:p w14:paraId="16B057C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Vibostolimab was well tolerated and demonstrated antitumor activity in patients with advanced solid tumors, including patients with advanced NSCLC.</w:t>
            </w:r>
          </w:p>
        </w:tc>
      </w:tr>
      <w:tr w:rsidR="00B71718" w:rsidRPr="00673210" w14:paraId="3B48442F"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48961F10"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VISTA</w:t>
            </w:r>
          </w:p>
        </w:tc>
        <w:tc>
          <w:tcPr>
            <w:tcW w:w="2409" w:type="dxa"/>
          </w:tcPr>
          <w:p w14:paraId="42327CB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CA-170</w:t>
            </w:r>
          </w:p>
          <w:p w14:paraId="25E7FC8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CI-8993</w:t>
            </w:r>
          </w:p>
          <w:p w14:paraId="4FD0BFA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JNJ-61610588</w:t>
            </w:r>
          </w:p>
        </w:tc>
        <w:tc>
          <w:tcPr>
            <w:tcW w:w="1843" w:type="dxa"/>
          </w:tcPr>
          <w:p w14:paraId="165480D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42DFB3E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B04E80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709" w:type="dxa"/>
          </w:tcPr>
          <w:p w14:paraId="26452E5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4710112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4E6FED6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Pr>
          <w:p w14:paraId="36F42EA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50AEEED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620DD26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Pr>
          <w:p w14:paraId="474E600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24C71B3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 AU</w:t>
            </w:r>
          </w:p>
          <w:p w14:paraId="056B5CE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tc>
        <w:tc>
          <w:tcPr>
            <w:tcW w:w="992" w:type="dxa"/>
          </w:tcPr>
          <w:p w14:paraId="02D6E60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0944510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1CE6086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tc>
        <w:tc>
          <w:tcPr>
            <w:tcW w:w="1134" w:type="dxa"/>
          </w:tcPr>
          <w:p w14:paraId="3FDD86D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71</w:t>
            </w:r>
          </w:p>
          <w:p w14:paraId="3089D2F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26</w:t>
            </w:r>
          </w:p>
          <w:p w14:paraId="326FE19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12</w:t>
            </w:r>
          </w:p>
        </w:tc>
        <w:tc>
          <w:tcPr>
            <w:tcW w:w="8642" w:type="dxa"/>
          </w:tcPr>
          <w:p w14:paraId="092F3C9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NCT02812875</w:t>
            </w:r>
          </w:p>
          <w:p w14:paraId="7434770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NCT04475523</w:t>
            </w:r>
          </w:p>
          <w:p w14:paraId="1BC6F8E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NCT02671955</w:t>
            </w:r>
          </w:p>
        </w:tc>
      </w:tr>
      <w:tr w:rsidR="00B71718" w:rsidRPr="00673210" w14:paraId="19B6E971" w14:textId="77777777" w:rsidTr="001247F3">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993" w:type="dxa"/>
          </w:tcPr>
          <w:p w14:paraId="5E6C9FBB"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NKG2A</w:t>
            </w:r>
          </w:p>
        </w:tc>
        <w:tc>
          <w:tcPr>
            <w:tcW w:w="2409" w:type="dxa"/>
          </w:tcPr>
          <w:p w14:paraId="0838AEE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Monalizumab</w:t>
            </w:r>
          </w:p>
        </w:tc>
        <w:tc>
          <w:tcPr>
            <w:tcW w:w="1843" w:type="dxa"/>
          </w:tcPr>
          <w:p w14:paraId="019B02A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Galot </w:t>
            </w:r>
            <w:r w:rsidRPr="00673210">
              <w:rPr>
                <w:rFonts w:ascii="Times New Roman" w:hAnsi="Times New Roman"/>
                <w:i/>
                <w:iCs/>
                <w:sz w:val="22"/>
              </w:rPr>
              <w:t>et al.</w:t>
            </w:r>
          </w:p>
        </w:tc>
        <w:tc>
          <w:tcPr>
            <w:tcW w:w="709" w:type="dxa"/>
          </w:tcPr>
          <w:p w14:paraId="32C18AA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tc>
        <w:tc>
          <w:tcPr>
            <w:tcW w:w="2835" w:type="dxa"/>
          </w:tcPr>
          <w:p w14:paraId="45EFDA5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Eur J Cancer.</w:t>
            </w:r>
          </w:p>
        </w:tc>
        <w:tc>
          <w:tcPr>
            <w:tcW w:w="1559" w:type="dxa"/>
          </w:tcPr>
          <w:p w14:paraId="1D9731A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EU</w:t>
            </w:r>
          </w:p>
        </w:tc>
        <w:tc>
          <w:tcPr>
            <w:tcW w:w="992" w:type="dxa"/>
          </w:tcPr>
          <w:p w14:paraId="4C57A15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tc>
        <w:tc>
          <w:tcPr>
            <w:tcW w:w="1134" w:type="dxa"/>
          </w:tcPr>
          <w:p w14:paraId="58D554C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340</w:t>
            </w:r>
          </w:p>
        </w:tc>
        <w:tc>
          <w:tcPr>
            <w:tcW w:w="8642" w:type="dxa"/>
          </w:tcPr>
          <w:p w14:paraId="0B215B4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B71718">
              <w:rPr>
                <w:rFonts w:ascii="Times New Roman" w:hAnsi="Times New Roman"/>
                <w:sz w:val="22"/>
                <w:shd w:val="clear" w:color="auto" w:fill="F2F2F2" w:themeFill="background1" w:themeFillShade="F2"/>
              </w:rPr>
              <w:t xml:space="preserve">Monalizumab monotherapy </w:t>
            </w:r>
            <w:bookmarkStart w:id="0" w:name="_Hlk147676119"/>
            <w:r w:rsidRPr="00B71718">
              <w:rPr>
                <w:rFonts w:ascii="Times New Roman" w:hAnsi="Times New Roman"/>
                <w:sz w:val="22"/>
                <w:shd w:val="clear" w:color="auto" w:fill="F2F2F2" w:themeFill="background1" w:themeFillShade="F2"/>
              </w:rPr>
              <w:t>showed limited activity in</w:t>
            </w:r>
            <w:r w:rsidRPr="00673210">
              <w:rPr>
                <w:rFonts w:ascii="Times New Roman" w:hAnsi="Times New Roman"/>
                <w:sz w:val="22"/>
                <w:shd w:val="clear" w:color="auto" w:fill="FFFFFF"/>
              </w:rPr>
              <w:t xml:space="preserve"> </w:t>
            </w:r>
            <w:r w:rsidRPr="00673210">
              <w:rPr>
                <w:rFonts w:ascii="Times New Roman" w:hAnsi="Times New Roman"/>
                <w:sz w:val="22"/>
              </w:rPr>
              <w:t>recurrent or metastatic</w:t>
            </w:r>
            <w:bookmarkEnd w:id="0"/>
            <w:r w:rsidRPr="00673210">
              <w:rPr>
                <w:rFonts w:ascii="Times New Roman" w:hAnsi="Times New Roman"/>
                <w:sz w:val="22"/>
              </w:rPr>
              <w:t xml:space="preserve"> HNSCCs.</w:t>
            </w:r>
          </w:p>
        </w:tc>
      </w:tr>
      <w:tr w:rsidR="00B71718" w:rsidRPr="00673210" w14:paraId="71645DBF"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19264E33"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ICOS</w:t>
            </w:r>
          </w:p>
        </w:tc>
        <w:tc>
          <w:tcPr>
            <w:tcW w:w="2409" w:type="dxa"/>
          </w:tcPr>
          <w:p w14:paraId="6D92AC3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Vopratelimab</w:t>
            </w:r>
            <w:r w:rsidRPr="00673210">
              <w:rPr>
                <w:rFonts w:ascii="Times New Roman" w:hAnsi="Times New Roman"/>
                <w:sz w:val="22"/>
                <w:vertAlign w:val="superscript"/>
              </w:rPr>
              <w:t>a</w:t>
            </w:r>
          </w:p>
          <w:p w14:paraId="2EE5312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99AFB6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Feladilimab</w:t>
            </w:r>
            <w:r w:rsidRPr="00673210">
              <w:rPr>
                <w:rFonts w:ascii="Times New Roman" w:hAnsi="Times New Roman"/>
                <w:sz w:val="22"/>
                <w:vertAlign w:val="superscript"/>
              </w:rPr>
              <w:t>a</w:t>
            </w:r>
          </w:p>
        </w:tc>
        <w:tc>
          <w:tcPr>
            <w:tcW w:w="1843" w:type="dxa"/>
          </w:tcPr>
          <w:p w14:paraId="39ACA47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Yap </w:t>
            </w:r>
            <w:r w:rsidRPr="00673210">
              <w:rPr>
                <w:rFonts w:ascii="Times New Roman" w:hAnsi="Times New Roman"/>
                <w:i/>
                <w:iCs/>
                <w:sz w:val="22"/>
              </w:rPr>
              <w:t>et al.</w:t>
            </w:r>
          </w:p>
          <w:p w14:paraId="2F2F677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8A0229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Hansen </w:t>
            </w:r>
            <w:r w:rsidRPr="00673210">
              <w:rPr>
                <w:rFonts w:ascii="Times New Roman" w:hAnsi="Times New Roman"/>
                <w:i/>
                <w:iCs/>
                <w:sz w:val="22"/>
              </w:rPr>
              <w:t>et al.</w:t>
            </w:r>
          </w:p>
        </w:tc>
        <w:tc>
          <w:tcPr>
            <w:tcW w:w="709" w:type="dxa"/>
          </w:tcPr>
          <w:p w14:paraId="425B816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4B7F122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4E8003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2020</w:t>
            </w:r>
          </w:p>
        </w:tc>
        <w:tc>
          <w:tcPr>
            <w:tcW w:w="2835" w:type="dxa"/>
          </w:tcPr>
          <w:p w14:paraId="335D119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Clin Cancer Res.</w:t>
            </w:r>
          </w:p>
          <w:p w14:paraId="14790FB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035BF5D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Clin Oncol.</w:t>
            </w:r>
          </w:p>
        </w:tc>
        <w:tc>
          <w:tcPr>
            <w:tcW w:w="1559" w:type="dxa"/>
          </w:tcPr>
          <w:p w14:paraId="79F2C1D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71046B8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19D892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tc>
        <w:tc>
          <w:tcPr>
            <w:tcW w:w="992" w:type="dxa"/>
          </w:tcPr>
          <w:p w14:paraId="23A4AF0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7FDABEE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5D9D82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II/III</w:t>
            </w:r>
          </w:p>
        </w:tc>
        <w:tc>
          <w:tcPr>
            <w:tcW w:w="1134" w:type="dxa"/>
          </w:tcPr>
          <w:p w14:paraId="1146AB0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242</w:t>
            </w:r>
          </w:p>
          <w:p w14:paraId="5F1C41B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A114A2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315</w:t>
            </w:r>
          </w:p>
        </w:tc>
        <w:tc>
          <w:tcPr>
            <w:tcW w:w="8642" w:type="dxa"/>
          </w:tcPr>
          <w:p w14:paraId="64571AC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Vopratelimab was well tolerated in patients with advanced solid tumors but did not confer durable antitumor activity.</w:t>
            </w:r>
          </w:p>
          <w:p w14:paraId="7CAC19B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Result unpublished: ClinicalTrials.gov ID NCT04128696</w:t>
            </w:r>
          </w:p>
        </w:tc>
      </w:tr>
      <w:tr w:rsidR="00B71718" w:rsidRPr="00673210" w14:paraId="46AD223C" w14:textId="77777777" w:rsidTr="001247F3">
        <w:trPr>
          <w:cnfStyle w:val="000000100000" w:firstRow="0" w:lastRow="0" w:firstColumn="0" w:lastColumn="0" w:oddVBand="0" w:evenVBand="0" w:oddHBand="1" w:evenHBand="0" w:firstRowFirstColumn="0" w:firstRowLastColumn="0" w:lastRowFirstColumn="0" w:lastRowLastColumn="0"/>
          <w:trHeight w:val="1875"/>
        </w:trPr>
        <w:tc>
          <w:tcPr>
            <w:cnfStyle w:val="001000000000" w:firstRow="0" w:lastRow="0" w:firstColumn="1" w:lastColumn="0" w:oddVBand="0" w:evenVBand="0" w:oddHBand="0" w:evenHBand="0" w:firstRowFirstColumn="0" w:firstRowLastColumn="0" w:lastRowFirstColumn="0" w:lastRowLastColumn="0"/>
            <w:tcW w:w="993" w:type="dxa"/>
          </w:tcPr>
          <w:p w14:paraId="326D4C6B"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SIRPα</w:t>
            </w:r>
          </w:p>
        </w:tc>
        <w:tc>
          <w:tcPr>
            <w:tcW w:w="2409" w:type="dxa"/>
          </w:tcPr>
          <w:p w14:paraId="26196B3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FSI-0189</w:t>
            </w:r>
          </w:p>
          <w:p w14:paraId="38337F6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BR105</w:t>
            </w:r>
          </w:p>
          <w:p w14:paraId="2AABDC3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BI765063, 754091</w:t>
            </w:r>
          </w:p>
          <w:p w14:paraId="1E2B707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3853F5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SL-172154</w:t>
            </w:r>
            <w:r w:rsidRPr="00673210">
              <w:rPr>
                <w:rFonts w:ascii="Times New Roman" w:hAnsi="Times New Roman"/>
                <w:sz w:val="22"/>
                <w:vertAlign w:val="superscript"/>
              </w:rPr>
              <w:t>a</w:t>
            </w:r>
          </w:p>
          <w:p w14:paraId="29DBF7D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TTI-622</w:t>
            </w:r>
          </w:p>
          <w:p w14:paraId="76BF1FD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Evorpacept</w:t>
            </w:r>
          </w:p>
          <w:p w14:paraId="1D361C5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3FE9A17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0E397F1" w14:textId="77777777" w:rsidR="00B71718" w:rsidRPr="00673210" w:rsidRDefault="00B71718" w:rsidP="00B71718">
            <w:pPr>
              <w:shd w:val="clear" w:color="auto" w:fill="F2F2F2" w:themeFill="background1" w:themeFillShade="F2"/>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shd w:val="clear" w:color="auto" w:fill="FFFFFF"/>
              </w:rPr>
            </w:pPr>
            <w:r w:rsidRPr="00673210">
              <w:rPr>
                <w:rFonts w:ascii="Times New Roman" w:hAnsi="Times New Roman"/>
                <w:sz w:val="22"/>
                <w:shd w:val="clear" w:color="auto" w:fill="FFFFFF"/>
              </w:rPr>
              <w:t>BI 770371</w:t>
            </w:r>
          </w:p>
          <w:p w14:paraId="36489FE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DSP107</w:t>
            </w:r>
          </w:p>
        </w:tc>
        <w:tc>
          <w:tcPr>
            <w:tcW w:w="1843" w:type="dxa"/>
          </w:tcPr>
          <w:p w14:paraId="1B2AAF2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Narkhede </w:t>
            </w:r>
            <w:r w:rsidRPr="00673210">
              <w:rPr>
                <w:rFonts w:ascii="Times New Roman" w:hAnsi="Times New Roman"/>
                <w:i/>
                <w:iCs/>
                <w:sz w:val="22"/>
              </w:rPr>
              <w:t>et al.</w:t>
            </w:r>
          </w:p>
          <w:p w14:paraId="4F8ED28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5301B1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18C90E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589FF3A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0B53A35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22AF022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sz w:val="22"/>
              </w:rPr>
              <w:t xml:space="preserve">Lakhani </w:t>
            </w:r>
            <w:r w:rsidRPr="00673210">
              <w:rPr>
                <w:rFonts w:ascii="Times New Roman" w:hAnsi="Times New Roman"/>
                <w:i/>
                <w:iCs/>
                <w:sz w:val="22"/>
              </w:rPr>
              <w:t>et al.</w:t>
            </w:r>
          </w:p>
          <w:p w14:paraId="2EF1493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7992704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01EB82C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430504B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Cendrowicz </w:t>
            </w:r>
            <w:r w:rsidRPr="00673210">
              <w:rPr>
                <w:rFonts w:ascii="Times New Roman" w:hAnsi="Times New Roman"/>
                <w:i/>
                <w:iCs/>
                <w:sz w:val="22"/>
              </w:rPr>
              <w:t>et al.</w:t>
            </w:r>
          </w:p>
        </w:tc>
        <w:tc>
          <w:tcPr>
            <w:tcW w:w="709" w:type="dxa"/>
          </w:tcPr>
          <w:p w14:paraId="3292434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2023</w:t>
            </w:r>
          </w:p>
          <w:p w14:paraId="302B31F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0428954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23F4197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6680CA8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75E7A6D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52F9611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p w14:paraId="440EDCD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93A048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1CBCD1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52889BD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tc>
        <w:tc>
          <w:tcPr>
            <w:tcW w:w="2835" w:type="dxa"/>
          </w:tcPr>
          <w:p w14:paraId="5DD04E5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EJHaem.</w:t>
            </w:r>
          </w:p>
          <w:p w14:paraId="1B595BE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4E26BA8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3ECDB2B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744D033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498264A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2A5C095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Lancet Oncol.</w:t>
            </w:r>
          </w:p>
          <w:p w14:paraId="27DF7B6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438D7FE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26715D5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6616E64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Exp Clin Cancer Res.</w:t>
            </w:r>
          </w:p>
        </w:tc>
        <w:tc>
          <w:tcPr>
            <w:tcW w:w="1559" w:type="dxa"/>
          </w:tcPr>
          <w:p w14:paraId="178D7F4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2A576FF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CN</w:t>
            </w:r>
          </w:p>
          <w:p w14:paraId="776F865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FR</w:t>
            </w:r>
          </w:p>
          <w:p w14:paraId="0C826EA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BE</w:t>
            </w:r>
          </w:p>
          <w:p w14:paraId="02DB166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JP</w:t>
            </w:r>
          </w:p>
          <w:p w14:paraId="29F6D67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7D8F634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 KR</w:t>
            </w:r>
          </w:p>
          <w:p w14:paraId="00E0CB4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AE2271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102C38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4214B28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992" w:type="dxa"/>
          </w:tcPr>
          <w:p w14:paraId="2F1157E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4767277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5B61F08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57560F6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1B9A263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03B88AC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59B0F81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752A779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93B225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CA143E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01B6450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1134" w:type="dxa"/>
          </w:tcPr>
          <w:p w14:paraId="488367E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9</w:t>
            </w:r>
          </w:p>
          <w:p w14:paraId="7436BA0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162</w:t>
            </w:r>
          </w:p>
          <w:p w14:paraId="728B819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116</w:t>
            </w:r>
          </w:p>
          <w:p w14:paraId="6CF7A98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18</w:t>
            </w:r>
          </w:p>
          <w:p w14:paraId="742F0C2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34</w:t>
            </w:r>
          </w:p>
          <w:p w14:paraId="4BF3622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32</w:t>
            </w:r>
          </w:p>
          <w:p w14:paraId="530A695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174</w:t>
            </w:r>
          </w:p>
          <w:p w14:paraId="5177CDE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C23D41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58C4BC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42</w:t>
            </w:r>
          </w:p>
          <w:p w14:paraId="7243C77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8642" w:type="dxa"/>
          </w:tcPr>
          <w:p w14:paraId="2D48069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Result unpublished: ClinicalTrials.gov ID NCT04502706</w:t>
            </w:r>
          </w:p>
          <w:p w14:paraId="3F3160C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NCT05351697</w:t>
            </w:r>
          </w:p>
          <w:p w14:paraId="645A027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NCT03990233</w:t>
            </w:r>
          </w:p>
          <w:p w14:paraId="6C1E539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NCT04653142</w:t>
            </w:r>
          </w:p>
          <w:p w14:paraId="6279D46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NCT04406623</w:t>
            </w:r>
          </w:p>
          <w:p w14:paraId="76D703C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NCT05139225</w:t>
            </w:r>
          </w:p>
          <w:p w14:paraId="31B8F39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Safety findings supported the use of evorpacept for patients with advanced solid tumors, and preliminary antitumor activity results supported future investigation of evorpacept use in patients with HNSCC, gastric or gastroesophageal junction cancer, and NSCLC.</w:t>
            </w:r>
          </w:p>
          <w:p w14:paraId="1F668D8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NCT05327946</w:t>
            </w:r>
          </w:p>
          <w:p w14:paraId="3C4F3B9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DSP107 (re)activated innate and adaptive anticancer immune responses and was found to be of therapeutic use alone and in combination with rituximab for the treatment of diffuse large B-cell lymphoma patients.</w:t>
            </w:r>
          </w:p>
        </w:tc>
      </w:tr>
      <w:tr w:rsidR="00B71718" w:rsidRPr="00673210" w14:paraId="6C992CF9"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7B073B99"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CD47</w:t>
            </w:r>
          </w:p>
        </w:tc>
        <w:tc>
          <w:tcPr>
            <w:tcW w:w="2409" w:type="dxa"/>
          </w:tcPr>
          <w:p w14:paraId="5F865AA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Letaplimab (IBI188)</w:t>
            </w:r>
          </w:p>
          <w:p w14:paraId="4051E06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01A16A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3E2B7B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Magrolimab</w:t>
            </w:r>
          </w:p>
          <w:p w14:paraId="4BAFAFA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ZL-1201</w:t>
            </w:r>
          </w:p>
          <w:p w14:paraId="2DF2FD1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STI-6643</w:t>
            </w:r>
          </w:p>
          <w:p w14:paraId="5DE3A67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CC-9002</w:t>
            </w:r>
          </w:p>
          <w:p w14:paraId="0175A73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99C416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AK117</w:t>
            </w:r>
          </w:p>
          <w:p w14:paraId="1A86834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568401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A0-176</w:t>
            </w:r>
          </w:p>
          <w:p w14:paraId="7B6F47A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IMC-002</w:t>
            </w:r>
          </w:p>
          <w:p w14:paraId="771D722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TQB2928</w:t>
            </w:r>
          </w:p>
          <w:p w14:paraId="3FB0B53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HX009</w:t>
            </w:r>
            <w:r w:rsidRPr="00673210">
              <w:rPr>
                <w:rFonts w:ascii="Times New Roman" w:hAnsi="Times New Roman"/>
                <w:sz w:val="22"/>
                <w:vertAlign w:val="superscript"/>
              </w:rPr>
              <w:t>a</w:t>
            </w:r>
          </w:p>
          <w:p w14:paraId="79247BE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PF-07257876</w:t>
            </w:r>
            <w:r w:rsidRPr="00673210">
              <w:rPr>
                <w:rFonts w:ascii="Times New Roman" w:hAnsi="Times New Roman"/>
                <w:sz w:val="22"/>
                <w:vertAlign w:val="superscript"/>
              </w:rPr>
              <w:t>a</w:t>
            </w:r>
          </w:p>
          <w:p w14:paraId="07B2625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CPO107(JMP601)</w:t>
            </w:r>
            <w:r w:rsidRPr="00673210">
              <w:rPr>
                <w:rFonts w:ascii="Times New Roman" w:hAnsi="Times New Roman"/>
                <w:sz w:val="22"/>
                <w:vertAlign w:val="superscript"/>
              </w:rPr>
              <w:t>a</w:t>
            </w:r>
          </w:p>
          <w:p w14:paraId="6172EB7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IBI322</w:t>
            </w:r>
            <w:r w:rsidRPr="00673210">
              <w:rPr>
                <w:rFonts w:ascii="Times New Roman" w:hAnsi="Times New Roman"/>
                <w:sz w:val="22"/>
                <w:vertAlign w:val="superscript"/>
              </w:rPr>
              <w:t>a</w:t>
            </w:r>
          </w:p>
          <w:p w14:paraId="10C0CC0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F5F725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BB373D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TG-1801</w:t>
            </w:r>
            <w:r w:rsidRPr="00673210">
              <w:rPr>
                <w:rFonts w:ascii="Times New Roman" w:hAnsi="Times New Roman"/>
                <w:sz w:val="22"/>
                <w:vertAlign w:val="superscript"/>
              </w:rPr>
              <w:t>a</w:t>
            </w:r>
          </w:p>
          <w:p w14:paraId="4E6FC3F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0BDB1C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85ABB7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IMM0306</w:t>
            </w:r>
            <w:r w:rsidRPr="00673210">
              <w:rPr>
                <w:rFonts w:ascii="Times New Roman" w:hAnsi="Times New Roman"/>
                <w:sz w:val="22"/>
                <w:vertAlign w:val="superscript"/>
              </w:rPr>
              <w:t>a</w:t>
            </w:r>
          </w:p>
        </w:tc>
        <w:tc>
          <w:tcPr>
            <w:tcW w:w="1843" w:type="dxa"/>
          </w:tcPr>
          <w:p w14:paraId="4BD7CF8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shd w:val="clear" w:color="auto" w:fill="FFFFFF"/>
              </w:rPr>
            </w:pPr>
            <w:r w:rsidRPr="00673210">
              <w:rPr>
                <w:rFonts w:ascii="Times New Roman" w:hAnsi="Times New Roman"/>
                <w:sz w:val="22"/>
                <w:shd w:val="clear" w:color="auto" w:fill="FFFFFF"/>
              </w:rPr>
              <w:t xml:space="preserve">Ni </w:t>
            </w:r>
            <w:r w:rsidRPr="00673210">
              <w:rPr>
                <w:rFonts w:ascii="Times New Roman" w:hAnsi="Times New Roman"/>
                <w:i/>
                <w:iCs/>
                <w:sz w:val="22"/>
              </w:rPr>
              <w:t>et al.</w:t>
            </w:r>
          </w:p>
          <w:p w14:paraId="31423AF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4DC573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40BACA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Paul </w:t>
            </w:r>
            <w:r w:rsidRPr="00673210">
              <w:rPr>
                <w:rFonts w:ascii="Times New Roman" w:hAnsi="Times New Roman"/>
                <w:i/>
                <w:iCs/>
                <w:sz w:val="22"/>
              </w:rPr>
              <w:t>et al.</w:t>
            </w:r>
          </w:p>
          <w:p w14:paraId="6EEA84C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5F50D3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5094DC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Narla </w:t>
            </w:r>
            <w:r w:rsidRPr="00673210">
              <w:rPr>
                <w:rFonts w:ascii="Times New Roman" w:hAnsi="Times New Roman"/>
                <w:i/>
                <w:iCs/>
                <w:sz w:val="22"/>
              </w:rPr>
              <w:t>et al.</w:t>
            </w:r>
          </w:p>
          <w:p w14:paraId="20FA823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5637D6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4CDF1E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BC68BA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Andrejeva </w:t>
            </w:r>
            <w:r w:rsidRPr="00673210">
              <w:rPr>
                <w:rFonts w:ascii="Times New Roman" w:hAnsi="Times New Roman"/>
                <w:i/>
                <w:iCs/>
                <w:sz w:val="22"/>
              </w:rPr>
              <w:t>et al.</w:t>
            </w:r>
          </w:p>
          <w:p w14:paraId="4AE76F5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2BA80E6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693CD05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D128F4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2C0F443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60B8353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5DE4CE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0C39368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09ED8F2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Chauchet </w:t>
            </w:r>
            <w:r w:rsidRPr="00673210">
              <w:rPr>
                <w:rFonts w:ascii="Times New Roman" w:hAnsi="Times New Roman"/>
                <w:i/>
                <w:iCs/>
                <w:sz w:val="22"/>
              </w:rPr>
              <w:t>et al.</w:t>
            </w:r>
          </w:p>
          <w:p w14:paraId="7999377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5F18C7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EA6D94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709" w:type="dxa"/>
          </w:tcPr>
          <w:p w14:paraId="01EAFC3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p w14:paraId="2ED9DDD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72116A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B6E7AA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2023</w:t>
            </w:r>
          </w:p>
          <w:p w14:paraId="68633F7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42859A6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A8259A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15B5765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D8AB7C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7DBA5AD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13CA20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p w14:paraId="3E20ED5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03DF3C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3BD021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505F11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7FFDE24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49DFAEF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2548117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58D31D5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6191F9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7CDCE7C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1B4789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381F9D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Pr>
          <w:p w14:paraId="6C5B6D0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Cancer Immunol Immunother.</w:t>
            </w:r>
          </w:p>
          <w:p w14:paraId="0A73566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05C7713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4F4DECE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Future Oncol.</w:t>
            </w:r>
          </w:p>
          <w:p w14:paraId="7B85D85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58C988E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4696C7B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Cancer Immunol Immunother.</w:t>
            </w:r>
          </w:p>
          <w:p w14:paraId="217956C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470213B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35BA1E2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4023A87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Immunol.</w:t>
            </w:r>
          </w:p>
          <w:p w14:paraId="3303B9F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3101606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1CDBB04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33054B8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6D2EA64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31ADA26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6D3CDEB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5339691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5C80E02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Exp Hematol Oncol.</w:t>
            </w:r>
          </w:p>
          <w:p w14:paraId="5723573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01D58AD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783AF90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Pr>
          <w:p w14:paraId="09701C2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CN</w:t>
            </w:r>
          </w:p>
          <w:p w14:paraId="2CF4946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DEF036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56225D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CZ, US, CA</w:t>
            </w:r>
          </w:p>
          <w:p w14:paraId="71517A8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 CN</w:t>
            </w:r>
            <w:r w:rsidRPr="00673210">
              <w:rPr>
                <w:rFonts w:ascii="Times New Roman" w:hAnsi="Times New Roman"/>
                <w:sz w:val="22"/>
              </w:rPr>
              <w:br/>
              <w:t>US</w:t>
            </w:r>
            <w:r w:rsidRPr="00673210">
              <w:rPr>
                <w:rFonts w:ascii="Times New Roman" w:hAnsi="Times New Roman"/>
                <w:sz w:val="22"/>
              </w:rPr>
              <w:br/>
              <w:t>US, ES</w:t>
            </w:r>
            <w:r w:rsidRPr="00673210">
              <w:rPr>
                <w:rFonts w:ascii="Times New Roman" w:hAnsi="Times New Roman"/>
                <w:sz w:val="22"/>
              </w:rPr>
              <w:br/>
            </w:r>
          </w:p>
          <w:p w14:paraId="5DD637F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CN</w:t>
            </w:r>
            <w:r w:rsidRPr="00673210">
              <w:rPr>
                <w:rFonts w:ascii="Times New Roman" w:hAnsi="Times New Roman"/>
                <w:sz w:val="22"/>
              </w:rPr>
              <w:br/>
              <w:t>CN</w:t>
            </w:r>
            <w:r w:rsidRPr="00673210">
              <w:rPr>
                <w:rFonts w:ascii="Times New Roman" w:hAnsi="Times New Roman"/>
                <w:sz w:val="22"/>
              </w:rPr>
              <w:br/>
              <w:t>US</w:t>
            </w:r>
            <w:r w:rsidRPr="00673210">
              <w:rPr>
                <w:rFonts w:ascii="Times New Roman" w:hAnsi="Times New Roman"/>
                <w:sz w:val="22"/>
              </w:rPr>
              <w:br/>
              <w:t>US, KR</w:t>
            </w:r>
            <w:r w:rsidRPr="00673210">
              <w:rPr>
                <w:rFonts w:ascii="Times New Roman" w:hAnsi="Times New Roman"/>
                <w:sz w:val="22"/>
              </w:rPr>
              <w:br/>
              <w:t>N.A</w:t>
            </w:r>
            <w:r w:rsidRPr="00673210">
              <w:rPr>
                <w:rFonts w:ascii="Times New Roman" w:hAnsi="Times New Roman"/>
                <w:sz w:val="22"/>
              </w:rPr>
              <w:br/>
            </w:r>
            <w:r w:rsidRPr="00673210">
              <w:rPr>
                <w:rFonts w:ascii="Times New Roman" w:hAnsi="Times New Roman"/>
                <w:sz w:val="22"/>
              </w:rPr>
              <w:br/>
              <w:t>US, ES</w:t>
            </w:r>
            <w:r w:rsidRPr="00673210">
              <w:rPr>
                <w:rFonts w:ascii="Times New Roman" w:hAnsi="Times New Roman"/>
                <w:sz w:val="22"/>
              </w:rPr>
              <w:br/>
              <w:t>US</w:t>
            </w:r>
            <w:r w:rsidRPr="00673210">
              <w:rPr>
                <w:rFonts w:ascii="Times New Roman" w:hAnsi="Times New Roman"/>
                <w:sz w:val="22"/>
              </w:rPr>
              <w:br/>
              <w:t>CN</w:t>
            </w:r>
            <w:r w:rsidRPr="00673210">
              <w:rPr>
                <w:rFonts w:ascii="Times New Roman" w:hAnsi="Times New Roman"/>
                <w:sz w:val="22"/>
              </w:rPr>
              <w:br/>
              <w:t>US</w:t>
            </w:r>
            <w:r w:rsidRPr="00673210">
              <w:rPr>
                <w:rFonts w:ascii="Times New Roman" w:hAnsi="Times New Roman"/>
                <w:sz w:val="22"/>
              </w:rPr>
              <w:br/>
              <w:t>CN</w:t>
            </w:r>
            <w:r w:rsidRPr="00673210">
              <w:rPr>
                <w:rFonts w:ascii="Times New Roman" w:hAnsi="Times New Roman"/>
                <w:sz w:val="22"/>
              </w:rPr>
              <w:br/>
              <w:t>US</w:t>
            </w:r>
          </w:p>
          <w:p w14:paraId="7E2E4EC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1921EA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br/>
              <w:t>US</w:t>
            </w:r>
          </w:p>
        </w:tc>
        <w:tc>
          <w:tcPr>
            <w:tcW w:w="992" w:type="dxa"/>
          </w:tcPr>
          <w:p w14:paraId="6DAE18F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Ia</w:t>
            </w:r>
          </w:p>
          <w:p w14:paraId="4B00E66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C94685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472D64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p w14:paraId="2493162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39C6483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06CC27B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611D506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CA1877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1BD674C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0D4A2DD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71CD522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6CD5226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4795452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48A8F2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12A2CEE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0AE7E71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7D99CE5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Ia</w:t>
            </w:r>
          </w:p>
          <w:p w14:paraId="108D25F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Ia/Ib</w:t>
            </w:r>
          </w:p>
          <w:p w14:paraId="11F71AA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Ib</w:t>
            </w:r>
          </w:p>
          <w:p w14:paraId="4FC7286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666C5A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FBA3CC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tc>
        <w:tc>
          <w:tcPr>
            <w:tcW w:w="1134" w:type="dxa"/>
          </w:tcPr>
          <w:p w14:paraId="36BADB0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49</w:t>
            </w:r>
          </w:p>
          <w:p w14:paraId="3971D75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F5DF93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332FAFE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153</w:t>
            </w:r>
          </w:p>
          <w:p w14:paraId="477C8F8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66</w:t>
            </w:r>
          </w:p>
          <w:p w14:paraId="109B20F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24</w:t>
            </w:r>
          </w:p>
          <w:p w14:paraId="2A4D2F7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60</w:t>
            </w:r>
          </w:p>
          <w:p w14:paraId="6E2228B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F7FE6F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162</w:t>
            </w:r>
          </w:p>
          <w:p w14:paraId="58CB80E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190</w:t>
            </w:r>
          </w:p>
          <w:p w14:paraId="121CA6C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132</w:t>
            </w:r>
          </w:p>
          <w:p w14:paraId="70364AF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24</w:t>
            </w:r>
          </w:p>
          <w:p w14:paraId="6DE62A6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w:t>
            </w:r>
          </w:p>
          <w:p w14:paraId="31F4F73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DBC344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90</w:t>
            </w:r>
          </w:p>
          <w:p w14:paraId="582E259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75</w:t>
            </w:r>
          </w:p>
          <w:p w14:paraId="7D65DD1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182</w:t>
            </w:r>
          </w:p>
          <w:p w14:paraId="47E07CA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45</w:t>
            </w:r>
          </w:p>
          <w:p w14:paraId="0A1AC15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218</w:t>
            </w:r>
          </w:p>
          <w:p w14:paraId="3F78536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60</w:t>
            </w:r>
          </w:p>
          <w:p w14:paraId="0623F7E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CEAF55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CD31E4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131</w:t>
            </w:r>
          </w:p>
        </w:tc>
        <w:tc>
          <w:tcPr>
            <w:tcW w:w="8642" w:type="dxa"/>
          </w:tcPr>
          <w:p w14:paraId="5A3DD73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IBI188 treatment increased vascular endothelial growth factor A (VEGF-A) levels in a solid tumor model, and combined treatment with an anti-VEGF-A antibody resulted in an enhanced antitumor effect.</w:t>
            </w:r>
          </w:p>
          <w:p w14:paraId="117767F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Result Unpublished: ClinicalTrials.gov ID NCT04892446</w:t>
            </w:r>
          </w:p>
          <w:p w14:paraId="2CDC9E5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NCT04257617</w:t>
            </w:r>
          </w:p>
          <w:p w14:paraId="26B426A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NCT04900519</w:t>
            </w:r>
          </w:p>
          <w:p w14:paraId="683AEE5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CC-90002 displayed acceptable pharmacokinetic properties and a favorable toxicity profile.</w:t>
            </w:r>
          </w:p>
          <w:p w14:paraId="37D56E9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201916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NCT04728334</w:t>
            </w:r>
          </w:p>
          <w:p w14:paraId="61339C0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NCT04900350</w:t>
            </w:r>
          </w:p>
          <w:p w14:paraId="13F62F5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SIRPα combined with AO-176 enhanced phagocytosis </w:t>
            </w:r>
          </w:p>
          <w:p w14:paraId="66839C5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NCT04306224</w:t>
            </w:r>
          </w:p>
          <w:p w14:paraId="621166C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NCT04854681</w:t>
            </w:r>
          </w:p>
          <w:p w14:paraId="50A0004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538BCC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NCT04881045</w:t>
            </w:r>
          </w:p>
          <w:p w14:paraId="0CADFAB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NCT04853329</w:t>
            </w:r>
          </w:p>
          <w:p w14:paraId="0978776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NCT04795128</w:t>
            </w:r>
          </w:p>
          <w:p w14:paraId="6D898F5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NCT04338659</w:t>
            </w:r>
          </w:p>
          <w:p w14:paraId="514D168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NCT04328831</w:t>
            </w:r>
          </w:p>
          <w:p w14:paraId="156556AA" w14:textId="7BBD0544"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NI-1701 treatment transformed the tumor microenvironment into a more antitumorigenic state with increased NK cells, monocytes, DC and MHC</w:t>
            </w:r>
            <w:r>
              <w:rPr>
                <w:rFonts w:ascii="Times New Roman" w:hAnsi="Times New Roman"/>
                <w:sz w:val="22"/>
              </w:rPr>
              <w:t>-</w:t>
            </w:r>
            <w:r w:rsidRPr="00673210">
              <w:rPr>
                <w:rFonts w:ascii="Times New Roman" w:hAnsi="Times New Roman"/>
                <w:sz w:val="22"/>
              </w:rPr>
              <w:t>II tumor-associated macrophages</w:t>
            </w:r>
            <w:r>
              <w:rPr>
                <w:rFonts w:ascii="Times New Roman" w:hAnsi="Times New Roman"/>
                <w:sz w:val="22"/>
              </w:rPr>
              <w:t>,</w:t>
            </w:r>
            <w:r w:rsidRPr="00673210">
              <w:rPr>
                <w:rFonts w:ascii="Times New Roman" w:hAnsi="Times New Roman"/>
                <w:sz w:val="22"/>
              </w:rPr>
              <w:t xml:space="preserve"> and decreased granulocytic MDSCs.</w:t>
            </w:r>
          </w:p>
          <w:p w14:paraId="6BBA7EA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NCT04746131</w:t>
            </w:r>
          </w:p>
        </w:tc>
      </w:tr>
      <w:tr w:rsidR="00B71718" w:rsidRPr="00673210" w14:paraId="68CB9E56"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4B5F2CBD"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LILRB2</w:t>
            </w:r>
          </w:p>
        </w:tc>
        <w:tc>
          <w:tcPr>
            <w:tcW w:w="2409" w:type="dxa"/>
          </w:tcPr>
          <w:p w14:paraId="1D44383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IO-108</w:t>
            </w:r>
          </w:p>
        </w:tc>
        <w:tc>
          <w:tcPr>
            <w:tcW w:w="1843" w:type="dxa"/>
          </w:tcPr>
          <w:p w14:paraId="5D2E2D0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709" w:type="dxa"/>
          </w:tcPr>
          <w:p w14:paraId="4F81B66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Pr>
          <w:p w14:paraId="3E3FD0A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Pr>
          <w:p w14:paraId="31358AB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tc>
        <w:tc>
          <w:tcPr>
            <w:tcW w:w="992" w:type="dxa"/>
          </w:tcPr>
          <w:p w14:paraId="6E1655D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Ib</w:t>
            </w:r>
          </w:p>
        </w:tc>
        <w:tc>
          <w:tcPr>
            <w:tcW w:w="1134" w:type="dxa"/>
          </w:tcPr>
          <w:p w14:paraId="69E89D2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309</w:t>
            </w:r>
          </w:p>
        </w:tc>
        <w:tc>
          <w:tcPr>
            <w:tcW w:w="8642" w:type="dxa"/>
          </w:tcPr>
          <w:p w14:paraId="1BE2D9D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NCT05054348</w:t>
            </w:r>
          </w:p>
        </w:tc>
      </w:tr>
      <w:tr w:rsidR="00B71718" w:rsidRPr="00673210" w14:paraId="20D692E3"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668640E7"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LILRB4</w:t>
            </w:r>
          </w:p>
        </w:tc>
        <w:tc>
          <w:tcPr>
            <w:tcW w:w="2409" w:type="dxa"/>
          </w:tcPr>
          <w:p w14:paraId="4774BAD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IO-202</w:t>
            </w:r>
          </w:p>
        </w:tc>
        <w:tc>
          <w:tcPr>
            <w:tcW w:w="1843" w:type="dxa"/>
          </w:tcPr>
          <w:p w14:paraId="643039D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709" w:type="dxa"/>
          </w:tcPr>
          <w:p w14:paraId="292803B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Pr>
          <w:p w14:paraId="7F233AB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Pr>
          <w:p w14:paraId="058FE03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tc>
        <w:tc>
          <w:tcPr>
            <w:tcW w:w="992" w:type="dxa"/>
          </w:tcPr>
          <w:p w14:paraId="7B9942C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tc>
        <w:tc>
          <w:tcPr>
            <w:tcW w:w="1134" w:type="dxa"/>
          </w:tcPr>
          <w:p w14:paraId="41A3608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122</w:t>
            </w:r>
          </w:p>
        </w:tc>
        <w:tc>
          <w:tcPr>
            <w:tcW w:w="8642" w:type="dxa"/>
          </w:tcPr>
          <w:p w14:paraId="33BAD05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NCT04372433</w:t>
            </w:r>
          </w:p>
        </w:tc>
      </w:tr>
      <w:tr w:rsidR="00B71718" w:rsidRPr="00673210" w14:paraId="7525DB2F"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62CDD1AC"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BTLA</w:t>
            </w:r>
          </w:p>
        </w:tc>
        <w:tc>
          <w:tcPr>
            <w:tcW w:w="2409" w:type="dxa"/>
          </w:tcPr>
          <w:p w14:paraId="0CF1B11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HFB200603</w:t>
            </w:r>
          </w:p>
        </w:tc>
        <w:tc>
          <w:tcPr>
            <w:tcW w:w="1843" w:type="dxa"/>
          </w:tcPr>
          <w:p w14:paraId="2F229D2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709" w:type="dxa"/>
          </w:tcPr>
          <w:p w14:paraId="5DF317E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Pr>
          <w:p w14:paraId="51E846F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Pr>
          <w:p w14:paraId="56F65F7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 ES</w:t>
            </w:r>
          </w:p>
        </w:tc>
        <w:tc>
          <w:tcPr>
            <w:tcW w:w="992" w:type="dxa"/>
          </w:tcPr>
          <w:p w14:paraId="44B9693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Ia/b</w:t>
            </w:r>
          </w:p>
        </w:tc>
        <w:tc>
          <w:tcPr>
            <w:tcW w:w="1134" w:type="dxa"/>
          </w:tcPr>
          <w:p w14:paraId="18064F0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83</w:t>
            </w:r>
          </w:p>
        </w:tc>
        <w:tc>
          <w:tcPr>
            <w:tcW w:w="8642" w:type="dxa"/>
          </w:tcPr>
          <w:p w14:paraId="4512968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NCT05789069</w:t>
            </w:r>
          </w:p>
        </w:tc>
      </w:tr>
      <w:tr w:rsidR="00B71718" w:rsidRPr="00673210" w14:paraId="381BE37A"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48569CF9"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IDO1/2</w:t>
            </w:r>
          </w:p>
        </w:tc>
        <w:tc>
          <w:tcPr>
            <w:tcW w:w="2409" w:type="dxa"/>
          </w:tcPr>
          <w:p w14:paraId="3DD0E2E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Indoximod</w:t>
            </w:r>
          </w:p>
          <w:p w14:paraId="119CDD8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SHR9146</w:t>
            </w:r>
          </w:p>
          <w:p w14:paraId="49EC682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KHK2455</w:t>
            </w:r>
          </w:p>
          <w:p w14:paraId="0D656D2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7192CB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IO102</w:t>
            </w:r>
          </w:p>
          <w:p w14:paraId="6BD611A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E6FCF9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27CB0C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Epacadostat</w:t>
            </w:r>
          </w:p>
          <w:p w14:paraId="3497582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BMS-986205</w:t>
            </w:r>
          </w:p>
        </w:tc>
        <w:tc>
          <w:tcPr>
            <w:tcW w:w="1843" w:type="dxa"/>
          </w:tcPr>
          <w:p w14:paraId="2D1CB18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Johnson </w:t>
            </w:r>
            <w:r w:rsidRPr="00673210">
              <w:rPr>
                <w:rFonts w:ascii="Times New Roman" w:hAnsi="Times New Roman"/>
                <w:i/>
                <w:iCs/>
                <w:sz w:val="22"/>
              </w:rPr>
              <w:t>et al.</w:t>
            </w:r>
          </w:p>
          <w:p w14:paraId="40D40D3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220CE50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63BA3D4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7ACD34B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sz w:val="22"/>
              </w:rPr>
              <w:t xml:space="preserve">Kjeldson </w:t>
            </w:r>
            <w:r w:rsidRPr="00673210">
              <w:rPr>
                <w:rFonts w:ascii="Times New Roman" w:hAnsi="Times New Roman"/>
                <w:i/>
                <w:iCs/>
                <w:sz w:val="22"/>
              </w:rPr>
              <w:t>et al.</w:t>
            </w:r>
          </w:p>
          <w:p w14:paraId="2D6D2B1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501B426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40CF984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771299D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i/>
                <w:iCs/>
                <w:sz w:val="22"/>
              </w:rPr>
              <w:t>-</w:t>
            </w:r>
          </w:p>
        </w:tc>
        <w:tc>
          <w:tcPr>
            <w:tcW w:w="709" w:type="dxa"/>
          </w:tcPr>
          <w:p w14:paraId="1FA58F9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2023</w:t>
            </w:r>
          </w:p>
          <w:p w14:paraId="2D82B20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09F4A16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08E053E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2100290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p w14:paraId="1E31BB8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4F4957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616EB7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85524F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Pr>
          <w:p w14:paraId="157778D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Neuro Oncol.</w:t>
            </w:r>
          </w:p>
          <w:p w14:paraId="2364700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5F2BA4A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28584CC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5E86F57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Nat Med.</w:t>
            </w:r>
          </w:p>
          <w:p w14:paraId="7A82C6E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061506A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6FADD96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7B7A84A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Pr>
          <w:p w14:paraId="26410B0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2850390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CN</w:t>
            </w:r>
          </w:p>
          <w:p w14:paraId="28A95BB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 FR</w:t>
            </w:r>
          </w:p>
          <w:p w14:paraId="0430A44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 ES</w:t>
            </w:r>
          </w:p>
          <w:p w14:paraId="591BB42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DK</w:t>
            </w:r>
          </w:p>
          <w:p w14:paraId="16DB0D0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C8F2BE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B94AB9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2186A16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tc>
        <w:tc>
          <w:tcPr>
            <w:tcW w:w="992" w:type="dxa"/>
          </w:tcPr>
          <w:p w14:paraId="44E9FFE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600BD9F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41B60C1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7FFB622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69F1D6D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7DCC2AC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C912BD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84BCF8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5F64D0D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tc>
        <w:tc>
          <w:tcPr>
            <w:tcW w:w="1134" w:type="dxa"/>
          </w:tcPr>
          <w:p w14:paraId="39ABE84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81</w:t>
            </w:r>
          </w:p>
          <w:p w14:paraId="12FA930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23</w:t>
            </w:r>
          </w:p>
          <w:p w14:paraId="31E860D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36</w:t>
            </w:r>
          </w:p>
          <w:p w14:paraId="3AD71ED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16</w:t>
            </w:r>
          </w:p>
          <w:p w14:paraId="69C82EE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50</w:t>
            </w:r>
          </w:p>
          <w:p w14:paraId="3FBBF7E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9217A2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4574CD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15</w:t>
            </w:r>
          </w:p>
          <w:p w14:paraId="242A6E9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24</w:t>
            </w:r>
          </w:p>
        </w:tc>
        <w:tc>
          <w:tcPr>
            <w:tcW w:w="8642" w:type="dxa"/>
          </w:tcPr>
          <w:p w14:paraId="0AE1D5C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Indoximod was well tolerated and could be safely combined with chemotherapy and radiation</w:t>
            </w:r>
          </w:p>
          <w:p w14:paraId="14D2DFE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NCT03491631</w:t>
            </w:r>
          </w:p>
          <w:p w14:paraId="78E3712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NCT02867007</w:t>
            </w:r>
          </w:p>
          <w:p w14:paraId="4878209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NCT03915405</w:t>
            </w:r>
          </w:p>
          <w:p w14:paraId="4387D2D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Immune-modulating IDO/PD-L1-targeting vaccine combined with nivolumab achieved promising clinical activity and long-lasting immune responses in patients with advanced melanoma.</w:t>
            </w:r>
          </w:p>
          <w:p w14:paraId="4CB1727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NCT03217669</w:t>
            </w:r>
          </w:p>
          <w:p w14:paraId="4E80A3E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NCT04106414</w:t>
            </w:r>
          </w:p>
        </w:tc>
      </w:tr>
      <w:tr w:rsidR="00B71718" w:rsidRPr="00673210" w14:paraId="121F7D9F"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20F29903"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GITR</w:t>
            </w:r>
          </w:p>
        </w:tc>
        <w:tc>
          <w:tcPr>
            <w:tcW w:w="2409" w:type="dxa"/>
          </w:tcPr>
          <w:p w14:paraId="15E4CBD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TRX518</w:t>
            </w:r>
          </w:p>
          <w:p w14:paraId="056C3F4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4C4A0F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BMS-986156</w:t>
            </w:r>
          </w:p>
          <w:p w14:paraId="2661296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Vopratelimab</w:t>
            </w:r>
            <w:r w:rsidRPr="00673210">
              <w:rPr>
                <w:rFonts w:ascii="Times New Roman" w:hAnsi="Times New Roman"/>
                <w:sz w:val="22"/>
                <w:vertAlign w:val="superscript"/>
              </w:rPr>
              <w:t>a</w:t>
            </w:r>
          </w:p>
          <w:p w14:paraId="787F562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Feladilimab</w:t>
            </w:r>
            <w:r w:rsidRPr="00673210">
              <w:rPr>
                <w:rFonts w:ascii="Times New Roman" w:hAnsi="Times New Roman"/>
                <w:sz w:val="22"/>
                <w:vertAlign w:val="superscript"/>
              </w:rPr>
              <w:t>a</w:t>
            </w:r>
          </w:p>
        </w:tc>
        <w:tc>
          <w:tcPr>
            <w:tcW w:w="1843" w:type="dxa"/>
          </w:tcPr>
          <w:p w14:paraId="4818CCF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sz w:val="22"/>
              </w:rPr>
              <w:t xml:space="preserve">Davar </w:t>
            </w:r>
            <w:r w:rsidRPr="00673210">
              <w:rPr>
                <w:rFonts w:ascii="Times New Roman" w:hAnsi="Times New Roman"/>
                <w:i/>
                <w:iCs/>
                <w:sz w:val="22"/>
              </w:rPr>
              <w:t>et al.</w:t>
            </w:r>
          </w:p>
          <w:p w14:paraId="7A7B0AF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5D61C37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i/>
                <w:iCs/>
                <w:sz w:val="22"/>
              </w:rPr>
              <w:t>Heinhuis et al.</w:t>
            </w:r>
          </w:p>
        </w:tc>
        <w:tc>
          <w:tcPr>
            <w:tcW w:w="709" w:type="dxa"/>
          </w:tcPr>
          <w:p w14:paraId="0A9546C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1BC9659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84AF9C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2020</w:t>
            </w:r>
          </w:p>
        </w:tc>
        <w:tc>
          <w:tcPr>
            <w:tcW w:w="2835" w:type="dxa"/>
          </w:tcPr>
          <w:p w14:paraId="0F5DB37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Clin Cancer Res.</w:t>
            </w:r>
          </w:p>
          <w:p w14:paraId="18BACA7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50F57F0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JAMA Oncol.</w:t>
            </w:r>
          </w:p>
        </w:tc>
        <w:tc>
          <w:tcPr>
            <w:tcW w:w="1559" w:type="dxa"/>
          </w:tcPr>
          <w:p w14:paraId="75174D4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19FC111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62905C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tc>
        <w:tc>
          <w:tcPr>
            <w:tcW w:w="992" w:type="dxa"/>
          </w:tcPr>
          <w:p w14:paraId="1ECED23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7F639A2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B1E25B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tc>
        <w:tc>
          <w:tcPr>
            <w:tcW w:w="1134" w:type="dxa"/>
          </w:tcPr>
          <w:p w14:paraId="3E9972B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109</w:t>
            </w:r>
          </w:p>
          <w:p w14:paraId="1FD18CE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518226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295</w:t>
            </w:r>
          </w:p>
        </w:tc>
        <w:tc>
          <w:tcPr>
            <w:tcW w:w="8642" w:type="dxa"/>
          </w:tcPr>
          <w:p w14:paraId="49ECE67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Repeated dose TRX518 monotherapy and in combination resulted in limited clinical responses associated with immune activation.</w:t>
            </w:r>
          </w:p>
          <w:p w14:paraId="205258A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BMS-986156 was found to have a manageable safety profile</w:t>
            </w:r>
          </w:p>
        </w:tc>
      </w:tr>
      <w:tr w:rsidR="00B71718" w:rsidRPr="00673210" w14:paraId="009702DD"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5D2301C5"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OX40</w:t>
            </w:r>
          </w:p>
        </w:tc>
        <w:tc>
          <w:tcPr>
            <w:tcW w:w="2409" w:type="dxa"/>
          </w:tcPr>
          <w:p w14:paraId="2307C79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MEDI6383</w:t>
            </w:r>
          </w:p>
          <w:p w14:paraId="7C80002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GSK3174998</w:t>
            </w:r>
          </w:p>
          <w:p w14:paraId="5593E43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MOXR0916</w:t>
            </w:r>
          </w:p>
        </w:tc>
        <w:tc>
          <w:tcPr>
            <w:tcW w:w="1843" w:type="dxa"/>
          </w:tcPr>
          <w:p w14:paraId="25A7D7F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316115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Vinay </w:t>
            </w:r>
            <w:r w:rsidRPr="00673210">
              <w:rPr>
                <w:rFonts w:ascii="Times New Roman" w:hAnsi="Times New Roman"/>
                <w:i/>
                <w:iCs/>
                <w:sz w:val="22"/>
              </w:rPr>
              <w:t>et al.</w:t>
            </w:r>
          </w:p>
          <w:p w14:paraId="70A3862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Kim </w:t>
            </w:r>
            <w:r w:rsidRPr="00673210">
              <w:rPr>
                <w:rFonts w:ascii="Times New Roman" w:hAnsi="Times New Roman"/>
                <w:i/>
                <w:iCs/>
                <w:sz w:val="22"/>
              </w:rPr>
              <w:t>et al.</w:t>
            </w:r>
          </w:p>
        </w:tc>
        <w:tc>
          <w:tcPr>
            <w:tcW w:w="709" w:type="dxa"/>
          </w:tcPr>
          <w:p w14:paraId="4C5D65D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6180E3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2023</w:t>
            </w:r>
          </w:p>
          <w:p w14:paraId="53E6478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tc>
        <w:tc>
          <w:tcPr>
            <w:tcW w:w="2835" w:type="dxa"/>
          </w:tcPr>
          <w:p w14:paraId="4452969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2F68714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Immunother Cancer.</w:t>
            </w:r>
          </w:p>
          <w:p w14:paraId="54CDA64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Clin Cancer Res.</w:t>
            </w:r>
          </w:p>
        </w:tc>
        <w:tc>
          <w:tcPr>
            <w:tcW w:w="1559" w:type="dxa"/>
          </w:tcPr>
          <w:p w14:paraId="706FC4B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 AU</w:t>
            </w:r>
          </w:p>
          <w:p w14:paraId="0ADA3D5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r>
              <w:rPr>
                <w:rFonts w:ascii="Times New Roman" w:hAnsi="Times New Roman"/>
                <w:sz w:val="22"/>
              </w:rPr>
              <w:t xml:space="preserve"> </w:t>
            </w:r>
            <w:r w:rsidRPr="00673210">
              <w:rPr>
                <w:rFonts w:ascii="Times New Roman" w:hAnsi="Times New Roman"/>
                <w:sz w:val="22"/>
              </w:rPr>
              <w:t>FR,</w:t>
            </w:r>
            <w:r>
              <w:rPr>
                <w:rFonts w:ascii="Times New Roman" w:hAnsi="Times New Roman"/>
                <w:sz w:val="22"/>
              </w:rPr>
              <w:t xml:space="preserve"> </w:t>
            </w:r>
            <w:r w:rsidRPr="00673210">
              <w:rPr>
                <w:rFonts w:ascii="Times New Roman" w:hAnsi="Times New Roman"/>
                <w:sz w:val="22"/>
              </w:rPr>
              <w:t>CA,</w:t>
            </w:r>
            <w:r>
              <w:rPr>
                <w:rFonts w:ascii="Times New Roman" w:hAnsi="Times New Roman"/>
                <w:sz w:val="22"/>
              </w:rPr>
              <w:t xml:space="preserve"> </w:t>
            </w:r>
            <w:r w:rsidRPr="00673210">
              <w:rPr>
                <w:rFonts w:ascii="Times New Roman" w:hAnsi="Times New Roman"/>
                <w:sz w:val="22"/>
              </w:rPr>
              <w:t>NL</w:t>
            </w:r>
          </w:p>
          <w:p w14:paraId="716F96C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tc>
        <w:tc>
          <w:tcPr>
            <w:tcW w:w="992" w:type="dxa"/>
          </w:tcPr>
          <w:p w14:paraId="60F94E2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5737140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7708AB7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tc>
        <w:tc>
          <w:tcPr>
            <w:tcW w:w="1134" w:type="dxa"/>
          </w:tcPr>
          <w:p w14:paraId="22A7847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39</w:t>
            </w:r>
          </w:p>
          <w:p w14:paraId="0F90DF8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141</w:t>
            </w:r>
          </w:p>
          <w:p w14:paraId="43DB4CC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174</w:t>
            </w:r>
          </w:p>
        </w:tc>
        <w:tc>
          <w:tcPr>
            <w:tcW w:w="8642" w:type="dxa"/>
          </w:tcPr>
          <w:p w14:paraId="4F1C496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NCT02221960</w:t>
            </w:r>
          </w:p>
          <w:p w14:paraId="0B37C9B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GSK3174998 was well tolerated over the dose range tested and demonstrated target engagement.</w:t>
            </w:r>
          </w:p>
          <w:p w14:paraId="7642ED5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The favorable safety profile and evidence of tumor immune activation in a subset of patients supported further investigation.</w:t>
            </w:r>
          </w:p>
        </w:tc>
      </w:tr>
      <w:tr w:rsidR="00B71718" w:rsidRPr="00673210" w14:paraId="0460B073"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3C5581DF"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4-1BB</w:t>
            </w:r>
          </w:p>
        </w:tc>
        <w:tc>
          <w:tcPr>
            <w:tcW w:w="2409" w:type="dxa"/>
          </w:tcPr>
          <w:p w14:paraId="37641A9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Urelumab</w:t>
            </w:r>
          </w:p>
          <w:p w14:paraId="165CB1E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D20BFD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Utomilumab</w:t>
            </w:r>
          </w:p>
          <w:p w14:paraId="6C6D1A7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309CFBE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tc>
        <w:tc>
          <w:tcPr>
            <w:tcW w:w="1843" w:type="dxa"/>
          </w:tcPr>
          <w:p w14:paraId="1178C16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Timmerman </w:t>
            </w:r>
            <w:r w:rsidRPr="00673210">
              <w:rPr>
                <w:rFonts w:ascii="Times New Roman" w:hAnsi="Times New Roman"/>
                <w:i/>
                <w:iCs/>
                <w:sz w:val="22"/>
              </w:rPr>
              <w:t>et al.</w:t>
            </w:r>
          </w:p>
          <w:p w14:paraId="60A1841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F55F64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Hamid </w:t>
            </w:r>
            <w:r w:rsidRPr="00673210">
              <w:rPr>
                <w:rFonts w:ascii="Times New Roman" w:hAnsi="Times New Roman"/>
                <w:i/>
                <w:iCs/>
                <w:sz w:val="22"/>
              </w:rPr>
              <w:t>et al.</w:t>
            </w:r>
          </w:p>
          <w:p w14:paraId="0FD5959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FD8007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Hong </w:t>
            </w:r>
            <w:r w:rsidRPr="00673210">
              <w:rPr>
                <w:rFonts w:ascii="Times New Roman" w:hAnsi="Times New Roman"/>
                <w:i/>
                <w:iCs/>
                <w:sz w:val="22"/>
              </w:rPr>
              <w:t>et al.</w:t>
            </w:r>
          </w:p>
        </w:tc>
        <w:tc>
          <w:tcPr>
            <w:tcW w:w="709" w:type="dxa"/>
          </w:tcPr>
          <w:p w14:paraId="6C95D94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2020</w:t>
            </w:r>
          </w:p>
          <w:p w14:paraId="4BBE282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5918320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1043C45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2CFB48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tc>
        <w:tc>
          <w:tcPr>
            <w:tcW w:w="2835" w:type="dxa"/>
          </w:tcPr>
          <w:p w14:paraId="454DECC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Am J Hematol.</w:t>
            </w:r>
          </w:p>
          <w:p w14:paraId="59821FB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7007352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Immunother Cancer.</w:t>
            </w:r>
          </w:p>
          <w:p w14:paraId="5F8FD1B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2B6C651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Front Immunol.</w:t>
            </w:r>
          </w:p>
        </w:tc>
        <w:tc>
          <w:tcPr>
            <w:tcW w:w="1559" w:type="dxa"/>
          </w:tcPr>
          <w:p w14:paraId="7870065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 ES, FR</w:t>
            </w:r>
          </w:p>
          <w:p w14:paraId="7CB10F2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F9F1E4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 JP, FR, NL</w:t>
            </w:r>
          </w:p>
          <w:p w14:paraId="0658DB1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9DABB2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tc>
        <w:tc>
          <w:tcPr>
            <w:tcW w:w="992" w:type="dxa"/>
          </w:tcPr>
          <w:p w14:paraId="774ABC4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0925EC5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EE801C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7599BA2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5889D6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tc>
        <w:tc>
          <w:tcPr>
            <w:tcW w:w="1134" w:type="dxa"/>
          </w:tcPr>
          <w:p w14:paraId="050C3E4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124</w:t>
            </w:r>
          </w:p>
          <w:p w14:paraId="41BE284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371BD04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174</w:t>
            </w:r>
          </w:p>
          <w:p w14:paraId="4112459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50510E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190</w:t>
            </w:r>
          </w:p>
        </w:tc>
        <w:tc>
          <w:tcPr>
            <w:tcW w:w="8642" w:type="dxa"/>
          </w:tcPr>
          <w:p w14:paraId="5E66D76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Showed manageable safety in B‐cell lymphoma, but did not enhance clinical activity.</w:t>
            </w:r>
          </w:p>
          <w:p w14:paraId="2A62173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0220E9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Utomilumab was well tolerated and demonstrated preliminary antitumor activity in selected groups of patients.</w:t>
            </w:r>
          </w:p>
          <w:p w14:paraId="0596C71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Utomilumab was well tolerated, but antitumor activity was low in patients.</w:t>
            </w:r>
          </w:p>
        </w:tc>
      </w:tr>
      <w:tr w:rsidR="00B71718" w:rsidRPr="00673210" w14:paraId="7DF4F67F"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0C5DDF42"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CD27</w:t>
            </w:r>
          </w:p>
        </w:tc>
        <w:tc>
          <w:tcPr>
            <w:tcW w:w="2409" w:type="dxa"/>
          </w:tcPr>
          <w:p w14:paraId="084A924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Varlilumab</w:t>
            </w:r>
          </w:p>
        </w:tc>
        <w:tc>
          <w:tcPr>
            <w:tcW w:w="1843" w:type="dxa"/>
          </w:tcPr>
          <w:p w14:paraId="2FDAD3E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Sanborn </w:t>
            </w:r>
            <w:r w:rsidRPr="00673210">
              <w:rPr>
                <w:rFonts w:ascii="Times New Roman" w:hAnsi="Times New Roman"/>
                <w:i/>
                <w:iCs/>
                <w:sz w:val="22"/>
              </w:rPr>
              <w:t>et al.</w:t>
            </w:r>
          </w:p>
          <w:p w14:paraId="79005FD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1E6AB9C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Burris </w:t>
            </w:r>
            <w:r w:rsidRPr="00673210">
              <w:rPr>
                <w:rFonts w:ascii="Times New Roman" w:hAnsi="Times New Roman"/>
                <w:i/>
                <w:iCs/>
                <w:sz w:val="22"/>
              </w:rPr>
              <w:t>et al.</w:t>
            </w:r>
          </w:p>
          <w:p w14:paraId="7F65604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F2A857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Ansell </w:t>
            </w:r>
            <w:r w:rsidRPr="00673210">
              <w:rPr>
                <w:rFonts w:ascii="Times New Roman" w:hAnsi="Times New Roman"/>
                <w:i/>
                <w:iCs/>
                <w:sz w:val="22"/>
              </w:rPr>
              <w:t>et al.</w:t>
            </w:r>
          </w:p>
        </w:tc>
        <w:tc>
          <w:tcPr>
            <w:tcW w:w="709" w:type="dxa"/>
          </w:tcPr>
          <w:p w14:paraId="4D4EF6C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695E145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93E7A6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2017</w:t>
            </w:r>
          </w:p>
          <w:p w14:paraId="4CEBDCB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F7E99D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2020</w:t>
            </w:r>
          </w:p>
        </w:tc>
        <w:tc>
          <w:tcPr>
            <w:tcW w:w="2835" w:type="dxa"/>
          </w:tcPr>
          <w:p w14:paraId="06E0ACA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Immunother Cancer.</w:t>
            </w:r>
          </w:p>
          <w:p w14:paraId="744BD9C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1CEDBA9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Clin Oncol.</w:t>
            </w:r>
          </w:p>
          <w:p w14:paraId="671B5DC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1FEAC82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Blood Adv.</w:t>
            </w:r>
          </w:p>
        </w:tc>
        <w:tc>
          <w:tcPr>
            <w:tcW w:w="1559" w:type="dxa"/>
          </w:tcPr>
          <w:p w14:paraId="0D0E81D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009751D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82ABAC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2A4C6E2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12B089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tc>
        <w:tc>
          <w:tcPr>
            <w:tcW w:w="992" w:type="dxa"/>
          </w:tcPr>
          <w:p w14:paraId="7AF55FB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32651D8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C29E92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1EE270B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700AAD3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tc>
        <w:tc>
          <w:tcPr>
            <w:tcW w:w="1134" w:type="dxa"/>
          </w:tcPr>
          <w:p w14:paraId="64A2F7A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175</w:t>
            </w:r>
          </w:p>
          <w:p w14:paraId="5B04C81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17E150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90</w:t>
            </w:r>
          </w:p>
          <w:p w14:paraId="3CFA214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62DBC2A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90</w:t>
            </w:r>
          </w:p>
        </w:tc>
        <w:tc>
          <w:tcPr>
            <w:tcW w:w="8642" w:type="dxa"/>
          </w:tcPr>
          <w:p w14:paraId="23C6CE3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Varlilumab was well tolerated, without significant toxicity</w:t>
            </w:r>
          </w:p>
          <w:p w14:paraId="1CE2F10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944439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Varlilumab used 10 mg/kg was well tolerated. Varlilumab was biologically and clinically active.</w:t>
            </w:r>
          </w:p>
          <w:p w14:paraId="5AE3148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4989E1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Supports further investigation of varlilumab for hematologic malignancies, particularly in combination approaches targeting nonredundant immune regulating pathways.</w:t>
            </w:r>
          </w:p>
        </w:tc>
      </w:tr>
      <w:tr w:rsidR="00B71718" w:rsidRPr="00673210" w14:paraId="4F4CCCFD"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39A15DCC"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CD28</w:t>
            </w:r>
          </w:p>
        </w:tc>
        <w:tc>
          <w:tcPr>
            <w:tcW w:w="2409" w:type="dxa"/>
          </w:tcPr>
          <w:p w14:paraId="7E98381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Abatacept</w:t>
            </w:r>
          </w:p>
          <w:p w14:paraId="30ACDA8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247E61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B5244D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Belatacept</w:t>
            </w:r>
          </w:p>
        </w:tc>
        <w:tc>
          <w:tcPr>
            <w:tcW w:w="1843" w:type="dxa"/>
          </w:tcPr>
          <w:p w14:paraId="2E28A3B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Westhovens </w:t>
            </w:r>
            <w:r w:rsidRPr="00673210">
              <w:rPr>
                <w:rFonts w:ascii="Times New Roman" w:hAnsi="Times New Roman"/>
                <w:i/>
                <w:iCs/>
                <w:sz w:val="22"/>
              </w:rPr>
              <w:t>et al.</w:t>
            </w:r>
          </w:p>
          <w:p w14:paraId="681E27C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7E8FE3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706E818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Vincenti </w:t>
            </w:r>
            <w:r w:rsidRPr="00673210">
              <w:rPr>
                <w:rFonts w:ascii="Times New Roman" w:hAnsi="Times New Roman"/>
                <w:i/>
                <w:iCs/>
                <w:sz w:val="22"/>
              </w:rPr>
              <w:t>et al.</w:t>
            </w:r>
          </w:p>
        </w:tc>
        <w:tc>
          <w:tcPr>
            <w:tcW w:w="709" w:type="dxa"/>
          </w:tcPr>
          <w:p w14:paraId="5A6B7B7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2014</w:t>
            </w:r>
          </w:p>
          <w:p w14:paraId="686D892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D34A5F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77CEEE8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2016</w:t>
            </w:r>
          </w:p>
        </w:tc>
        <w:tc>
          <w:tcPr>
            <w:tcW w:w="2835" w:type="dxa"/>
          </w:tcPr>
          <w:p w14:paraId="58A1CB6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Clin Exp Rheumatol.</w:t>
            </w:r>
          </w:p>
          <w:p w14:paraId="5204C26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1BA3962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6DC5409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N Engl J Med.</w:t>
            </w:r>
          </w:p>
        </w:tc>
        <w:tc>
          <w:tcPr>
            <w:tcW w:w="1559" w:type="dxa"/>
          </w:tcPr>
          <w:p w14:paraId="434BF7E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547286A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8A57D4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N.A</w:t>
            </w:r>
          </w:p>
          <w:p w14:paraId="0FC4E6B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Worldwide</w:t>
            </w:r>
          </w:p>
        </w:tc>
        <w:tc>
          <w:tcPr>
            <w:tcW w:w="992" w:type="dxa"/>
          </w:tcPr>
          <w:p w14:paraId="0FD4AC7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IIb</w:t>
            </w:r>
          </w:p>
          <w:p w14:paraId="6CEA0A5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99C21D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p w14:paraId="25CA4A5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tc>
        <w:tc>
          <w:tcPr>
            <w:tcW w:w="1134" w:type="dxa"/>
          </w:tcPr>
          <w:p w14:paraId="5C927EF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524</w:t>
            </w:r>
          </w:p>
          <w:p w14:paraId="7B1C91C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211824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738</w:t>
            </w:r>
          </w:p>
          <w:p w14:paraId="44BF580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738</w:t>
            </w:r>
          </w:p>
        </w:tc>
        <w:tc>
          <w:tcPr>
            <w:tcW w:w="8642" w:type="dxa"/>
          </w:tcPr>
          <w:p w14:paraId="7BA0B88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Abatacept in combination with methotrexate demonstrated consistent safety and sustained efficacy.</w:t>
            </w:r>
          </w:p>
          <w:p w14:paraId="5FD4889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NCT00048581</w:t>
            </w:r>
          </w:p>
          <w:p w14:paraId="77889F1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Pr>
                <w:rFonts w:ascii="Times New Roman" w:hAnsi="Times New Roman"/>
                <w:sz w:val="22"/>
              </w:rPr>
              <w:t>Long-term</w:t>
            </w:r>
            <w:r w:rsidRPr="00673210">
              <w:rPr>
                <w:rFonts w:ascii="Times New Roman" w:hAnsi="Times New Roman"/>
                <w:sz w:val="22"/>
              </w:rPr>
              <w:t xml:space="preserve"> patient and graft survival after organ transplant were significantly higher with belatacept use.</w:t>
            </w:r>
          </w:p>
        </w:tc>
      </w:tr>
      <w:tr w:rsidR="00B71718" w:rsidRPr="00673210" w14:paraId="5100A401"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5060DB41"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CD40</w:t>
            </w:r>
          </w:p>
        </w:tc>
        <w:tc>
          <w:tcPr>
            <w:tcW w:w="2409" w:type="dxa"/>
          </w:tcPr>
          <w:p w14:paraId="2EC8222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Selicrelumab</w:t>
            </w:r>
          </w:p>
        </w:tc>
        <w:tc>
          <w:tcPr>
            <w:tcW w:w="1843" w:type="dxa"/>
          </w:tcPr>
          <w:p w14:paraId="4ED4292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Byrne </w:t>
            </w:r>
            <w:r w:rsidRPr="00673210">
              <w:rPr>
                <w:rFonts w:ascii="Times New Roman" w:hAnsi="Times New Roman"/>
                <w:i/>
                <w:iCs/>
                <w:sz w:val="22"/>
              </w:rPr>
              <w:t>et al.</w:t>
            </w:r>
          </w:p>
          <w:p w14:paraId="3C3CCE2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3BEC05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Machiels </w:t>
            </w:r>
            <w:r w:rsidRPr="00673210">
              <w:rPr>
                <w:rFonts w:ascii="Times New Roman" w:hAnsi="Times New Roman"/>
                <w:i/>
                <w:iCs/>
                <w:sz w:val="22"/>
              </w:rPr>
              <w:t>et al.</w:t>
            </w:r>
          </w:p>
        </w:tc>
        <w:tc>
          <w:tcPr>
            <w:tcW w:w="709" w:type="dxa"/>
          </w:tcPr>
          <w:p w14:paraId="47E46B5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2021</w:t>
            </w:r>
          </w:p>
          <w:p w14:paraId="20F7D8B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5F4240C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2020</w:t>
            </w:r>
          </w:p>
        </w:tc>
        <w:tc>
          <w:tcPr>
            <w:tcW w:w="2835" w:type="dxa"/>
          </w:tcPr>
          <w:p w14:paraId="0BBBA04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Clin Cancer Res.</w:t>
            </w:r>
          </w:p>
          <w:p w14:paraId="3801A8E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p>
          <w:p w14:paraId="32B9743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J Immunother Cancer.</w:t>
            </w:r>
          </w:p>
        </w:tc>
        <w:tc>
          <w:tcPr>
            <w:tcW w:w="1559" w:type="dxa"/>
          </w:tcPr>
          <w:p w14:paraId="0FAC5B1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622E630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289A0B2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 FR, BE</w:t>
            </w:r>
          </w:p>
        </w:tc>
        <w:tc>
          <w:tcPr>
            <w:tcW w:w="992" w:type="dxa"/>
          </w:tcPr>
          <w:p w14:paraId="38AB1B4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17417404"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450C8A6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tc>
        <w:tc>
          <w:tcPr>
            <w:tcW w:w="1134" w:type="dxa"/>
          </w:tcPr>
          <w:p w14:paraId="0D26802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19</w:t>
            </w:r>
          </w:p>
          <w:p w14:paraId="190F909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p w14:paraId="0529E53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38</w:t>
            </w:r>
          </w:p>
        </w:tc>
        <w:tc>
          <w:tcPr>
            <w:tcW w:w="8642" w:type="dxa"/>
          </w:tcPr>
          <w:p w14:paraId="334A4C7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Selicrelumab induced changes in the tumor microenvironment in patients with resectable pancreatic cancer.</w:t>
            </w:r>
          </w:p>
          <w:p w14:paraId="4464258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Selicrelumab in a combination with emactuzumab demonstrated a manageable safety profile and evidence of PD activity but did not translate into objective clinical responses.</w:t>
            </w:r>
          </w:p>
        </w:tc>
      </w:tr>
      <w:tr w:rsidR="00B71718" w:rsidRPr="00673210" w14:paraId="28A2F0A2"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20A08CC9"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B7-H3</w:t>
            </w:r>
          </w:p>
        </w:tc>
        <w:tc>
          <w:tcPr>
            <w:tcW w:w="2409" w:type="dxa"/>
          </w:tcPr>
          <w:p w14:paraId="4A45CD5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MGC018/9</w:t>
            </w:r>
          </w:p>
          <w:p w14:paraId="72E45A86"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TRX518</w:t>
            </w:r>
          </w:p>
          <w:p w14:paraId="3D71BC8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4F5AEFB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EAA594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B7-H3 CAR-T </w:t>
            </w:r>
          </w:p>
        </w:tc>
        <w:tc>
          <w:tcPr>
            <w:tcW w:w="1843" w:type="dxa"/>
          </w:tcPr>
          <w:p w14:paraId="182FDBE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7F14D28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5CDEB26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666E2BF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2B98D4A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i/>
                <w:iCs/>
                <w:sz w:val="22"/>
              </w:rPr>
              <w:t>-</w:t>
            </w:r>
          </w:p>
        </w:tc>
        <w:tc>
          <w:tcPr>
            <w:tcW w:w="709" w:type="dxa"/>
          </w:tcPr>
          <w:p w14:paraId="2123008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56D8308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3ECAA40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F046DF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7FBCED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Pr>
          <w:p w14:paraId="423AB87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61C2929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007E153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000032C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22A8A95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Pr>
          <w:p w14:paraId="3B74C0D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0917946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68A452F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0310702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8AB638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CN</w:t>
            </w:r>
          </w:p>
        </w:tc>
        <w:tc>
          <w:tcPr>
            <w:tcW w:w="992" w:type="dxa"/>
          </w:tcPr>
          <w:p w14:paraId="521535D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I/Ib</w:t>
            </w:r>
          </w:p>
          <w:p w14:paraId="12BE574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2B2671F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7CEFF02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BDC913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I/II</w:t>
            </w:r>
          </w:p>
        </w:tc>
        <w:tc>
          <w:tcPr>
            <w:tcW w:w="1134" w:type="dxa"/>
          </w:tcPr>
          <w:p w14:paraId="77BC83E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278</w:t>
            </w:r>
          </w:p>
          <w:p w14:paraId="161C742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109</w:t>
            </w:r>
          </w:p>
          <w:p w14:paraId="5CA1E4F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10</w:t>
            </w:r>
          </w:p>
          <w:p w14:paraId="49D908C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631C31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40</w:t>
            </w:r>
          </w:p>
        </w:tc>
        <w:tc>
          <w:tcPr>
            <w:tcW w:w="8642" w:type="dxa"/>
          </w:tcPr>
          <w:p w14:paraId="5E15D6D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NCT05293496</w:t>
            </w:r>
          </w:p>
          <w:p w14:paraId="06DFEA9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NCT02628574</w:t>
            </w:r>
          </w:p>
          <w:p w14:paraId="57389A8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NCT01239134</w:t>
            </w:r>
          </w:p>
          <w:p w14:paraId="318DBCF5"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596E38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NCT04077866</w:t>
            </w:r>
          </w:p>
        </w:tc>
      </w:tr>
      <w:tr w:rsidR="00B71718" w:rsidRPr="00673210" w14:paraId="3BD3BD81"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0DF63ABD"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A2AR</w:t>
            </w:r>
          </w:p>
        </w:tc>
        <w:tc>
          <w:tcPr>
            <w:tcW w:w="2409" w:type="dxa"/>
          </w:tcPr>
          <w:p w14:paraId="3A382DDE"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Inupadenant</w:t>
            </w:r>
          </w:p>
        </w:tc>
        <w:tc>
          <w:tcPr>
            <w:tcW w:w="1843" w:type="dxa"/>
          </w:tcPr>
          <w:p w14:paraId="184462E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2924BA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116CE717"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709" w:type="dxa"/>
          </w:tcPr>
          <w:p w14:paraId="19EA114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43A5CC4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p w14:paraId="4A9A8075"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Pr>
          <w:p w14:paraId="243ED8FB"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1A16CBCF"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p w14:paraId="779587A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Pr>
          <w:p w14:paraId="3E813DF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7F33577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UK, BE</w:t>
            </w:r>
          </w:p>
          <w:p w14:paraId="6FB05509"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US, UK, BE</w:t>
            </w:r>
          </w:p>
        </w:tc>
        <w:tc>
          <w:tcPr>
            <w:tcW w:w="992" w:type="dxa"/>
          </w:tcPr>
          <w:p w14:paraId="5ABB3992"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I/Ib</w:t>
            </w:r>
          </w:p>
          <w:p w14:paraId="5B9C874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1EFDB41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tc>
        <w:tc>
          <w:tcPr>
            <w:tcW w:w="1134" w:type="dxa"/>
          </w:tcPr>
          <w:p w14:paraId="05F18F6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119</w:t>
            </w:r>
          </w:p>
          <w:p w14:paraId="1F17F24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64</w:t>
            </w:r>
          </w:p>
          <w:p w14:paraId="74B5A783"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192</w:t>
            </w:r>
          </w:p>
        </w:tc>
        <w:tc>
          <w:tcPr>
            <w:tcW w:w="8642" w:type="dxa"/>
          </w:tcPr>
          <w:p w14:paraId="77E84F1D"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w:t>
            </w:r>
            <w:r w:rsidRPr="00673210">
              <w:rPr>
                <w:rFonts w:ascii="Times New Roman" w:hAnsi="Times New Roman"/>
                <w:sz w:val="22"/>
                <w:shd w:val="clear" w:color="auto" w:fill="FFFFFF"/>
              </w:rPr>
              <w:t>03873883</w:t>
            </w:r>
          </w:p>
          <w:p w14:paraId="262FF590"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w:t>
            </w:r>
            <w:r w:rsidRPr="00673210">
              <w:rPr>
                <w:rFonts w:ascii="Times New Roman" w:hAnsi="Times New Roman"/>
                <w:sz w:val="22"/>
                <w:shd w:val="clear" w:color="auto" w:fill="FFFFFF"/>
              </w:rPr>
              <w:t>05117177</w:t>
            </w:r>
          </w:p>
          <w:p w14:paraId="18EC49B1"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w:t>
            </w:r>
            <w:r w:rsidRPr="00673210">
              <w:rPr>
                <w:rFonts w:ascii="Times New Roman" w:hAnsi="Times New Roman"/>
                <w:sz w:val="22"/>
                <w:shd w:val="clear" w:color="auto" w:fill="FFFFFF"/>
              </w:rPr>
              <w:t>05403385</w:t>
            </w:r>
          </w:p>
        </w:tc>
      </w:tr>
      <w:tr w:rsidR="00B71718" w:rsidRPr="00673210" w14:paraId="70264842"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4519CC2A"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LAG-3</w:t>
            </w:r>
          </w:p>
        </w:tc>
        <w:tc>
          <w:tcPr>
            <w:tcW w:w="2409" w:type="dxa"/>
          </w:tcPr>
          <w:p w14:paraId="09BA39F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Relatlimab</w:t>
            </w:r>
          </w:p>
          <w:p w14:paraId="484F1A0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DA6D2E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3F545D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384970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Eftilagimod alpha</w:t>
            </w:r>
          </w:p>
          <w:p w14:paraId="60A3C10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(IMP321)</w:t>
            </w:r>
          </w:p>
          <w:p w14:paraId="05316504"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Flianlimab</w:t>
            </w:r>
          </w:p>
        </w:tc>
        <w:tc>
          <w:tcPr>
            <w:tcW w:w="1843" w:type="dxa"/>
          </w:tcPr>
          <w:p w14:paraId="52FD0FC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Tawbi </w:t>
            </w:r>
            <w:r w:rsidRPr="00673210">
              <w:rPr>
                <w:rFonts w:ascii="Times New Roman" w:hAnsi="Times New Roman"/>
                <w:i/>
                <w:iCs/>
                <w:sz w:val="22"/>
              </w:rPr>
              <w:t>et al.</w:t>
            </w:r>
          </w:p>
          <w:p w14:paraId="5152865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5F914B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F9CB18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sz w:val="22"/>
              </w:rPr>
              <w:t xml:space="preserve">Amaria </w:t>
            </w:r>
            <w:r w:rsidRPr="00673210">
              <w:rPr>
                <w:rFonts w:ascii="Times New Roman" w:hAnsi="Times New Roman"/>
                <w:i/>
                <w:iCs/>
                <w:sz w:val="22"/>
              </w:rPr>
              <w:t>et al.</w:t>
            </w:r>
          </w:p>
          <w:p w14:paraId="595299D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sz w:val="22"/>
              </w:rPr>
              <w:t>Brignone</w:t>
            </w:r>
            <w:r w:rsidRPr="00673210">
              <w:rPr>
                <w:rFonts w:ascii="Times New Roman" w:hAnsi="Times New Roman"/>
                <w:i/>
                <w:iCs/>
                <w:sz w:val="22"/>
              </w:rPr>
              <w:t xml:space="preserve"> et al.</w:t>
            </w:r>
          </w:p>
          <w:p w14:paraId="50E4061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56C9D93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i/>
                <w:iCs/>
                <w:sz w:val="22"/>
              </w:rPr>
              <w:t>-</w:t>
            </w:r>
          </w:p>
        </w:tc>
        <w:tc>
          <w:tcPr>
            <w:tcW w:w="709" w:type="dxa"/>
          </w:tcPr>
          <w:p w14:paraId="18A037A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5582EAF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A7DBB0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47D1AE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2022</w:t>
            </w:r>
          </w:p>
          <w:p w14:paraId="2E7E6A43"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2009</w:t>
            </w:r>
          </w:p>
          <w:p w14:paraId="42BF4B5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3FBAB2A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w:t>
            </w:r>
          </w:p>
        </w:tc>
        <w:tc>
          <w:tcPr>
            <w:tcW w:w="2835" w:type="dxa"/>
          </w:tcPr>
          <w:p w14:paraId="7865A82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N Eng J Med.</w:t>
            </w:r>
          </w:p>
          <w:p w14:paraId="6EF001E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08860E4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19DF84E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Nature.</w:t>
            </w:r>
          </w:p>
          <w:p w14:paraId="2EFA5F18"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Clin Cancer Res.</w:t>
            </w:r>
          </w:p>
          <w:p w14:paraId="561EF90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p>
          <w:p w14:paraId="7D437AA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2"/>
              </w:rPr>
            </w:pPr>
            <w:r w:rsidRPr="00673210">
              <w:rPr>
                <w:rFonts w:ascii="Times New Roman" w:hAnsi="Times New Roman"/>
                <w:i/>
                <w:iCs/>
                <w:sz w:val="22"/>
              </w:rPr>
              <w:t>-</w:t>
            </w:r>
          </w:p>
        </w:tc>
        <w:tc>
          <w:tcPr>
            <w:tcW w:w="1559" w:type="dxa"/>
          </w:tcPr>
          <w:p w14:paraId="20C5F42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Multinational</w:t>
            </w:r>
          </w:p>
          <w:p w14:paraId="653328CB"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6B0E44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B32BDF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US</w:t>
            </w:r>
          </w:p>
          <w:p w14:paraId="64AF0A9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FR</w:t>
            </w:r>
          </w:p>
          <w:p w14:paraId="2A363CE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7DCBB2B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AU, US</w:t>
            </w:r>
          </w:p>
        </w:tc>
        <w:tc>
          <w:tcPr>
            <w:tcW w:w="992" w:type="dxa"/>
          </w:tcPr>
          <w:p w14:paraId="0A945B9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II/III</w:t>
            </w:r>
          </w:p>
          <w:p w14:paraId="788B925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1D79FA8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B8E099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w:t>
            </w:r>
          </w:p>
          <w:p w14:paraId="431347F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w:t>
            </w:r>
          </w:p>
          <w:p w14:paraId="55BD963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6539A07D"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II/III</w:t>
            </w:r>
          </w:p>
        </w:tc>
        <w:tc>
          <w:tcPr>
            <w:tcW w:w="1134" w:type="dxa"/>
          </w:tcPr>
          <w:p w14:paraId="6ECEBEB0"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714</w:t>
            </w:r>
          </w:p>
          <w:p w14:paraId="0C7659A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33593A5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01203F6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53</w:t>
            </w:r>
          </w:p>
          <w:p w14:paraId="4D2D0871"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24</w:t>
            </w:r>
          </w:p>
          <w:p w14:paraId="53A9AF77"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p w14:paraId="2FBD5A6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850</w:t>
            </w:r>
          </w:p>
        </w:tc>
        <w:tc>
          <w:tcPr>
            <w:tcW w:w="8642" w:type="dxa"/>
          </w:tcPr>
          <w:p w14:paraId="0E42B42F"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Pr>
                <w:rFonts w:ascii="Times New Roman" w:hAnsi="Times New Roman"/>
                <w:sz w:val="22"/>
              </w:rPr>
              <w:t>The use</w:t>
            </w:r>
            <w:r w:rsidRPr="00673210">
              <w:rPr>
                <w:rFonts w:ascii="Times New Roman" w:hAnsi="Times New Roman"/>
                <w:sz w:val="22"/>
              </w:rPr>
              <w:t xml:space="preserve"> of relatlimab and nivolumab together provided a greater benefit with regard to progression-free survival than inhibition of PD-1 alone in patients with previously untreated metastatic or unresectable melanoma.</w:t>
            </w:r>
          </w:p>
          <w:p w14:paraId="30072579"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Neoadjuvant relatlimab and nivolumab induced a high pathologic </w:t>
            </w:r>
            <w:r>
              <w:rPr>
                <w:rFonts w:ascii="Times New Roman" w:hAnsi="Times New Roman"/>
                <w:sz w:val="22"/>
              </w:rPr>
              <w:t>complete</w:t>
            </w:r>
            <w:r w:rsidRPr="00673210">
              <w:rPr>
                <w:rFonts w:ascii="Times New Roman" w:hAnsi="Times New Roman"/>
                <w:sz w:val="22"/>
              </w:rPr>
              <w:t xml:space="preserve"> response rate.</w:t>
            </w:r>
          </w:p>
          <w:p w14:paraId="1D3567DA"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 xml:space="preserve">IMP321 </w:t>
            </w:r>
            <w:r>
              <w:rPr>
                <w:rFonts w:ascii="Times New Roman" w:hAnsi="Times New Roman"/>
                <w:sz w:val="22"/>
              </w:rPr>
              <w:t>was</w:t>
            </w:r>
            <w:r w:rsidRPr="00673210">
              <w:rPr>
                <w:rFonts w:ascii="Times New Roman" w:hAnsi="Times New Roman"/>
                <w:sz w:val="22"/>
              </w:rPr>
              <w:t xml:space="preserve"> found to inhibit tumor growth and prolong the </w:t>
            </w:r>
            <w:r>
              <w:rPr>
                <w:rFonts w:ascii="Times New Roman" w:hAnsi="Times New Roman"/>
                <w:sz w:val="22"/>
              </w:rPr>
              <w:t>progression-free</w:t>
            </w:r>
            <w:r w:rsidRPr="00673210">
              <w:rPr>
                <w:rFonts w:ascii="Times New Roman" w:hAnsi="Times New Roman"/>
                <w:sz w:val="22"/>
              </w:rPr>
              <w:t xml:space="preserve"> survival of advanced RCC patients.</w:t>
            </w:r>
          </w:p>
          <w:p w14:paraId="24DDE852"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r w:rsidRPr="00673210">
              <w:rPr>
                <w:rFonts w:ascii="Times New Roman" w:hAnsi="Times New Roman"/>
                <w:sz w:val="22"/>
              </w:rPr>
              <w:t>Unpublished: ClinicalTrials.gov ID NCT05785767</w:t>
            </w:r>
          </w:p>
        </w:tc>
      </w:tr>
      <w:tr w:rsidR="00B71718" w:rsidRPr="00673210" w14:paraId="259FB1C2" w14:textId="77777777" w:rsidTr="001247F3">
        <w:tc>
          <w:tcPr>
            <w:cnfStyle w:val="001000000000" w:firstRow="0" w:lastRow="0" w:firstColumn="1" w:lastColumn="0" w:oddVBand="0" w:evenVBand="0" w:oddHBand="0" w:evenHBand="0" w:firstRowFirstColumn="0" w:firstRowLastColumn="0" w:lastRowFirstColumn="0" w:lastRowLastColumn="0"/>
            <w:tcW w:w="993" w:type="dxa"/>
          </w:tcPr>
          <w:p w14:paraId="07AF0E35"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CD40L</w:t>
            </w:r>
          </w:p>
        </w:tc>
        <w:tc>
          <w:tcPr>
            <w:tcW w:w="2409" w:type="dxa"/>
          </w:tcPr>
          <w:p w14:paraId="61C0AF0A"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SL-172154</w:t>
            </w:r>
            <w:r w:rsidRPr="00673210">
              <w:rPr>
                <w:rFonts w:ascii="Times New Roman" w:hAnsi="Times New Roman"/>
                <w:sz w:val="22"/>
                <w:vertAlign w:val="superscript"/>
              </w:rPr>
              <w:t>a</w:t>
            </w:r>
          </w:p>
        </w:tc>
        <w:tc>
          <w:tcPr>
            <w:tcW w:w="17714" w:type="dxa"/>
            <w:gridSpan w:val="7"/>
            <w:vMerge w:val="restart"/>
          </w:tcPr>
          <w:p w14:paraId="3807FDC8"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tc>
      </w:tr>
      <w:tr w:rsidR="00B71718" w:rsidRPr="00673210" w14:paraId="55E1FC48" w14:textId="77777777" w:rsidTr="001247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7A73199E"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CD19</w:t>
            </w:r>
          </w:p>
        </w:tc>
        <w:tc>
          <w:tcPr>
            <w:tcW w:w="2409" w:type="dxa"/>
          </w:tcPr>
          <w:p w14:paraId="2CAAC0CE"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TG-1801</w:t>
            </w:r>
            <w:r w:rsidRPr="00673210">
              <w:rPr>
                <w:rFonts w:ascii="Times New Roman" w:hAnsi="Times New Roman"/>
                <w:sz w:val="22"/>
                <w:vertAlign w:val="superscript"/>
              </w:rPr>
              <w:t>a</w:t>
            </w:r>
          </w:p>
        </w:tc>
        <w:tc>
          <w:tcPr>
            <w:tcW w:w="17714" w:type="dxa"/>
            <w:gridSpan w:val="7"/>
            <w:vMerge/>
          </w:tcPr>
          <w:p w14:paraId="2DB362CC" w14:textId="77777777" w:rsidR="00B71718" w:rsidRPr="00673210" w:rsidRDefault="00B71718" w:rsidP="001247F3">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2"/>
              </w:rPr>
            </w:pPr>
          </w:p>
        </w:tc>
      </w:tr>
      <w:tr w:rsidR="00B71718" w:rsidRPr="00673210" w14:paraId="1E9C340A" w14:textId="77777777" w:rsidTr="001247F3">
        <w:tc>
          <w:tcPr>
            <w:cnfStyle w:val="001000000000" w:firstRow="0" w:lastRow="0" w:firstColumn="1" w:lastColumn="0" w:oddVBand="0" w:evenVBand="0" w:oddHBand="0" w:evenHBand="0" w:firstRowFirstColumn="0" w:firstRowLastColumn="0" w:lastRowFirstColumn="0" w:lastRowLastColumn="0"/>
            <w:tcW w:w="993" w:type="dxa"/>
            <w:tcBorders>
              <w:bottom w:val="single" w:sz="24" w:space="0" w:color="auto"/>
            </w:tcBorders>
          </w:tcPr>
          <w:p w14:paraId="59983DA2" w14:textId="77777777" w:rsidR="00B71718" w:rsidRPr="00673210" w:rsidRDefault="00B71718" w:rsidP="001247F3">
            <w:pPr>
              <w:spacing w:line="480" w:lineRule="auto"/>
              <w:rPr>
                <w:rFonts w:ascii="Times New Roman" w:hAnsi="Times New Roman"/>
                <w:sz w:val="22"/>
              </w:rPr>
            </w:pPr>
            <w:r w:rsidRPr="00673210">
              <w:rPr>
                <w:rFonts w:ascii="Times New Roman" w:hAnsi="Times New Roman"/>
                <w:sz w:val="22"/>
              </w:rPr>
              <w:t>CD20</w:t>
            </w:r>
          </w:p>
        </w:tc>
        <w:tc>
          <w:tcPr>
            <w:tcW w:w="2409" w:type="dxa"/>
            <w:tcBorders>
              <w:bottom w:val="single" w:sz="24" w:space="0" w:color="auto"/>
            </w:tcBorders>
          </w:tcPr>
          <w:p w14:paraId="408143C6"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IMM0306</w:t>
            </w:r>
            <w:r w:rsidRPr="00673210">
              <w:rPr>
                <w:rFonts w:ascii="Times New Roman" w:hAnsi="Times New Roman"/>
                <w:sz w:val="22"/>
                <w:vertAlign w:val="superscript"/>
              </w:rPr>
              <w:t>a</w:t>
            </w:r>
          </w:p>
          <w:p w14:paraId="3A11C731" w14:textId="3495A74D"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vertAlign w:val="superscript"/>
              </w:rPr>
            </w:pPr>
            <w:r w:rsidRPr="00673210">
              <w:rPr>
                <w:rFonts w:ascii="Times New Roman" w:hAnsi="Times New Roman"/>
                <w:sz w:val="22"/>
              </w:rPr>
              <w:t>CPO107(JMP</w:t>
            </w:r>
            <w:r w:rsidRPr="00673210">
              <w:rPr>
                <w:rFonts w:ascii="Times New Roman" w:hAnsi="Times New Roman"/>
                <w:sz w:val="22"/>
              </w:rPr>
              <w:t>601)</w:t>
            </w:r>
            <w:r w:rsidRPr="00673210">
              <w:rPr>
                <w:rFonts w:ascii="Times New Roman" w:hAnsi="Times New Roman"/>
                <w:sz w:val="22"/>
                <w:vertAlign w:val="superscript"/>
              </w:rPr>
              <w:t>a</w:t>
            </w:r>
          </w:p>
        </w:tc>
        <w:tc>
          <w:tcPr>
            <w:tcW w:w="17714" w:type="dxa"/>
            <w:gridSpan w:val="7"/>
            <w:vMerge/>
            <w:tcBorders>
              <w:bottom w:val="single" w:sz="24" w:space="0" w:color="auto"/>
            </w:tcBorders>
          </w:tcPr>
          <w:p w14:paraId="5713687C" w14:textId="77777777" w:rsidR="00B71718" w:rsidRPr="00673210" w:rsidRDefault="00B71718" w:rsidP="001247F3">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2"/>
              </w:rPr>
            </w:pPr>
          </w:p>
        </w:tc>
      </w:tr>
    </w:tbl>
    <w:p w14:paraId="61880470" w14:textId="77777777" w:rsidR="00B71718" w:rsidRPr="00673210" w:rsidRDefault="00B71718" w:rsidP="00B71718">
      <w:pPr>
        <w:spacing w:line="480" w:lineRule="auto"/>
        <w:rPr>
          <w:rFonts w:ascii="Times New Roman" w:hAnsi="Times New Roman"/>
          <w:sz w:val="22"/>
        </w:rPr>
      </w:pPr>
      <w:r w:rsidRPr="00673210">
        <w:rPr>
          <w:rFonts w:ascii="Times New Roman" w:hAnsi="Times New Roman"/>
          <w:sz w:val="22"/>
        </w:rPr>
        <w:t>a: Bispecific antibodies</w:t>
      </w:r>
    </w:p>
    <w:p w14:paraId="0716DBEC" w14:textId="752085E1" w:rsidR="00F97E65" w:rsidRPr="00B71718" w:rsidRDefault="00B71718" w:rsidP="00B71718">
      <w:pPr>
        <w:spacing w:line="480" w:lineRule="auto"/>
        <w:rPr>
          <w:rFonts w:ascii="Times New Roman" w:hAnsi="Times New Roman"/>
          <w:sz w:val="22"/>
        </w:rPr>
      </w:pPr>
      <w:r w:rsidRPr="00673210">
        <w:rPr>
          <w:rFonts w:ascii="Times New Roman" w:hAnsi="Times New Roman"/>
          <w:sz w:val="22"/>
        </w:rPr>
        <w:t>N.A.: Not available</w:t>
      </w:r>
    </w:p>
    <w:sectPr w:rsidR="00F97E65" w:rsidRPr="00B71718" w:rsidSect="00F35F34">
      <w:type w:val="nextColumn"/>
      <w:pgSz w:w="23811" w:h="16838" w:orient="landscape" w:code="8"/>
      <w:pgMar w:top="1797" w:right="1440" w:bottom="1797" w:left="1440" w:header="851" w:footer="992" w:gutter="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D71C2"/>
    <w:multiLevelType w:val="hybridMultilevel"/>
    <w:tmpl w:val="70EA5EB6"/>
    <w:lvl w:ilvl="0" w:tplc="5DE23E36">
      <w:start w:val="2"/>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A1A1001"/>
    <w:multiLevelType w:val="hybridMultilevel"/>
    <w:tmpl w:val="569AB790"/>
    <w:lvl w:ilvl="0" w:tplc="04090019">
      <w:start w:val="1"/>
      <w:numFmt w:val="lowerLetter"/>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5FC7A6B"/>
    <w:multiLevelType w:val="hybridMultilevel"/>
    <w:tmpl w:val="13A64470"/>
    <w:lvl w:ilvl="0" w:tplc="047EA100">
      <w:start w:val="1"/>
      <w:numFmt w:val="lowerLetter"/>
      <w:lvlText w:val="%1)"/>
      <w:lvlJc w:val="left"/>
      <w:pPr>
        <w:ind w:left="440" w:hanging="440"/>
      </w:pPr>
      <w:rPr>
        <w:i/>
        <w:iCs/>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8892EC7"/>
    <w:multiLevelType w:val="hybridMultilevel"/>
    <w:tmpl w:val="5EFEA05A"/>
    <w:lvl w:ilvl="0" w:tplc="05668DBA">
      <w:start w:val="1"/>
      <w:numFmt w:val="lowerLetter"/>
      <w:lvlText w:val="%1)"/>
      <w:lvlJc w:val="left"/>
      <w:pPr>
        <w:ind w:left="360" w:hanging="360"/>
      </w:pPr>
      <w:rPr>
        <w:rFonts w:hint="default"/>
        <w:i/>
        <w:iCs/>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15:restartNumberingAfterBreak="0">
    <w:nsid w:val="3C1F3C3C"/>
    <w:multiLevelType w:val="multilevel"/>
    <w:tmpl w:val="1010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181CE3"/>
    <w:multiLevelType w:val="hybridMultilevel"/>
    <w:tmpl w:val="D81A1640"/>
    <w:lvl w:ilvl="0" w:tplc="33F485B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A257FE5"/>
    <w:multiLevelType w:val="hybridMultilevel"/>
    <w:tmpl w:val="64209EFA"/>
    <w:lvl w:ilvl="0" w:tplc="4E80092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5CF14C81"/>
    <w:multiLevelType w:val="hybridMultilevel"/>
    <w:tmpl w:val="C6948EEE"/>
    <w:lvl w:ilvl="0" w:tplc="440AC032">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E777D0A"/>
    <w:multiLevelType w:val="hybridMultilevel"/>
    <w:tmpl w:val="219A83EE"/>
    <w:lvl w:ilvl="0" w:tplc="5DE23E36">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EF251A2"/>
    <w:multiLevelType w:val="hybridMultilevel"/>
    <w:tmpl w:val="F88A8640"/>
    <w:lvl w:ilvl="0" w:tplc="04090019">
      <w:start w:val="1"/>
      <w:numFmt w:val="lowerLetter"/>
      <w:lvlText w:val="%1)"/>
      <w:lvlJc w:val="left"/>
      <w:pPr>
        <w:ind w:left="440" w:hanging="44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16cid:durableId="1359162505">
    <w:abstractNumId w:val="8"/>
  </w:num>
  <w:num w:numId="2" w16cid:durableId="1361396719">
    <w:abstractNumId w:val="2"/>
  </w:num>
  <w:num w:numId="3" w16cid:durableId="1563251156">
    <w:abstractNumId w:val="3"/>
  </w:num>
  <w:num w:numId="4" w16cid:durableId="15817196">
    <w:abstractNumId w:val="1"/>
  </w:num>
  <w:num w:numId="5" w16cid:durableId="216743436">
    <w:abstractNumId w:val="9"/>
  </w:num>
  <w:num w:numId="6" w16cid:durableId="398749868">
    <w:abstractNumId w:val="0"/>
  </w:num>
  <w:num w:numId="7" w16cid:durableId="1878161199">
    <w:abstractNumId w:val="4"/>
  </w:num>
  <w:num w:numId="8" w16cid:durableId="700127527">
    <w:abstractNumId w:val="5"/>
  </w:num>
  <w:num w:numId="9" w16cid:durableId="1141994644">
    <w:abstractNumId w:val="6"/>
  </w:num>
  <w:num w:numId="10" w16cid:durableId="1654882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1B7"/>
    <w:rsid w:val="001801B7"/>
    <w:rsid w:val="006171B6"/>
    <w:rsid w:val="00811EBC"/>
    <w:rsid w:val="00860E66"/>
    <w:rsid w:val="00B55DA8"/>
    <w:rsid w:val="00B71718"/>
    <w:rsid w:val="00B90B22"/>
    <w:rsid w:val="00CD2611"/>
    <w:rsid w:val="00F35F34"/>
    <w:rsid w:val="00F97E65"/>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D900D"/>
  <w15:chartTrackingRefBased/>
  <w15:docId w15:val="{B073D632-F97E-4E93-9A86-183DE45B1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718"/>
    <w:pPr>
      <w:widowControl w:val="0"/>
      <w:jc w:val="both"/>
    </w:pPr>
    <w:rPr>
      <w:rFonts w:ascii="Times" w:hAnsi="Time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1801B7"/>
  </w:style>
  <w:style w:type="paragraph" w:styleId="a4">
    <w:name w:val="header"/>
    <w:basedOn w:val="a"/>
    <w:link w:val="a5"/>
    <w:uiPriority w:val="99"/>
    <w:unhideWhenUsed/>
    <w:rsid w:val="00B71718"/>
    <w:pPr>
      <w:tabs>
        <w:tab w:val="center" w:pos="4153"/>
        <w:tab w:val="right" w:pos="8306"/>
      </w:tabs>
      <w:snapToGrid w:val="0"/>
      <w:jc w:val="center"/>
    </w:pPr>
    <w:rPr>
      <w:sz w:val="18"/>
      <w:szCs w:val="18"/>
    </w:rPr>
  </w:style>
  <w:style w:type="character" w:customStyle="1" w:styleId="a5">
    <w:name w:val="页眉 字符"/>
    <w:basedOn w:val="a0"/>
    <w:link w:val="a4"/>
    <w:uiPriority w:val="99"/>
    <w:rsid w:val="00B71718"/>
    <w:rPr>
      <w:rFonts w:ascii="Times" w:hAnsi="Times" w:cs="Times New Roman"/>
      <w:sz w:val="18"/>
      <w:szCs w:val="18"/>
    </w:rPr>
  </w:style>
  <w:style w:type="paragraph" w:styleId="a6">
    <w:name w:val="footer"/>
    <w:basedOn w:val="a"/>
    <w:link w:val="a7"/>
    <w:uiPriority w:val="99"/>
    <w:unhideWhenUsed/>
    <w:rsid w:val="00B71718"/>
    <w:pPr>
      <w:tabs>
        <w:tab w:val="center" w:pos="4153"/>
        <w:tab w:val="right" w:pos="8306"/>
      </w:tabs>
      <w:snapToGrid w:val="0"/>
      <w:jc w:val="left"/>
    </w:pPr>
    <w:rPr>
      <w:sz w:val="18"/>
      <w:szCs w:val="18"/>
    </w:rPr>
  </w:style>
  <w:style w:type="character" w:customStyle="1" w:styleId="a7">
    <w:name w:val="页脚 字符"/>
    <w:basedOn w:val="a0"/>
    <w:link w:val="a6"/>
    <w:uiPriority w:val="99"/>
    <w:rsid w:val="00B71718"/>
    <w:rPr>
      <w:rFonts w:ascii="Times" w:hAnsi="Times" w:cs="Times New Roman"/>
      <w:sz w:val="18"/>
      <w:szCs w:val="18"/>
    </w:rPr>
  </w:style>
  <w:style w:type="paragraph" w:styleId="a8">
    <w:name w:val="List Paragraph"/>
    <w:basedOn w:val="a"/>
    <w:uiPriority w:val="34"/>
    <w:qFormat/>
    <w:rsid w:val="00B71718"/>
    <w:pPr>
      <w:ind w:firstLineChars="200" w:firstLine="420"/>
    </w:pPr>
  </w:style>
  <w:style w:type="paragraph" w:customStyle="1" w:styleId="EndNoteBibliographyTitle">
    <w:name w:val="EndNote Bibliography Title"/>
    <w:basedOn w:val="a"/>
    <w:link w:val="EndNoteBibliographyTitle0"/>
    <w:rsid w:val="00B71718"/>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B71718"/>
    <w:rPr>
      <w:rFonts w:ascii="等线" w:eastAsia="等线" w:hAnsi="等线" w:cs="Times New Roman"/>
      <w:noProof/>
      <w:sz w:val="20"/>
    </w:rPr>
  </w:style>
  <w:style w:type="paragraph" w:customStyle="1" w:styleId="EndNoteBibliography">
    <w:name w:val="EndNote Bibliography"/>
    <w:basedOn w:val="a"/>
    <w:link w:val="EndNoteBibliography0"/>
    <w:rsid w:val="00B71718"/>
    <w:rPr>
      <w:rFonts w:ascii="等线" w:eastAsia="等线" w:hAnsi="等线"/>
      <w:noProof/>
      <w:sz w:val="20"/>
    </w:rPr>
  </w:style>
  <w:style w:type="character" w:customStyle="1" w:styleId="EndNoteBibliography0">
    <w:name w:val="EndNote Bibliography 字符"/>
    <w:basedOn w:val="a0"/>
    <w:link w:val="EndNoteBibliography"/>
    <w:rsid w:val="00B71718"/>
    <w:rPr>
      <w:rFonts w:ascii="等线" w:eastAsia="等线" w:hAnsi="等线" w:cs="Times New Roman"/>
      <w:noProof/>
      <w:sz w:val="20"/>
    </w:rPr>
  </w:style>
  <w:style w:type="character" w:customStyle="1" w:styleId="whitespace-nowrap">
    <w:name w:val="whitespace-nowrap"/>
    <w:basedOn w:val="a0"/>
    <w:rsid w:val="00B71718"/>
  </w:style>
  <w:style w:type="character" w:styleId="a9">
    <w:name w:val="Hyperlink"/>
    <w:basedOn w:val="a0"/>
    <w:uiPriority w:val="99"/>
    <w:unhideWhenUsed/>
    <w:qFormat/>
    <w:rsid w:val="00B71718"/>
    <w:rPr>
      <w:color w:val="0000FF"/>
      <w:u w:val="single"/>
    </w:rPr>
  </w:style>
  <w:style w:type="character" w:styleId="aa">
    <w:name w:val="Unresolved Mention"/>
    <w:basedOn w:val="a0"/>
    <w:uiPriority w:val="99"/>
    <w:semiHidden/>
    <w:unhideWhenUsed/>
    <w:rsid w:val="00B71718"/>
    <w:rPr>
      <w:color w:val="605E5C"/>
      <w:shd w:val="clear" w:color="auto" w:fill="E1DFDD"/>
    </w:rPr>
  </w:style>
  <w:style w:type="paragraph" w:customStyle="1" w:styleId="MDPI13authornames">
    <w:name w:val="MDPI_1.3_authornames"/>
    <w:next w:val="a"/>
    <w:qFormat/>
    <w:rsid w:val="00B71718"/>
    <w:pPr>
      <w:adjustRightInd w:val="0"/>
      <w:snapToGrid w:val="0"/>
      <w:spacing w:after="360" w:line="260" w:lineRule="atLeast"/>
    </w:pPr>
    <w:rPr>
      <w:rFonts w:ascii="Palatino Linotype" w:eastAsia="Times New Roman" w:hAnsi="Palatino Linotype" w:cs="Times New Roman"/>
      <w:b/>
      <w:color w:val="000000"/>
      <w:kern w:val="0"/>
      <w:sz w:val="20"/>
      <w:lang w:eastAsia="de-DE" w:bidi="en-US"/>
    </w:rPr>
  </w:style>
  <w:style w:type="table" w:styleId="ab">
    <w:name w:val="Table Grid"/>
    <w:basedOn w:val="a1"/>
    <w:uiPriority w:val="39"/>
    <w:rsid w:val="00B7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Plain Table 4"/>
    <w:basedOn w:val="a1"/>
    <w:uiPriority w:val="44"/>
    <w:rsid w:val="00B7171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6-3">
    <w:name w:val="List Table 6 Colorful Accent 3"/>
    <w:basedOn w:val="a1"/>
    <w:uiPriority w:val="51"/>
    <w:rsid w:val="00B71718"/>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2113</Words>
  <Characters>12133</Characters>
  <Application>Microsoft Office Word</Application>
  <DocSecurity>0</DocSecurity>
  <Lines>1348</Lines>
  <Paragraphs>949</Paragraphs>
  <ScaleCrop>false</ScaleCrop>
  <Company/>
  <LinksUpToDate>false</LinksUpToDate>
  <CharactersWithSpaces>13297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Moksada Regmi</dc:creator>
  <cp:keywords/>
  <dc:description/>
  <cp:lastModifiedBy>Moksada Regmi</cp:lastModifiedBy>
  <cp:revision>2</cp:revision>
  <dcterms:created xsi:type="dcterms:W3CDTF">2024-01-26T16:31:00Z</dcterms:created>
  <dcterms:modified xsi:type="dcterms:W3CDTF">2024-01-26T16:35:00Z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ef927b51-df65-494d-953b-9612a05f534d</vt:lpwstr>
  </property>
</Properties>
</file>