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461" w:rsidRDefault="00FF7461" w:rsidP="00FF7461">
      <w:pPr>
        <w:spacing w:line="360" w:lineRule="auto"/>
        <w:jc w:val="both"/>
        <w:rPr>
          <w:color w:val="FF0000"/>
        </w:rPr>
      </w:pPr>
      <w:r>
        <w:rPr>
          <w:b/>
          <w:color w:val="FF0000"/>
        </w:rPr>
        <w:t>Supplementary Figure 1</w:t>
      </w:r>
      <w:r>
        <w:rPr>
          <w:color w:val="FF0000"/>
        </w:rPr>
        <w:t xml:space="preserve"> CXCL5/CXCR2-PXN-PD-L1 axis is implicated in CD8</w:t>
      </w:r>
      <w:r>
        <w:rPr>
          <w:color w:val="FF0000"/>
          <w:vertAlign w:val="superscript"/>
        </w:rPr>
        <w:t>+</w:t>
      </w:r>
      <w:r>
        <w:rPr>
          <w:color w:val="FF0000"/>
        </w:rPr>
        <w:t xml:space="preserve"> T cell-dependent immunity in lung cancer cells. (A) ELISA was performed to detect CXCL5 secretion by the lung cancer cell lines A549/H226. (B) Apoptotic rates of NC and KD-CXCL5 A549/H226 cells were measured by flow cytometry without CD8</w:t>
      </w:r>
      <w:r>
        <w:rPr>
          <w:color w:val="FF0000"/>
          <w:vertAlign w:val="superscript"/>
        </w:rPr>
        <w:t>+</w:t>
      </w:r>
      <w:r>
        <w:rPr>
          <w:color w:val="FF0000"/>
        </w:rPr>
        <w:t xml:space="preserve"> T cell co-culture. (C) Apoptotic rates of A549/H226 cells were measured after treatment with IgG and anti-CXCL5 antibodies without CD8</w:t>
      </w:r>
      <w:r>
        <w:rPr>
          <w:color w:val="FF0000"/>
          <w:vertAlign w:val="superscript"/>
        </w:rPr>
        <w:t>+</w:t>
      </w:r>
      <w:r>
        <w:rPr>
          <w:color w:val="FF0000"/>
        </w:rPr>
        <w:t xml:space="preserve"> T cell co-culture. (D) Western blot was performed to analyze CXCR2 expression in NC and KD-CXCR2 lung cancer cells. (E) RT-PCR was conducted to assess the mRNA expression of PD-L1 in NC and the KD-CXCR2 lung cancer cell lines A549/H226 with or without CXCL5 treatment. (F) A </w:t>
      </w:r>
      <w:proofErr w:type="spellStart"/>
      <w:r>
        <w:rPr>
          <w:color w:val="FF0000"/>
        </w:rPr>
        <w:t>Transwell</w:t>
      </w:r>
      <w:proofErr w:type="spellEnd"/>
      <w:r>
        <w:rPr>
          <w:color w:val="FF0000"/>
        </w:rPr>
        <w:t xml:space="preserve"> assay was performed to examine the chemotaxis of CD8</w:t>
      </w:r>
      <w:r>
        <w:rPr>
          <w:color w:val="FF0000"/>
          <w:vertAlign w:val="superscript"/>
        </w:rPr>
        <w:t>+</w:t>
      </w:r>
      <w:r>
        <w:rPr>
          <w:color w:val="FF0000"/>
        </w:rPr>
        <w:t xml:space="preserve"> T cells in A549/H226 cells treated with NC and CXCL5. (G) </w:t>
      </w:r>
      <w:r>
        <w:rPr>
          <w:iCs/>
          <w:color w:val="FF0000"/>
        </w:rPr>
        <w:t>Detailed</w:t>
      </w:r>
      <w:r>
        <w:rPr>
          <w:color w:val="FF0000"/>
        </w:rPr>
        <w:t xml:space="preserve"> </w:t>
      </w:r>
      <w:r>
        <w:rPr>
          <w:iCs/>
          <w:color w:val="FF0000"/>
        </w:rPr>
        <w:t>p</w:t>
      </w:r>
      <w:r>
        <w:rPr>
          <w:color w:val="FF0000"/>
        </w:rPr>
        <w:t>-values from bioinformatics analysis using TCGA database revealed multiple genes associated with the CXCL5/PD-L1 pathway. (H) Immunofluorescence was utilized to analyze the expression of CXCL5 and PD-L1 in NC and KD-CXCL5 A549/H226 cells. (I) Apoptotic rates of NC and 6-B345QQT-treated A549/H226 cells were measured without CD8</w:t>
      </w:r>
      <w:r>
        <w:rPr>
          <w:color w:val="FF0000"/>
          <w:vertAlign w:val="superscript"/>
        </w:rPr>
        <w:t>+</w:t>
      </w:r>
      <w:r>
        <w:rPr>
          <w:color w:val="FF0000"/>
        </w:rPr>
        <w:t xml:space="preserve"> T cell co-culture. (J) The quantity of PXN predicts the prognosis of patients with lung cancer from</w:t>
      </w:r>
      <w:commentRangeStart w:id="0"/>
      <w:r>
        <w:rPr>
          <w:color w:val="FF0000"/>
        </w:rPr>
        <w:t xml:space="preserve"> TCGA </w:t>
      </w:r>
      <w:commentRangeEnd w:id="0"/>
      <w:r>
        <w:rPr>
          <w:rStyle w:val="CommentReference"/>
          <w:rFonts w:ascii="Times New Roman" w:eastAsia="Microsoft YaHei" w:hAnsi="Times New Roman" w:cs="Times New Roman"/>
        </w:rPr>
        <w:commentReference w:id="0"/>
      </w:r>
      <w:r>
        <w:rPr>
          <w:color w:val="FF0000"/>
        </w:rPr>
        <w:t xml:space="preserve">database. (K) Western blot was performed to analyze PD-L1 expression in A549 in a dose-dependent manner. (L) Apoptotic rates of A549/H226 cells were measured </w:t>
      </w:r>
      <w:commentRangeStart w:id="1"/>
      <w:r>
        <w:rPr>
          <w:color w:val="FF0000"/>
        </w:rPr>
        <w:t>with or without neutrophil co-culture and without CD8</w:t>
      </w:r>
      <w:r>
        <w:rPr>
          <w:color w:val="FF0000"/>
          <w:vertAlign w:val="superscript"/>
        </w:rPr>
        <w:t>+</w:t>
      </w:r>
      <w:r>
        <w:rPr>
          <w:color w:val="FF0000"/>
        </w:rPr>
        <w:t xml:space="preserve"> T cell co-culture. </w:t>
      </w:r>
      <w:commentRangeEnd w:id="1"/>
      <w:r>
        <w:rPr>
          <w:rStyle w:val="CommentReference"/>
          <w:rFonts w:ascii="Times New Roman" w:eastAsia="Microsoft YaHei" w:hAnsi="Times New Roman" w:cs="Times New Roman"/>
        </w:rPr>
        <w:commentReference w:id="1"/>
      </w:r>
      <w:r>
        <w:rPr>
          <w:color w:val="FF0000"/>
        </w:rPr>
        <w:t>The data represent at least three independent experiments and are presented as the mean ± SEM. NS, not significant; *</w:t>
      </w:r>
      <w:r>
        <w:rPr>
          <w:iCs/>
          <w:color w:val="FF0000"/>
        </w:rPr>
        <w:t xml:space="preserve">p &lt; 0.05; **p &lt; 0.01; ***p &lt; </w:t>
      </w:r>
      <w:r>
        <w:rPr>
          <w:iCs/>
          <w:color w:val="FF0000"/>
        </w:rPr>
        <w:lastRenderedPageBreak/>
        <w:t>0.001.</w:t>
      </w:r>
      <w:r w:rsidRPr="00FF7461">
        <w:rPr>
          <w:noProof/>
        </w:rPr>
        <w:t xml:space="preserve"> </w:t>
      </w:r>
      <w:r>
        <w:rPr>
          <w:noProof/>
        </w:rPr>
        <w:drawing>
          <wp:inline distT="0" distB="0" distL="0" distR="0" wp14:anchorId="3EDCF746" wp14:editId="3E0713B1">
            <wp:extent cx="5134227" cy="8491995"/>
            <wp:effectExtent l="0" t="0" r="0" b="0"/>
            <wp:docPr id="1" name="Picture 1" descr="C:\Users\acer\AppData\Local\Temp\{70501842-F24F-44D0-A09C-91D6E8001026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Temp\{70501842-F24F-44D0-A09C-91D6E8001026}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694" cy="849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461" w:rsidRDefault="00FF7461" w:rsidP="00FF7461">
      <w:pPr>
        <w:pStyle w:val="NormalWeb"/>
      </w:pPr>
    </w:p>
    <w:p w:rsidR="00FF7461" w:rsidRDefault="00FF7461" w:rsidP="00FF7461">
      <w:pPr>
        <w:spacing w:line="360" w:lineRule="auto"/>
        <w:jc w:val="both"/>
        <w:rPr>
          <w:color w:val="FF0000"/>
        </w:rPr>
      </w:pPr>
      <w:r>
        <w:rPr>
          <w:b/>
          <w:color w:val="FF0000"/>
        </w:rPr>
        <w:t>Supplementary Figure 2</w:t>
      </w:r>
      <w:r>
        <w:rPr>
          <w:color w:val="FF0000"/>
        </w:rPr>
        <w:t xml:space="preserve"> Lung cancer cell-educated PD-L1</w:t>
      </w:r>
      <w:r>
        <w:rPr>
          <w:color w:val="FF0000"/>
          <w:vertAlign w:val="superscript"/>
        </w:rPr>
        <w:t>+</w:t>
      </w:r>
      <w:r>
        <w:rPr>
          <w:color w:val="FF0000"/>
        </w:rPr>
        <w:t xml:space="preserve"> neutrophils promote CD8</w:t>
      </w:r>
      <w:r>
        <w:rPr>
          <w:color w:val="FF0000"/>
          <w:vertAlign w:val="superscript"/>
        </w:rPr>
        <w:t>+</w:t>
      </w:r>
      <w:r>
        <w:rPr>
          <w:color w:val="FF0000"/>
        </w:rPr>
        <w:t xml:space="preserve"> T cell exhaustion by activation. (A) Immunofluorescence was employed to analyze PD-L1 expression on lung cancer-stimulated neutrophils and tumor-infiltrating neutrophils. (B) Western blot was performed to analyze CD54 expression in neutrophils with or without A549/H226 co-</w:t>
      </w:r>
      <w:proofErr w:type="spellStart"/>
      <w:r>
        <w:rPr>
          <w:color w:val="FF0000"/>
        </w:rPr>
        <w:t>culture.Flow</w:t>
      </w:r>
      <w:proofErr w:type="spellEnd"/>
      <w:r>
        <w:rPr>
          <w:color w:val="FF0000"/>
        </w:rPr>
        <w:t xml:space="preserve"> cytometry was conducted to analyze the apoptosis (C) and proliferation (D) of CD8</w:t>
      </w:r>
      <w:r>
        <w:rPr>
          <w:color w:val="FF0000"/>
          <w:vertAlign w:val="superscript"/>
        </w:rPr>
        <w:t>+</w:t>
      </w:r>
      <w:r>
        <w:rPr>
          <w:color w:val="FF0000"/>
        </w:rPr>
        <w:t xml:space="preserve"> T cells with or without neutrophil co-culture. (E, F) ELISA was performed to assess the concentration of TNF-α and IFN-γ in CD8</w:t>
      </w:r>
      <w:r>
        <w:rPr>
          <w:color w:val="FF0000"/>
          <w:vertAlign w:val="superscript"/>
        </w:rPr>
        <w:t>+</w:t>
      </w:r>
      <w:r>
        <w:rPr>
          <w:color w:val="FF0000"/>
        </w:rPr>
        <w:t xml:space="preserve"> T cell media with or without neutrophil co-culture. (G) Immunofluorescence was employed to analyze PD-1 and TIM-3 expression on unstimulated neutrophils, PD-L1</w:t>
      </w:r>
      <w:r>
        <w:rPr>
          <w:color w:val="FF0000"/>
          <w:vertAlign w:val="superscript"/>
        </w:rPr>
        <w:t>-</w:t>
      </w:r>
      <w:r>
        <w:rPr>
          <w:color w:val="FF0000"/>
        </w:rPr>
        <w:t xml:space="preserve"> neutrophils, and PD-L1</w:t>
      </w:r>
      <w:r>
        <w:rPr>
          <w:color w:val="FF0000"/>
          <w:vertAlign w:val="superscript"/>
        </w:rPr>
        <w:t>+</w:t>
      </w:r>
      <w:r>
        <w:rPr>
          <w:color w:val="FF0000"/>
        </w:rPr>
        <w:t xml:space="preserve"> neutrophils. (H) The quantity of PD-L1 predicts the prognosis of patients with lung cancer. The data represent at least three independent experiments and are presented as the mean ± SEM. NS, not significant; *p &lt; 0.05; **p &lt; 0.01; *** p &lt; 0.001.</w:t>
      </w:r>
    </w:p>
    <w:p w:rsidR="00FF7461" w:rsidRDefault="00FF7461" w:rsidP="00FF7461">
      <w:pPr>
        <w:pStyle w:val="NormalWeb"/>
      </w:pPr>
      <w:bookmarkStart w:id="2" w:name="_GoBack"/>
      <w:r>
        <w:rPr>
          <w:noProof/>
        </w:rPr>
        <w:lastRenderedPageBreak/>
        <w:drawing>
          <wp:inline distT="0" distB="0" distL="0" distR="0">
            <wp:extent cx="4655114" cy="7772400"/>
            <wp:effectExtent l="0" t="0" r="0" b="0"/>
            <wp:docPr id="2" name="Picture 2" descr="C:\Users\acer\AppData\Local\Temp\{39341FD0-B343-486F-8D16-BB042AA031CC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Temp\{39341FD0-B343-486F-8D16-BB042AA031CC}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197" cy="778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08310F" w:rsidRPr="00206F65" w:rsidRDefault="0008310F" w:rsidP="0008310F">
      <w:pPr>
        <w:spacing w:line="220" w:lineRule="atLeast"/>
        <w:ind w:left="240" w:hangingChars="100" w:hanging="240"/>
        <w:jc w:val="both"/>
        <w:rPr>
          <w:rFonts w:ascii="Times New Roman" w:eastAsia="SimSun" w:hAnsi="Times New Roman" w:cs="Times New Roman"/>
          <w:sz w:val="24"/>
          <w:szCs w:val="24"/>
        </w:rPr>
      </w:pPr>
    </w:p>
    <w:sectPr w:rsidR="0008310F" w:rsidRPr="00206F6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Editor" w:date="2024-07-12T20:51:00Z" w:initials="E">
    <w:p w:rsidR="00FF7461" w:rsidRDefault="00FF7461" w:rsidP="00FF7461">
      <w:pPr>
        <w:rPr>
          <w:rFonts w:eastAsia="Times New Roman"/>
        </w:rPr>
      </w:pPr>
      <w:r>
        <w:rPr>
          <w:rStyle w:val="CommentReference"/>
        </w:rPr>
        <w:annotationRef/>
      </w:r>
      <w:r>
        <w:rPr>
          <w:rFonts w:eastAsia="Microsoft YaHei"/>
          <w:color w:val="000000"/>
          <w:sz w:val="20"/>
          <w:szCs w:val="20"/>
        </w:rPr>
        <w:t>The abbreviation “TCGA” includes the article “the”; therefore, “the TCGA” is redundant.</w:t>
      </w:r>
    </w:p>
  </w:comment>
  <w:comment w:id="1" w:author="Editor" w:date="2024-07-12T20:51:00Z" w:initials="E">
    <w:p w:rsidR="00FF7461" w:rsidRDefault="00FF7461" w:rsidP="00FF7461">
      <w:r>
        <w:rPr>
          <w:rStyle w:val="CommentReference"/>
        </w:rPr>
        <w:annotationRef/>
      </w:r>
      <w:r>
        <w:rPr>
          <w:rFonts w:eastAsia="Microsoft YaHei"/>
          <w:color w:val="000000"/>
          <w:sz w:val="20"/>
          <w:szCs w:val="20"/>
        </w:rPr>
        <w:t xml:space="preserve">This was unclear. Please verify that your intended meaning is conveyed.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13CC9EDB" w15:done="0"/>
  <w15:commentEx w15:paraId="49C64337" w15:done="0"/>
  <w15:commentEx w15:paraId="23A4308F" w15:done="0"/>
  <w15:commentEx w15:paraId="3F7BDD8D" w15:done="0"/>
  <w15:commentEx w15:paraId="4171ADE9" w15:done="0"/>
  <w15:commentEx w15:paraId="25493EA4" w15:done="0"/>
  <w15:commentEx w15:paraId="50C8136A" w15:done="0"/>
  <w15:commentEx w15:paraId="27BAEE99" w15:done="0"/>
  <w15:commentEx w15:paraId="45325E77" w15:done="0"/>
  <w15:commentEx w15:paraId="3FBDA8B2" w15:done="0"/>
  <w15:commentEx w15:paraId="4BCA8803" w15:done="0"/>
  <w15:commentEx w15:paraId="01C208B9" w15:done="0"/>
  <w15:commentEx w15:paraId="7238A3ED" w15:done="0"/>
  <w15:commentEx w15:paraId="1F26143E" w15:done="0"/>
  <w15:commentEx w15:paraId="213A7A5C" w15:done="0"/>
  <w15:commentEx w15:paraId="7C6A009A" w15:done="0"/>
  <w15:commentEx w15:paraId="12CF412E" w15:done="0"/>
  <w15:commentEx w15:paraId="42752ADC" w15:done="0"/>
  <w15:commentEx w15:paraId="11B12138" w15:done="0"/>
  <w15:commentEx w15:paraId="4BBECC2C" w15:done="0"/>
  <w15:commentEx w15:paraId="682DCC41" w15:done="0"/>
  <w15:commentEx w15:paraId="5F03C8F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80A1BA5" w16cex:dateUtc="2024-06-20T14:46:00Z"/>
  <w16cex:commentExtensible w16cex:durableId="366EE710" w16cex:dateUtc="2024-06-19T11:18:00Z"/>
  <w16cex:commentExtensible w16cex:durableId="63C4117B" w16cex:dateUtc="2024-06-19T11:27:00Z"/>
  <w16cex:commentExtensible w16cex:durableId="3504ACAA" w16cex:dateUtc="2024-06-19T11:43:00Z"/>
  <w16cex:commentExtensible w16cex:durableId="64477204" w16cex:dateUtc="2024-06-19T11:32:00Z"/>
  <w16cex:commentExtensible w16cex:durableId="011C368C" w16cex:dateUtc="2024-06-19T11:52:00Z"/>
  <w16cex:commentExtensible w16cex:durableId="7C791DB3" w16cex:dateUtc="2024-06-19T11:55:00Z"/>
  <w16cex:commentExtensible w16cex:durableId="7E373342" w16cex:dateUtc="2024-06-19T13:09:00Z"/>
  <w16cex:commentExtensible w16cex:durableId="188C680A" w16cex:dateUtc="2024-06-20T09:29:00Z"/>
  <w16cex:commentExtensible w16cex:durableId="5DC28BC1" w16cex:dateUtc="2024-06-20T08:57:00Z"/>
  <w16cex:commentExtensible w16cex:durableId="4744ABC9" w16cex:dateUtc="2024-06-20T09:26:00Z"/>
  <w16cex:commentExtensible w16cex:durableId="18A3B7E3" w16cex:dateUtc="2024-06-20T13:19:00Z"/>
  <w16cex:commentExtensible w16cex:durableId="59B23345" w16cex:dateUtc="2024-06-20T13:28:00Z"/>
  <w16cex:commentExtensible w16cex:durableId="3C2AD277" w16cex:dateUtc="2024-06-20T13:29:00Z"/>
  <w16cex:commentExtensible w16cex:durableId="67F3DB3D" w16cex:dateUtc="2024-06-20T13:40:00Z"/>
  <w16cex:commentExtensible w16cex:durableId="575B5A38" w16cex:dateUtc="2024-06-20T13:40:00Z"/>
  <w16cex:commentExtensible w16cex:durableId="4237DE56" w16cex:dateUtc="2024-06-20T13:43:00Z"/>
  <w16cex:commentExtensible w16cex:durableId="061E8F53" w16cex:dateUtc="2024-06-20T13:45:00Z"/>
  <w16cex:commentExtensible w16cex:durableId="4262F7B3" w16cex:dateUtc="2024-06-20T13:46:00Z"/>
  <w16cex:commentExtensible w16cex:durableId="612E5D18" w16cex:dateUtc="2024-06-20T14:43:00Z"/>
  <w16cex:commentExtensible w16cex:durableId="1B204FF9" w16cex:dateUtc="2024-06-20T14:30:00Z"/>
  <w16cex:commentExtensible w16cex:durableId="1576C04D" w16cex:dateUtc="2024-06-20T14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3CC9EDB" w16cid:durableId="580A1BA5"/>
  <w16cid:commentId w16cid:paraId="49C64337" w16cid:durableId="366EE710"/>
  <w16cid:commentId w16cid:paraId="23A4308F" w16cid:durableId="63C4117B"/>
  <w16cid:commentId w16cid:paraId="3F7BDD8D" w16cid:durableId="3504ACAA"/>
  <w16cid:commentId w16cid:paraId="4171ADE9" w16cid:durableId="64477204"/>
  <w16cid:commentId w16cid:paraId="25493EA4" w16cid:durableId="011C368C"/>
  <w16cid:commentId w16cid:paraId="50C8136A" w16cid:durableId="7C791DB3"/>
  <w16cid:commentId w16cid:paraId="27BAEE99" w16cid:durableId="7E373342"/>
  <w16cid:commentId w16cid:paraId="45325E77" w16cid:durableId="188C680A"/>
  <w16cid:commentId w16cid:paraId="3FBDA8B2" w16cid:durableId="5DC28BC1"/>
  <w16cid:commentId w16cid:paraId="4BCA8803" w16cid:durableId="4744ABC9"/>
  <w16cid:commentId w16cid:paraId="01C208B9" w16cid:durableId="18A3B7E3"/>
  <w16cid:commentId w16cid:paraId="7238A3ED" w16cid:durableId="59B23345"/>
  <w16cid:commentId w16cid:paraId="1F26143E" w16cid:durableId="3C2AD277"/>
  <w16cid:commentId w16cid:paraId="213A7A5C" w16cid:durableId="67F3DB3D"/>
  <w16cid:commentId w16cid:paraId="7C6A009A" w16cid:durableId="575B5A38"/>
  <w16cid:commentId w16cid:paraId="12CF412E" w16cid:durableId="4237DE56"/>
  <w16cid:commentId w16cid:paraId="42752ADC" w16cid:durableId="061E8F53"/>
  <w16cid:commentId w16cid:paraId="11B12138" w16cid:durableId="4262F7B3"/>
  <w16cid:commentId w16cid:paraId="4BBECC2C" w16cid:durableId="612E5D18"/>
  <w16cid:commentId w16cid:paraId="682DCC41" w16cid:durableId="1B204FF9"/>
  <w16cid:commentId w16cid:paraId="5F03C8FE" w16cid:durableId="1576C04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FF2" w:rsidRDefault="005C2FF2" w:rsidP="002D6697">
      <w:pPr>
        <w:spacing w:after="0"/>
      </w:pPr>
      <w:r>
        <w:separator/>
      </w:r>
    </w:p>
  </w:endnote>
  <w:endnote w:type="continuationSeparator" w:id="0">
    <w:p w:rsidR="005C2FF2" w:rsidRDefault="005C2FF2" w:rsidP="002D66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FF2" w:rsidRDefault="005C2FF2" w:rsidP="002D6697">
      <w:pPr>
        <w:spacing w:after="0"/>
      </w:pPr>
      <w:r>
        <w:separator/>
      </w:r>
    </w:p>
  </w:footnote>
  <w:footnote w:type="continuationSeparator" w:id="0">
    <w:p w:rsidR="005C2FF2" w:rsidRDefault="005C2FF2" w:rsidP="002D669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6928"/>
    <w:multiLevelType w:val="hybridMultilevel"/>
    <w:tmpl w:val="E264CDBA"/>
    <w:lvl w:ilvl="0" w:tplc="A78C28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6B02BAF"/>
    <w:multiLevelType w:val="hybridMultilevel"/>
    <w:tmpl w:val="37B4849A"/>
    <w:lvl w:ilvl="0" w:tplc="7862EB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Editor">
    <w15:presenceInfo w15:providerId="None" w15:userId="Editor"/>
  </w15:person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40"/>
  <w:bordersDoNotSurroundHeader/>
  <w:bordersDoNotSurroundFooter/>
  <w:hideSpellingErrors/>
  <w:hideGrammaticalErrors/>
  <w:proofState w:spelling="clean" w:grammar="clean"/>
  <w:revisionView w:markup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MzYxMTU2tzAwN7KwNLBQ0lEKTi0uzszPAykwrAUAqZuDzCwAAAA="/>
  </w:docVars>
  <w:rsids>
    <w:rsidRoot w:val="00D31D50"/>
    <w:rsid w:val="00002849"/>
    <w:rsid w:val="00021E2C"/>
    <w:rsid w:val="00024F3E"/>
    <w:rsid w:val="00026A83"/>
    <w:rsid w:val="00026D83"/>
    <w:rsid w:val="000326BE"/>
    <w:rsid w:val="00036400"/>
    <w:rsid w:val="00050837"/>
    <w:rsid w:val="0006315D"/>
    <w:rsid w:val="0008310F"/>
    <w:rsid w:val="000961F2"/>
    <w:rsid w:val="000A03B3"/>
    <w:rsid w:val="000A1431"/>
    <w:rsid w:val="000A41A2"/>
    <w:rsid w:val="000A5A8D"/>
    <w:rsid w:val="000A7A17"/>
    <w:rsid w:val="000B121D"/>
    <w:rsid w:val="000B3020"/>
    <w:rsid w:val="000B5892"/>
    <w:rsid w:val="000C232A"/>
    <w:rsid w:val="000D059A"/>
    <w:rsid w:val="000D2552"/>
    <w:rsid w:val="000D474E"/>
    <w:rsid w:val="000E5D10"/>
    <w:rsid w:val="00102956"/>
    <w:rsid w:val="00103684"/>
    <w:rsid w:val="00103CD9"/>
    <w:rsid w:val="00117C4F"/>
    <w:rsid w:val="00121EF9"/>
    <w:rsid w:val="001261A6"/>
    <w:rsid w:val="0012798B"/>
    <w:rsid w:val="00130A72"/>
    <w:rsid w:val="00136522"/>
    <w:rsid w:val="00141B9A"/>
    <w:rsid w:val="00143524"/>
    <w:rsid w:val="00162D96"/>
    <w:rsid w:val="001A0C52"/>
    <w:rsid w:val="001C4B72"/>
    <w:rsid w:val="001D1F8B"/>
    <w:rsid w:val="001D79F7"/>
    <w:rsid w:val="001E230B"/>
    <w:rsid w:val="00206F65"/>
    <w:rsid w:val="002134F4"/>
    <w:rsid w:val="002251E2"/>
    <w:rsid w:val="00231844"/>
    <w:rsid w:val="00236B9C"/>
    <w:rsid w:val="0026143B"/>
    <w:rsid w:val="002714FB"/>
    <w:rsid w:val="002A1FDC"/>
    <w:rsid w:val="002A35AD"/>
    <w:rsid w:val="002A5A36"/>
    <w:rsid w:val="002B2627"/>
    <w:rsid w:val="002B340B"/>
    <w:rsid w:val="002C3D82"/>
    <w:rsid w:val="002C3E42"/>
    <w:rsid w:val="002C4BCB"/>
    <w:rsid w:val="002D6697"/>
    <w:rsid w:val="002E005A"/>
    <w:rsid w:val="00300FA0"/>
    <w:rsid w:val="0030112B"/>
    <w:rsid w:val="00302ECC"/>
    <w:rsid w:val="00314669"/>
    <w:rsid w:val="00315A1E"/>
    <w:rsid w:val="00320D03"/>
    <w:rsid w:val="00323B43"/>
    <w:rsid w:val="00340657"/>
    <w:rsid w:val="00340D19"/>
    <w:rsid w:val="003415BC"/>
    <w:rsid w:val="00352D96"/>
    <w:rsid w:val="003539F5"/>
    <w:rsid w:val="00355507"/>
    <w:rsid w:val="0036017C"/>
    <w:rsid w:val="00377979"/>
    <w:rsid w:val="003966A8"/>
    <w:rsid w:val="003D37D8"/>
    <w:rsid w:val="003D4045"/>
    <w:rsid w:val="003E3602"/>
    <w:rsid w:val="003F16B9"/>
    <w:rsid w:val="003F5E10"/>
    <w:rsid w:val="00401FFA"/>
    <w:rsid w:val="00403480"/>
    <w:rsid w:val="004249C3"/>
    <w:rsid w:val="00426133"/>
    <w:rsid w:val="00432523"/>
    <w:rsid w:val="0043264F"/>
    <w:rsid w:val="004358AB"/>
    <w:rsid w:val="00453062"/>
    <w:rsid w:val="004562AA"/>
    <w:rsid w:val="00465AC9"/>
    <w:rsid w:val="0048756F"/>
    <w:rsid w:val="004A46C6"/>
    <w:rsid w:val="004A4B6A"/>
    <w:rsid w:val="004C5E89"/>
    <w:rsid w:val="004D5529"/>
    <w:rsid w:val="004D77C1"/>
    <w:rsid w:val="004E50C3"/>
    <w:rsid w:val="004E6BC7"/>
    <w:rsid w:val="004F026B"/>
    <w:rsid w:val="004F0508"/>
    <w:rsid w:val="004F77F1"/>
    <w:rsid w:val="0051566F"/>
    <w:rsid w:val="00556E7E"/>
    <w:rsid w:val="00560843"/>
    <w:rsid w:val="00571525"/>
    <w:rsid w:val="00571737"/>
    <w:rsid w:val="00574C49"/>
    <w:rsid w:val="0057659C"/>
    <w:rsid w:val="00594B71"/>
    <w:rsid w:val="005A07B3"/>
    <w:rsid w:val="005A5EB9"/>
    <w:rsid w:val="005B1C2A"/>
    <w:rsid w:val="005C2FF2"/>
    <w:rsid w:val="005C45C3"/>
    <w:rsid w:val="005C4B75"/>
    <w:rsid w:val="005E01F1"/>
    <w:rsid w:val="005E25D4"/>
    <w:rsid w:val="005E4BD1"/>
    <w:rsid w:val="006034FB"/>
    <w:rsid w:val="006101F0"/>
    <w:rsid w:val="00610387"/>
    <w:rsid w:val="00614956"/>
    <w:rsid w:val="00616C77"/>
    <w:rsid w:val="00616E82"/>
    <w:rsid w:val="0063782D"/>
    <w:rsid w:val="00660CD4"/>
    <w:rsid w:val="0066453A"/>
    <w:rsid w:val="006700B5"/>
    <w:rsid w:val="00671996"/>
    <w:rsid w:val="006830A5"/>
    <w:rsid w:val="006A11BA"/>
    <w:rsid w:val="006A37F7"/>
    <w:rsid w:val="006A605D"/>
    <w:rsid w:val="006C77BD"/>
    <w:rsid w:val="006D1057"/>
    <w:rsid w:val="006D2334"/>
    <w:rsid w:val="006D6460"/>
    <w:rsid w:val="006E040A"/>
    <w:rsid w:val="006E7207"/>
    <w:rsid w:val="006E792D"/>
    <w:rsid w:val="006F05ED"/>
    <w:rsid w:val="007066F4"/>
    <w:rsid w:val="007105B5"/>
    <w:rsid w:val="0071277E"/>
    <w:rsid w:val="0071357D"/>
    <w:rsid w:val="00717C19"/>
    <w:rsid w:val="0072543F"/>
    <w:rsid w:val="00730481"/>
    <w:rsid w:val="00734D67"/>
    <w:rsid w:val="00735719"/>
    <w:rsid w:val="00737AAD"/>
    <w:rsid w:val="007407E9"/>
    <w:rsid w:val="007C0F66"/>
    <w:rsid w:val="007D218A"/>
    <w:rsid w:val="007E139C"/>
    <w:rsid w:val="007E152B"/>
    <w:rsid w:val="007F7FF7"/>
    <w:rsid w:val="008015E1"/>
    <w:rsid w:val="00802C8A"/>
    <w:rsid w:val="00807F62"/>
    <w:rsid w:val="00816EAB"/>
    <w:rsid w:val="00817508"/>
    <w:rsid w:val="00852EB0"/>
    <w:rsid w:val="00860B7E"/>
    <w:rsid w:val="00873ABD"/>
    <w:rsid w:val="008745DE"/>
    <w:rsid w:val="008806C7"/>
    <w:rsid w:val="00881BA8"/>
    <w:rsid w:val="00883A3C"/>
    <w:rsid w:val="008B7726"/>
    <w:rsid w:val="008C2843"/>
    <w:rsid w:val="008D0205"/>
    <w:rsid w:val="008D200C"/>
    <w:rsid w:val="008D2233"/>
    <w:rsid w:val="008E0049"/>
    <w:rsid w:val="008E64F0"/>
    <w:rsid w:val="008F6221"/>
    <w:rsid w:val="008F7E67"/>
    <w:rsid w:val="00905F40"/>
    <w:rsid w:val="00917AF4"/>
    <w:rsid w:val="009279A7"/>
    <w:rsid w:val="00927FED"/>
    <w:rsid w:val="0093268F"/>
    <w:rsid w:val="00940DFE"/>
    <w:rsid w:val="00950BC5"/>
    <w:rsid w:val="00996712"/>
    <w:rsid w:val="009B389D"/>
    <w:rsid w:val="009B5AE4"/>
    <w:rsid w:val="009B7FDC"/>
    <w:rsid w:val="009C7C55"/>
    <w:rsid w:val="009D2FAF"/>
    <w:rsid w:val="009D3BFF"/>
    <w:rsid w:val="009D683F"/>
    <w:rsid w:val="009D6F22"/>
    <w:rsid w:val="009F03F4"/>
    <w:rsid w:val="009F1B24"/>
    <w:rsid w:val="009F77CD"/>
    <w:rsid w:val="00A06870"/>
    <w:rsid w:val="00A21443"/>
    <w:rsid w:val="00A221CE"/>
    <w:rsid w:val="00A23F2E"/>
    <w:rsid w:val="00A27375"/>
    <w:rsid w:val="00A3733E"/>
    <w:rsid w:val="00A44786"/>
    <w:rsid w:val="00A57D49"/>
    <w:rsid w:val="00A738D6"/>
    <w:rsid w:val="00AB7CB4"/>
    <w:rsid w:val="00AC3D92"/>
    <w:rsid w:val="00AF6665"/>
    <w:rsid w:val="00B1323A"/>
    <w:rsid w:val="00B2067A"/>
    <w:rsid w:val="00B2309D"/>
    <w:rsid w:val="00B56B16"/>
    <w:rsid w:val="00B74CB8"/>
    <w:rsid w:val="00B75B32"/>
    <w:rsid w:val="00B819CF"/>
    <w:rsid w:val="00B90935"/>
    <w:rsid w:val="00BA3F28"/>
    <w:rsid w:val="00BC3242"/>
    <w:rsid w:val="00BC7EC5"/>
    <w:rsid w:val="00BD7693"/>
    <w:rsid w:val="00BE06E5"/>
    <w:rsid w:val="00BE5047"/>
    <w:rsid w:val="00C26338"/>
    <w:rsid w:val="00C61E1D"/>
    <w:rsid w:val="00C75AF4"/>
    <w:rsid w:val="00C818DF"/>
    <w:rsid w:val="00C8783D"/>
    <w:rsid w:val="00C91BBA"/>
    <w:rsid w:val="00C95F6A"/>
    <w:rsid w:val="00C97F25"/>
    <w:rsid w:val="00CA43BD"/>
    <w:rsid w:val="00CA536A"/>
    <w:rsid w:val="00CA71AE"/>
    <w:rsid w:val="00CB1554"/>
    <w:rsid w:val="00CD19E2"/>
    <w:rsid w:val="00CD1EE8"/>
    <w:rsid w:val="00CF26F0"/>
    <w:rsid w:val="00CF6A83"/>
    <w:rsid w:val="00D20089"/>
    <w:rsid w:val="00D20EB1"/>
    <w:rsid w:val="00D31D50"/>
    <w:rsid w:val="00D47093"/>
    <w:rsid w:val="00D47695"/>
    <w:rsid w:val="00D72D01"/>
    <w:rsid w:val="00D735AE"/>
    <w:rsid w:val="00D74E11"/>
    <w:rsid w:val="00D85C18"/>
    <w:rsid w:val="00D91D11"/>
    <w:rsid w:val="00DA17E0"/>
    <w:rsid w:val="00DA5A92"/>
    <w:rsid w:val="00DB234B"/>
    <w:rsid w:val="00DB5124"/>
    <w:rsid w:val="00DC74A0"/>
    <w:rsid w:val="00DE121C"/>
    <w:rsid w:val="00DE3384"/>
    <w:rsid w:val="00DE34E6"/>
    <w:rsid w:val="00E02427"/>
    <w:rsid w:val="00E11404"/>
    <w:rsid w:val="00E17307"/>
    <w:rsid w:val="00E202B0"/>
    <w:rsid w:val="00E27504"/>
    <w:rsid w:val="00E33038"/>
    <w:rsid w:val="00E33B7C"/>
    <w:rsid w:val="00E37A4C"/>
    <w:rsid w:val="00E576AE"/>
    <w:rsid w:val="00E74825"/>
    <w:rsid w:val="00E74D25"/>
    <w:rsid w:val="00E87636"/>
    <w:rsid w:val="00E953B6"/>
    <w:rsid w:val="00E9655D"/>
    <w:rsid w:val="00EC560D"/>
    <w:rsid w:val="00EC6A08"/>
    <w:rsid w:val="00EC6B05"/>
    <w:rsid w:val="00EE72C9"/>
    <w:rsid w:val="00F04AAF"/>
    <w:rsid w:val="00F20633"/>
    <w:rsid w:val="00F765BA"/>
    <w:rsid w:val="00F906FA"/>
    <w:rsid w:val="00FA354F"/>
    <w:rsid w:val="00FA648F"/>
    <w:rsid w:val="00FA662C"/>
    <w:rsid w:val="00FB64AD"/>
    <w:rsid w:val="00FD19B6"/>
    <w:rsid w:val="00FE2157"/>
    <w:rsid w:val="00FF216C"/>
    <w:rsid w:val="00FF3544"/>
    <w:rsid w:val="00FF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10F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D669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D6697"/>
    <w:rPr>
      <w:rFonts w:ascii="Tahoma" w:hAnsi="Tahoma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2D669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D6697"/>
    <w:rPr>
      <w:rFonts w:ascii="Tahoma" w:hAnsi="Tahoma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C0F6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20EB1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4669"/>
    <w:pPr>
      <w:spacing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669"/>
    <w:rPr>
      <w:rFonts w:ascii="Tahoma" w:hAnsi="Tahoma"/>
      <w:sz w:val="18"/>
      <w:szCs w:val="18"/>
    </w:rPr>
  </w:style>
  <w:style w:type="paragraph" w:styleId="Revision">
    <w:name w:val="Revision"/>
    <w:hidden/>
    <w:uiPriority w:val="99"/>
    <w:semiHidden/>
    <w:rsid w:val="00D74E11"/>
    <w:pPr>
      <w:spacing w:after="0" w:line="240" w:lineRule="auto"/>
    </w:pPr>
    <w:rPr>
      <w:rFonts w:ascii="Tahoma" w:hAnsi="Tahoma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576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76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76AE"/>
    <w:rPr>
      <w:rFonts w:ascii="Tahoma" w:hAnsi="Tahom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76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76AE"/>
    <w:rPr>
      <w:rFonts w:ascii="Tahoma" w:hAnsi="Tahoma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7461"/>
    <w:pPr>
      <w:adjustRightInd/>
      <w:snapToGri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9812</TotalTime>
  <Pages>4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acer</cp:lastModifiedBy>
  <cp:revision>84</cp:revision>
  <dcterms:created xsi:type="dcterms:W3CDTF">2008-09-11T17:20:00Z</dcterms:created>
  <dcterms:modified xsi:type="dcterms:W3CDTF">2024-07-12T18:53:00Z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ebfd39c03922d4d552d043853bf671f666d368429f71774da8e3d5e1d1a21292</vt:lpwstr>
  </property>
</Properties>
</file>