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spacing w:before="0" w:after="0" w:line="480" w:lineRule="auto"/>
        <w:rPr>
          <w:rFonts w:hint="default" w:ascii="Times New Roman" w:hAnsi="Times New Roman" w:cs="Times New Roman"/>
          <w:i w:val="0"/>
          <w:iCs/>
        </w:rPr>
      </w:pPr>
      <w:r>
        <w:rPr>
          <w:rFonts w:hint="default" w:ascii="Times New Roman" w:hAnsi="Times New Roman" w:cs="Times New Roman"/>
          <w:i w:val="0"/>
          <w:iCs/>
        </w:rPr>
        <w:t>Supplementary Material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</w:rPr>
        <w:t xml:space="preserve">Supplementary </w:t>
      </w:r>
      <w:r>
        <w:rPr>
          <w:rFonts w:hint="default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Figures</w:t>
      </w:r>
    </w:p>
    <w:p>
      <w:pPr>
        <w:widowControl w:val="0"/>
        <w:spacing w:before="0" w:after="0" w:line="360" w:lineRule="auto"/>
        <w:jc w:val="center"/>
        <w:rPr>
          <w:rFonts w:hint="default" w:ascii="Times New Roman" w:hAnsi="Times New Roman" w:cs="Times New Roman"/>
          <w:b/>
          <w:bCs/>
          <w:szCs w:val="32"/>
        </w:rPr>
      </w:pPr>
      <w:r>
        <w:rPr>
          <w:rFonts w:hint="default" w:ascii="Times New Roman" w:hAnsi="Times New Roman" w:eastAsia="宋体" w:cs="Times New Roman"/>
          <w:b/>
          <w:kern w:val="2"/>
          <w:szCs w:val="32"/>
          <w:lang w:eastAsia="zh-CN" w:bidi="ar"/>
        </w:rPr>
        <w:drawing>
          <wp:inline distT="0" distB="0" distL="114300" distR="114300">
            <wp:extent cx="5270500" cy="5270500"/>
            <wp:effectExtent l="0" t="0" r="0" b="0"/>
            <wp:docPr id="4" name="图片 5" descr="supple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supple Fig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Supplementary Figure 1. TREM2 expression is up-regulated in mononuclear macrophages of lung cancer.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(A)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Flow cytometry loop gate strategy and expression levels of TREM2 in human peripheral blood immune cells of lung cancer patients and healthy donors. </w:t>
      </w: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 xml:space="preserve">(B) 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>The mean fluorescence intensity (MFI) of TREM2 expression on CD14</w:t>
      </w:r>
      <w:r>
        <w:rPr>
          <w:rFonts w:hint="default" w:ascii="Times New Roman" w:hAnsi="Times New Roman" w:eastAsia="宋体" w:cs="Times New Roman"/>
          <w:kern w:val="2"/>
          <w:szCs w:val="32"/>
          <w:vertAlign w:val="superscript"/>
          <w:lang w:eastAsia="zh-CN" w:bidi="ar"/>
        </w:rPr>
        <w:t>+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monocytes from healthy donors (n=64) and lung cancer patients (n=123) with different TNM stages were analyzed by flow cytometry. </w:t>
      </w: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(C)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Correlation analyses between TREM2 expression abundance and tumor-infiltrating immune cells in lung cancer in the TCGA database. </w:t>
      </w: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(D)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The expression proportion of TREM2 in lung-infiltrating macrophages and spleen monocytes of lung cancer-bearing mice and healthy mice were detected by flow cytometry. Data represent mean ± SD from three experiments. *, </w:t>
      </w:r>
      <w:r>
        <w:rPr>
          <w:rFonts w:hint="default" w:ascii="Times New Roman" w:hAnsi="Times New Roman" w:eastAsia="宋体" w:cs="Times New Roman"/>
          <w:i/>
          <w:iCs/>
          <w:kern w:val="2"/>
          <w:szCs w:val="32"/>
          <w:lang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&lt; 0.05; **, </w:t>
      </w:r>
      <w:r>
        <w:rPr>
          <w:rFonts w:hint="default" w:ascii="Times New Roman" w:hAnsi="Times New Roman" w:eastAsia="宋体" w:cs="Times New Roman"/>
          <w:i/>
          <w:iCs/>
          <w:kern w:val="2"/>
          <w:szCs w:val="32"/>
          <w:lang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&lt; 0.01; ***, </w:t>
      </w:r>
      <w:r>
        <w:rPr>
          <w:rFonts w:hint="default" w:ascii="Times New Roman" w:hAnsi="Times New Roman" w:eastAsia="宋体" w:cs="Times New Roman"/>
          <w:i/>
          <w:iCs/>
          <w:kern w:val="2"/>
          <w:szCs w:val="32"/>
          <w:lang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&lt; 0.001.</w:t>
      </w:r>
    </w:p>
    <w:p>
      <w:pPr>
        <w:widowControl w:val="0"/>
        <w:spacing w:before="0" w:after="0" w:line="360" w:lineRule="auto"/>
        <w:jc w:val="center"/>
        <w:rPr>
          <w:rFonts w:hint="default" w:ascii="Times New Roman" w:hAnsi="Times New Roman" w:cs="Times New Roman"/>
          <w:b/>
          <w:bCs/>
          <w:szCs w:val="32"/>
        </w:rPr>
      </w:pPr>
      <w:r>
        <w:rPr>
          <w:rFonts w:hint="default" w:ascii="Times New Roman" w:hAnsi="Times New Roman" w:eastAsia="宋体" w:cs="Times New Roman"/>
          <w:b/>
          <w:kern w:val="2"/>
          <w:szCs w:val="32"/>
          <w:lang w:eastAsia="zh-CN" w:bidi="ar"/>
        </w:rPr>
        <w:drawing>
          <wp:inline distT="0" distB="0" distL="114300" distR="114300">
            <wp:extent cx="5270500" cy="2895600"/>
            <wp:effectExtent l="0" t="0" r="0" b="0"/>
            <wp:docPr id="5" name="图片 4" descr="supple 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supple Fig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before="0" w:after="0"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Supplementary Figure 2. TREM2 in lung cancer-associated macrophages has a tendency to promote phagocytosis of tumor cells. (A-C)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Expression of TREM2 (A), ITGAM (CD11b) (B) and CD68 (C) in TREM2-positive and TREM2-negative macrophages in lung cancer patients. </w:t>
      </w: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>(D)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GO-BP analyses of TREM2-positive and TREM2-negative macrophages shows the biological process enriched in TREM2-positive macrophages compared to TREM2-negative macrophages.</w:t>
      </w:r>
    </w:p>
    <w:p>
      <w:pPr>
        <w:widowControl w:val="0"/>
        <w:spacing w:before="0" w:after="0" w:line="360" w:lineRule="auto"/>
        <w:jc w:val="center"/>
        <w:rPr>
          <w:rFonts w:hint="default" w:ascii="Times New Roman" w:hAnsi="Times New Roman" w:cs="Times New Roman"/>
          <w:b/>
          <w:bCs/>
          <w:szCs w:val="32"/>
        </w:rPr>
      </w:pPr>
      <w:r>
        <w:rPr>
          <w:rFonts w:hint="default" w:ascii="Times New Roman" w:hAnsi="Times New Roman" w:eastAsia="宋体" w:cs="Times New Roman"/>
          <w:b/>
          <w:kern w:val="2"/>
          <w:szCs w:val="32"/>
          <w:lang w:eastAsia="zh-CN" w:bidi="ar"/>
        </w:rPr>
        <w:drawing>
          <wp:inline distT="0" distB="0" distL="114300" distR="114300">
            <wp:extent cx="4318000" cy="1803400"/>
            <wp:effectExtent l="0" t="0" r="0" b="0"/>
            <wp:docPr id="2" name="图片 3" descr="supple 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supple Fig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 xml:space="preserve">Supplementary Figure 3. Tumor derived galectin-3 was a ligand for TREM2. 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>(A)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 xml:space="preserve"> 293T cells were transfected with pcDNA3.1-vector/pcDNA3.1-hTREM2-HA/pcDNA3.1-hGalectin-3-Flag plasmids as indicated. Exogenous CO-IP experiments were performed with anti-Flag antibody. 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>(B, C)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 xml:space="preserve"> 293T cells were transfected with pcDNA3.1-vector/pcDNA3.1-mTREM2-HA/pcDNA3.1-mGalectin-3-Flag plasmids as indicated. Exogenous CO-IP experiments were performed with anti-HA 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>(B)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 xml:space="preserve"> or anti-Flag 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 xml:space="preserve">(C) 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 xml:space="preserve">antibody. </w:t>
      </w:r>
    </w:p>
    <w:p>
      <w:pPr>
        <w:widowControl w:val="0"/>
        <w:spacing w:before="0" w:after="0" w:line="360" w:lineRule="auto"/>
        <w:jc w:val="center"/>
        <w:rPr>
          <w:rFonts w:hint="default" w:ascii="Times New Roman" w:hAnsi="Times New Roman" w:cs="Times New Roman"/>
          <w:b/>
          <w:bCs/>
          <w:szCs w:val="32"/>
        </w:rPr>
      </w:pPr>
      <w:r>
        <w:rPr>
          <w:rFonts w:hint="default" w:ascii="Times New Roman" w:hAnsi="Times New Roman" w:eastAsia="宋体" w:cs="Times New Roman"/>
          <w:b/>
          <w:kern w:val="2"/>
          <w:szCs w:val="32"/>
          <w:lang w:eastAsia="zh-CN" w:bidi="ar"/>
        </w:rPr>
        <w:drawing>
          <wp:inline distT="0" distB="0" distL="114300" distR="114300">
            <wp:extent cx="3600450" cy="2159000"/>
            <wp:effectExtent l="0" t="0" r="6350" b="0"/>
            <wp:docPr id="3" name="图片 2" descr="supple Fi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supple Fig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jc w:val="both"/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Cs w:val="32"/>
          <w:lang w:eastAsia="zh-CN" w:bidi="ar"/>
        </w:rPr>
        <w:t xml:space="preserve">Supplementary Figure 4. 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 xml:space="preserve">TREM2/DAP12 complex inhibited lung cancer progression </w:t>
      </w:r>
      <w:r>
        <w:rPr>
          <w:rFonts w:hint="default" w:ascii="Times New Roman" w:hAnsi="Times New Roman" w:eastAsia="宋体" w:cs="Times New Roman"/>
          <w:b/>
          <w:bCs/>
          <w:i/>
          <w:iCs/>
          <w:szCs w:val="24"/>
          <w:lang w:eastAsia="zh-CN" w:bidi="ar"/>
        </w:rPr>
        <w:t>in vivo</w:t>
      </w:r>
      <w:r>
        <w:rPr>
          <w:rFonts w:hint="default" w:ascii="Times New Roman" w:hAnsi="Times New Roman" w:eastAsia="宋体" w:cs="Times New Roman"/>
          <w:b/>
          <w:bCs/>
          <w:szCs w:val="24"/>
          <w:lang w:eastAsia="zh-CN" w:bidi="ar"/>
        </w:rPr>
        <w:t>.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 xml:space="preserve">(A-B) </w:t>
      </w:r>
      <w:r>
        <w:rPr>
          <w:rFonts w:hint="default" w:ascii="Times New Roman" w:hAnsi="Times New Roman" w:eastAsia="宋体" w:cs="Times New Roman"/>
          <w:kern w:val="2"/>
          <w:szCs w:val="24"/>
          <w:lang w:eastAsia="zh-CN" w:bidi="ar"/>
        </w:rPr>
        <w:t xml:space="preserve">Subcutaneous transplantation tumor model of lung adenocarcinoma was established in WT, </w:t>
      </w:r>
      <w:r>
        <w:rPr>
          <w:rFonts w:hint="default" w:ascii="Times New Roman" w:hAnsi="Times New Roman" w:eastAsia="宋体" w:cs="Times New Roman"/>
          <w:i/>
          <w:iCs/>
          <w:szCs w:val="24"/>
          <w:lang w:eastAsia="zh-CN" w:bidi="ar"/>
        </w:rPr>
        <w:t>TREM2</w:t>
      </w:r>
      <w:r>
        <w:rPr>
          <w:rFonts w:hint="default" w:ascii="Times New Roman" w:hAnsi="Times New Roman" w:eastAsia="宋体" w:cs="Times New Roman"/>
          <w:szCs w:val="24"/>
          <w:vertAlign w:val="superscript"/>
          <w:lang w:eastAsia="zh-CN" w:bidi="ar"/>
        </w:rPr>
        <w:t>f/f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>-Lyz2-Cre</w:t>
      </w:r>
      <w:r>
        <w:rPr>
          <w:rFonts w:hint="default" w:ascii="Times New Roman" w:hAnsi="Times New Roman" w:eastAsia="宋体" w:cs="Times New Roman"/>
          <w:kern w:val="2"/>
          <w:szCs w:val="24"/>
          <w:lang w:eastAsia="zh-CN" w:bidi="ar"/>
        </w:rPr>
        <w:t xml:space="preserve"> and DAP12 KO mice (n=5). Tumor size of each group was exhibited in </w:t>
      </w: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>(A)</w:t>
      </w:r>
      <w:r>
        <w:rPr>
          <w:rFonts w:hint="default" w:ascii="Times New Roman" w:hAnsi="Times New Roman" w:eastAsia="宋体" w:cs="Times New Roman"/>
          <w:kern w:val="2"/>
          <w:szCs w:val="24"/>
          <w:lang w:eastAsia="zh-CN" w:bidi="ar"/>
        </w:rPr>
        <w:t xml:space="preserve">. Tumor weight of each group was shown in </w:t>
      </w:r>
      <w:r>
        <w:rPr>
          <w:rFonts w:hint="default" w:ascii="Times New Roman" w:hAnsi="Times New Roman" w:eastAsia="宋体" w:cs="Times New Roman"/>
          <w:b/>
          <w:bCs/>
          <w:kern w:val="2"/>
          <w:szCs w:val="24"/>
          <w:lang w:eastAsia="zh-CN" w:bidi="ar"/>
        </w:rPr>
        <w:t>(B)</w:t>
      </w:r>
      <w:r>
        <w:rPr>
          <w:rFonts w:hint="default" w:ascii="Times New Roman" w:hAnsi="Times New Roman" w:eastAsia="宋体" w:cs="Times New Roman"/>
          <w:kern w:val="2"/>
          <w:szCs w:val="24"/>
          <w:lang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Data represent mean ± SD from three experiments. ***, </w:t>
      </w:r>
      <w:r>
        <w:rPr>
          <w:rFonts w:hint="default" w:ascii="Times New Roman" w:hAnsi="Times New Roman" w:eastAsia="宋体" w:cs="Times New Roman"/>
          <w:i/>
          <w:iCs/>
          <w:kern w:val="2"/>
          <w:szCs w:val="32"/>
          <w:lang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  <w:t xml:space="preserve"> &lt; 0.001.</w:t>
      </w:r>
    </w:p>
    <w:p>
      <w:pPr>
        <w:widowControl w:val="0"/>
        <w:spacing w:before="0" w:after="0" w:line="360" w:lineRule="auto"/>
        <w:jc w:val="both"/>
        <w:rPr>
          <w:rFonts w:hint="default" w:ascii="Times New Roman" w:hAnsi="Times New Roman" w:eastAsia="宋体" w:cs="Times New Roman"/>
          <w:kern w:val="2"/>
          <w:szCs w:val="32"/>
          <w:lang w:eastAsia="zh-CN" w:bidi="ar"/>
        </w:rPr>
      </w:pP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</w:rPr>
        <w:t xml:space="preserve">Supplementary </w:t>
      </w:r>
      <w:r>
        <w:rPr>
          <w:rFonts w:hint="default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Tables</w:t>
      </w:r>
    </w:p>
    <w:p>
      <w:pPr>
        <w:widowControl w:val="0"/>
        <w:spacing w:before="0" w:after="0" w:line="48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Supplementary Table</w:t>
      </w:r>
      <w:r>
        <w:rPr>
          <w:rFonts w:hint="default" w:ascii="Times New Roman" w:hAnsi="Times New Roman" w:eastAsia="宋体" w:cs="Times New Roman"/>
          <w:b/>
          <w:bCs/>
          <w:lang w:eastAsia="zh-CN"/>
        </w:rPr>
        <w:t xml:space="preserve"> 1. </w:t>
      </w:r>
      <w:bookmarkStart w:id="0" w:name="OLE_LINK9"/>
      <w:r>
        <w:rPr>
          <w:rFonts w:hint="default" w:ascii="Times New Roman" w:hAnsi="Times New Roman" w:eastAsia="宋体" w:cs="Times New Roman"/>
          <w:lang w:eastAsia="zh-CN"/>
        </w:rPr>
        <w:t>Summary of clinical characteristics of lung cancer patients and healthy donors.</w:t>
      </w:r>
    </w:p>
    <w:bookmarkEnd w:id="0"/>
    <w:tbl>
      <w:tblPr>
        <w:tblStyle w:val="21"/>
        <w:tblW w:w="4549" w:type="pct"/>
        <w:tblInd w:w="607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9"/>
        <w:gridCol w:w="2675"/>
        <w:gridCol w:w="2498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000" w:type="pct"/>
            <w:gridSpan w:val="3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0" w:after="0" w:line="480" w:lineRule="auto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 xml:space="preserve">Table S1: </w:t>
            </w:r>
            <w:r>
              <w:rPr>
                <w:rFonts w:hint="default" w:ascii="Times New Roman" w:hAnsi="Times New Roman" w:eastAsia="宋体" w:cs="Times New Roman"/>
                <w:color w:val="000000"/>
                <w:lang w:eastAsia="zh-CN"/>
              </w:rPr>
              <w:t>Summary of clinical characteristics of lung cancer patients and healthy donors.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155" w:type="pct"/>
            <w:tcBorders>
              <w:top w:val="single" w:color="000000" w:themeColor="text1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cs="Times New Roman" w:eastAsiaTheme="minorEastAsia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Characteri</w:t>
            </w:r>
            <w:r>
              <w:rPr>
                <w:rFonts w:hint="default" w:ascii="Times New Roman" w:hAnsi="Times New Roman" w:cs="Times New Roman" w:eastAsiaTheme="minorEastAsia"/>
                <w:color w:val="000000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tic</w:t>
            </w:r>
            <w:r>
              <w:rPr>
                <w:rFonts w:hint="default" w:ascii="Times New Roman" w:hAnsi="Times New Roman" w:cs="Times New Roman" w:eastAsiaTheme="minorEastAsia"/>
                <w:color w:val="000000"/>
                <w:lang w:eastAsia="zh-CN"/>
              </w:rPr>
              <w:t>s</w:t>
            </w:r>
          </w:p>
        </w:tc>
        <w:tc>
          <w:tcPr>
            <w:tcW w:w="1471" w:type="pct"/>
            <w:tcBorders>
              <w:top w:val="single" w:color="000000" w:themeColor="text1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Lung cancer patients (n=123)</w:t>
            </w:r>
          </w:p>
        </w:tc>
        <w:tc>
          <w:tcPr>
            <w:tcW w:w="1374" w:type="pct"/>
            <w:tcBorders>
              <w:top w:val="single" w:color="000000" w:themeColor="text1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Healthy donors (n=64)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Age (years)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top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Medium</w:t>
            </w:r>
          </w:p>
        </w:tc>
        <w:tc>
          <w:tcPr>
            <w:tcW w:w="1471" w:type="pct"/>
            <w:tcBorders>
              <w:top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60</w:t>
            </w:r>
          </w:p>
        </w:tc>
        <w:tc>
          <w:tcPr>
            <w:tcW w:w="1374" w:type="pct"/>
            <w:tcBorders>
              <w:top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54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Range</w:t>
            </w:r>
          </w:p>
        </w:tc>
        <w:tc>
          <w:tcPr>
            <w:tcW w:w="1471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31-84</w:t>
            </w:r>
          </w:p>
        </w:tc>
        <w:tc>
          <w:tcPr>
            <w:tcW w:w="1374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22-82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&lt;60</w:t>
            </w:r>
            <w:bookmarkStart w:id="1" w:name="OLE_LINK5"/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 xml:space="preserve"> (% of all)</w:t>
            </w:r>
            <w:bookmarkEnd w:id="1"/>
          </w:p>
        </w:tc>
        <w:tc>
          <w:tcPr>
            <w:tcW w:w="1471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44.5</w:t>
            </w:r>
          </w:p>
        </w:tc>
        <w:tc>
          <w:tcPr>
            <w:tcW w:w="1374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46.9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55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≥60 (</w:t>
            </w:r>
            <w:bookmarkStart w:id="2" w:name="OLE_LINK6"/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% of all)</w:t>
            </w:r>
            <w:bookmarkEnd w:id="2"/>
          </w:p>
        </w:tc>
        <w:tc>
          <w:tcPr>
            <w:tcW w:w="1471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55.5</w:t>
            </w:r>
          </w:p>
        </w:tc>
        <w:tc>
          <w:tcPr>
            <w:tcW w:w="1374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53.1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Sex (% of all)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Male</w:t>
            </w:r>
          </w:p>
        </w:tc>
        <w:tc>
          <w:tcPr>
            <w:tcW w:w="1471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63.4</w:t>
            </w:r>
          </w:p>
        </w:tc>
        <w:tc>
          <w:tcPr>
            <w:tcW w:w="1374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62.5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Female</w:t>
            </w:r>
          </w:p>
        </w:tc>
        <w:tc>
          <w:tcPr>
            <w:tcW w:w="1471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36.6</w:t>
            </w:r>
          </w:p>
        </w:tc>
        <w:tc>
          <w:tcPr>
            <w:tcW w:w="1374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37.5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TNM stage (% of patients)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I</w:t>
            </w:r>
          </w:p>
        </w:tc>
        <w:tc>
          <w:tcPr>
            <w:tcW w:w="147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4.1</w:t>
            </w:r>
          </w:p>
        </w:tc>
        <w:tc>
          <w:tcPr>
            <w:tcW w:w="1374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II</w:t>
            </w:r>
          </w:p>
        </w:tc>
        <w:tc>
          <w:tcPr>
            <w:tcW w:w="14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11.4</w:t>
            </w:r>
          </w:p>
        </w:tc>
        <w:tc>
          <w:tcPr>
            <w:tcW w:w="1374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III</w:t>
            </w:r>
          </w:p>
        </w:tc>
        <w:tc>
          <w:tcPr>
            <w:tcW w:w="14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21.9</w:t>
            </w:r>
          </w:p>
        </w:tc>
        <w:tc>
          <w:tcPr>
            <w:tcW w:w="1374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IV</w:t>
            </w:r>
          </w:p>
        </w:tc>
        <w:tc>
          <w:tcPr>
            <w:tcW w:w="1471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62.6</w:t>
            </w:r>
          </w:p>
        </w:tc>
        <w:tc>
          <w:tcPr>
            <w:tcW w:w="1374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Pathologic subtype (% of patients)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Adenocarcinoma</w:t>
            </w:r>
          </w:p>
        </w:tc>
        <w:tc>
          <w:tcPr>
            <w:tcW w:w="1471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69.9</w:t>
            </w:r>
          </w:p>
        </w:tc>
        <w:tc>
          <w:tcPr>
            <w:tcW w:w="1374" w:type="pc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squamous cell carcinoma</w:t>
            </w:r>
          </w:p>
        </w:tc>
        <w:tc>
          <w:tcPr>
            <w:tcW w:w="1471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13.0</w:t>
            </w:r>
          </w:p>
        </w:tc>
        <w:tc>
          <w:tcPr>
            <w:tcW w:w="1374" w:type="pct"/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5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Other</w:t>
            </w:r>
          </w:p>
        </w:tc>
        <w:tc>
          <w:tcPr>
            <w:tcW w:w="1471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17.1</w:t>
            </w:r>
          </w:p>
        </w:tc>
        <w:tc>
          <w:tcPr>
            <w:tcW w:w="1374" w:type="pct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cs="Times New Roman"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zh-CN"/>
              </w:rPr>
              <w:t>-</w:t>
            </w:r>
          </w:p>
        </w:tc>
      </w:tr>
    </w:tbl>
    <w:p>
      <w:pPr>
        <w:widowControl w:val="0"/>
        <w:spacing w:beforeLines="50" w:after="0" w:line="480" w:lineRule="auto"/>
        <w:jc w:val="both"/>
        <w:rPr>
          <w:rFonts w:hint="default" w:ascii="Times New Roman" w:hAnsi="Times New Roman" w:eastAsia="宋体" w:cs="Times New Roman"/>
          <w:szCs w:val="24"/>
          <w:lang w:eastAsia="zh-CN" w:bidi="ar"/>
        </w:rPr>
      </w:pPr>
      <w:bookmarkStart w:id="3" w:name="OLE_LINK4"/>
      <w:r>
        <w:rPr>
          <w:rFonts w:hint="default" w:ascii="Times New Roman" w:hAnsi="Times New Roman" w:cs="Times New Roman"/>
          <w:b/>
          <w:bCs/>
        </w:rPr>
        <w:t xml:space="preserve">Supplementary </w:t>
      </w:r>
      <w:bookmarkStart w:id="4" w:name="OLE_LINK7"/>
      <w:r>
        <w:rPr>
          <w:rFonts w:hint="default" w:ascii="Times New Roman" w:hAnsi="Times New Roman" w:cs="Times New Roman"/>
          <w:b/>
          <w:bCs/>
        </w:rPr>
        <w:t>Table</w:t>
      </w:r>
      <w:r>
        <w:rPr>
          <w:rFonts w:hint="default" w:ascii="Times New Roman" w:hAnsi="Times New Roman" w:eastAsia="宋体" w:cs="Times New Roman"/>
          <w:b/>
          <w:bCs/>
          <w:lang w:eastAsia="zh-CN"/>
        </w:rPr>
        <w:t xml:space="preserve"> 2.</w:t>
      </w:r>
      <w:r>
        <w:rPr>
          <w:rFonts w:hint="default" w:ascii="Times New Roman" w:hAnsi="Times New Roman" w:eastAsia="宋体" w:cs="Times New Roman"/>
          <w:lang w:eastAsia="zh-CN"/>
        </w:rPr>
        <w:t xml:space="preserve"> RT-qPCR </w:t>
      </w:r>
      <w:r>
        <w:rPr>
          <w:rFonts w:hint="default" w:ascii="Times New Roman" w:hAnsi="Times New Roman" w:eastAsia="宋体" w:cs="Times New Roman"/>
          <w:szCs w:val="24"/>
          <w:lang w:eastAsia="zh-CN" w:bidi="ar"/>
        </w:rPr>
        <w:t>Primer sequences used in this study.</w:t>
      </w:r>
    </w:p>
    <w:bookmarkEnd w:id="4"/>
    <w:tbl>
      <w:tblPr>
        <w:tblStyle w:val="21"/>
        <w:tblW w:w="9655" w:type="dxa"/>
        <w:tblInd w:w="13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844"/>
        <w:gridCol w:w="43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655" w:type="dxa"/>
            <w:gridSpan w:val="3"/>
            <w:vAlign w:val="center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cs="Times New Roman" w:eastAsiaTheme="minorEastAsia"/>
              </w:rPr>
            </w:pPr>
            <w:bookmarkStart w:id="5" w:name="OLE_LINK1"/>
            <w:r>
              <w:rPr>
                <w:rFonts w:hint="default" w:ascii="Times New Roman" w:hAnsi="Times New Roman" w:cs="Times New Roman"/>
              </w:rPr>
              <w:t>Table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 xml:space="preserve"> S2. RT-qPCR </w:t>
            </w:r>
            <w:r>
              <w:rPr>
                <w:rFonts w:hint="default" w:ascii="Times New Roman" w:hAnsi="Times New Roman" w:eastAsia="宋体" w:cs="Times New Roman"/>
                <w:szCs w:val="24"/>
                <w:lang w:eastAsia="zh-CN" w:bidi="ar"/>
              </w:rPr>
              <w:t>Primer sequences used in this study.</w:t>
            </w: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Gene name</w:t>
            </w:r>
          </w:p>
        </w:tc>
        <w:tc>
          <w:tcPr>
            <w:tcW w:w="384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Forward primer (5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’-</w:t>
            </w:r>
            <w:r>
              <w:rPr>
                <w:rFonts w:hint="default" w:ascii="Times New Roman" w:hAnsi="Times New Roman" w:cs="Times New Roman" w:eastAsiaTheme="minorEastAsia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’</w:t>
            </w:r>
            <w:r>
              <w:rPr>
                <w:rFonts w:hint="default" w:ascii="Times New Roman" w:hAnsi="Times New Roman" w:cs="Times New Roman" w:eastAsiaTheme="minorEastAsia"/>
              </w:rPr>
              <w:t>)</w:t>
            </w:r>
          </w:p>
        </w:tc>
        <w:tc>
          <w:tcPr>
            <w:tcW w:w="4300" w:type="dxa"/>
            <w:tcBorders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Reverse primer (5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’-</w:t>
            </w:r>
            <w:r>
              <w:rPr>
                <w:rFonts w:hint="default" w:ascii="Times New Roman" w:hAnsi="Times New Roman" w:cs="Times New Roman" w:eastAsiaTheme="minorEastAsia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’</w:t>
            </w:r>
            <w:r>
              <w:rPr>
                <w:rFonts w:hint="default" w:ascii="Times New Roman" w:hAnsi="Times New Roman" w:cs="Times New Roman" w:eastAsiaTheme="minorEastAsia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Cs w:val="24"/>
                <w:lang w:eastAsia="zh-CN" w:bidi="ar"/>
              </w:rPr>
              <w:t>Actin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GATTACTGCTCTGGCTCCTAGC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eastAsia="zh-CN" w:bidi="ar"/>
              </w:rPr>
              <w:t>GACTCATCGTACTCCTGCTTGC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bookmarkStart w:id="6" w:name="OLE_LINK2"/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M-Nos2</w:t>
            </w:r>
            <w:bookmarkEnd w:id="6"/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 xml:space="preserve">CACCACCCTCCTCGTTC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 xml:space="preserve">CAATCCACAACTCGCTCC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M-CD206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ATGGATTGCCCTGAACAGCA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TGTACCGCACCCTCCATCTA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M-Arg1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AAGACAGCAGAGGAGGTG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AGTCAGTCCCTGGCTTAT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M-Tnfα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eastAsia="zh-CN" w:bidi="ar"/>
              </w:rPr>
              <w:t>GGTGCCTATGTCTCAGCCTCTT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eastAsia="zh-CN" w:bidi="ar"/>
              </w:rPr>
              <w:t>GCCATAGAACTGATGAGAGGGAG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bookmarkStart w:id="7" w:name="OLE_LINK3"/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</w:t>
            </w:r>
            <w:bookmarkEnd w:id="7"/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Ccl2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color w:val="222222"/>
                <w:kern w:val="2"/>
                <w:szCs w:val="24"/>
                <w:shd w:val="clear" w:color="auto" w:fill="FFFFFF"/>
                <w:lang w:eastAsia="zh-CN" w:bidi="ar"/>
              </w:rPr>
              <w:t xml:space="preserve">GGGTCCAGACATACATTAA 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cs="Times New Roman" w:eastAsiaTheme="minorEastAsia"/>
                <w:bCs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 xml:space="preserve">ACGGGTCAACTTCACATT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M-Ccl3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ACTGCCTGCTGCTTCTCCTACA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ATGACACCTGGCTGGGAGCAAA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M-Ccl13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GATCTCCTTGCAGAGGCTGAAG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TCTGGACCCACTTCTCCTTTGG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M-Ccl17</w:t>
            </w:r>
          </w:p>
        </w:tc>
        <w:tc>
          <w:tcPr>
            <w:tcW w:w="3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CGAGAGTGCTGCCTGGATTACT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GGTCTGCACAGATGAGCTTGCC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511" w:type="dxa"/>
            <w:tcBorders>
              <w:top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Cs w:val="24"/>
                <w:lang w:eastAsia="zh-CN" w:bidi="ar"/>
              </w:rPr>
              <w:t>M-Ccr2</w:t>
            </w:r>
          </w:p>
        </w:tc>
        <w:tc>
          <w:tcPr>
            <w:tcW w:w="384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GCTGTGTTTGCCTCTCTACCAG</w:t>
            </w:r>
          </w:p>
        </w:tc>
        <w:tc>
          <w:tcPr>
            <w:tcW w:w="4300" w:type="dxa"/>
            <w:tcBorders>
              <w:top w:val="nil"/>
              <w:left w:val="nil"/>
            </w:tcBorders>
            <w:vAlign w:val="center"/>
          </w:tcPr>
          <w:p>
            <w:pPr>
              <w:spacing w:before="240" w:line="72" w:lineRule="auto"/>
              <w:jc w:val="both"/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4"/>
                <w:lang w:eastAsia="zh-CN" w:bidi="ar"/>
              </w:rPr>
              <w:t>CAAGTAGAGGCAGGATCAGGCT</w:t>
            </w:r>
          </w:p>
        </w:tc>
      </w:tr>
      <w:bookmarkEnd w:id="5"/>
    </w:tbl>
    <w:p>
      <w:pPr>
        <w:widowControl w:val="0"/>
        <w:spacing w:before="0" w:after="0" w:line="480" w:lineRule="auto"/>
        <w:jc w:val="both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</w:t>
      </w:r>
      <w:bookmarkStart w:id="8" w:name="OLE_LINK8"/>
      <w:r>
        <w:rPr>
          <w:rFonts w:hint="default" w:ascii="Times New Roman" w:hAnsi="Times New Roman" w:cs="Times New Roman"/>
          <w:b/>
          <w:bCs/>
        </w:rPr>
        <w:t>Table</w:t>
      </w:r>
      <w:r>
        <w:rPr>
          <w:rFonts w:hint="default" w:ascii="Times New Roman" w:hAnsi="Times New Roman" w:eastAsia="宋体" w:cs="Times New Roman"/>
          <w:b/>
          <w:bCs/>
          <w:lang w:eastAsia="zh-CN"/>
        </w:rPr>
        <w:t xml:space="preserve"> 3.</w:t>
      </w:r>
      <w:r>
        <w:rPr>
          <w:rFonts w:hint="default" w:ascii="Times New Roman" w:hAnsi="Times New Roman" w:eastAsia="宋体" w:cs="Times New Roman"/>
          <w:lang w:eastAsia="zh-CN"/>
        </w:rPr>
        <w:t xml:space="preserve"> Mass spectrometry identified proteins interacting with TREM2 in lung cancer macrophages.</w:t>
      </w:r>
    </w:p>
    <w:bookmarkEnd w:id="8"/>
    <w:tbl>
      <w:tblPr>
        <w:tblStyle w:val="21"/>
        <w:tblW w:w="0" w:type="auto"/>
        <w:tblInd w:w="11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591"/>
        <w:gridCol w:w="605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6" w:type="dxa"/>
            <w:gridSpan w:val="3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S3. Proteins identified by LC-MS mass spectrometry. (Top 20)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2591" w:type="dxa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Accession</w:t>
            </w:r>
          </w:p>
        </w:tc>
        <w:tc>
          <w:tcPr>
            <w:tcW w:w="6054" w:type="dxa"/>
          </w:tcPr>
          <w:p>
            <w:pPr>
              <w:widowControl w:val="0"/>
              <w:spacing w:before="0" w:after="0" w:line="48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P35579|MYH9_HUMAN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Myosin-9 OS=Homo sapiens OX=9606 GN=MYH9 PE=1 SV=4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P01834|IGKC_HUMAN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Immunoglobulin kappa const</w:t>
            </w:r>
            <w:bookmarkStart w:id="9" w:name="_GoBack"/>
            <w:bookmarkEnd w:id="9"/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ant OS=Homo sapiens OX=9606 GN=IGKC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P08670|VIME_HUMAN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Vimentin OS=Homo sapiens OX=9606 GN=VIM PE=1 SV=4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P02675|FIBB_HUMAN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Fibrinogen beta chain OS=Homo sapiens OX=9606 GN=FGB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P17931|LEG3_HUMAN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Galectin-3 OS=Homo sapiens OX=9606 GN=LGALS3 PE=1 SV=3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P08311|CATG_HUMAN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Cathepsin G OS=Homo sapiens OX=9606 GN=CTSG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P04792|HSPB1_HUMAN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Heat shock protein beta-1 OS=Homo sapiens OX=9606 GN=HSPB1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P09429|HMGB1_HUMAN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High mobility group protein B1 OS=Homo sapiens OX=9606 GN=HMGB1 PE=1 SV=3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P01024|CO3_HUMAN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Complement C3 OS=Homo sapiens OX=9606 GN=C3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P04004|VTNC_HUMAN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Vitronectin OS=Homo sapiens OX=9606 GN=VTN PE=1 SV=1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P02792|FRIL_HUMAN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Ferritin light chain OS=Homo sapiens OX=9606 GN=FTL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P07339|CATD_HUMAN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Cathepsin D OS=Homo sapiens OX=9606 GN=CTSD PE=1 SV=1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P02743|SAMP_HUMAN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Serum amyloid P-component OS=Homo sapiens OX=9606 GN=APCS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O14950|ML12B_HUMAN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Myosin regulatory light chain 12B OS=Homo sapiens OX=9606 GN=MYL12B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P0DMV8-2|HS71A_HUMAN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Isoform 2 of Heat shock 70 kDa protein 1A OS=Homo sapiens OX=9606 GN=HSPA1A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P0C0L4|CO4A_HUMAN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Complement C4-A OS=Homo sapiens OX=9606 GN=C4A PE=1 SV=2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P08246|ELNE_HUMAN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Neutrophil elastase OS=Homo sapiens OX=9606 GN=ELANE PE=1 SV=1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P61626|LYSC_HUMAN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Lysozyme C OS=Homo sapiens OX=9606 GN=LYZ PE=1 SV=1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P02747|C1QC_HUMAN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Complement C1q subcomponent subunit C OS=Homo sapiens OX=9606 GN=C1QC PE=1 SV=3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" w:type="dxa"/>
          </w:tcPr>
          <w:p>
            <w:pPr>
              <w:widowControl w:val="0"/>
              <w:spacing w:before="0" w:after="0" w:line="48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591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Q05315|LEG10_HUMAN</w:t>
            </w:r>
          </w:p>
        </w:tc>
        <w:tc>
          <w:tcPr>
            <w:tcW w:w="6054" w:type="dxa"/>
            <w:vAlign w:val="center"/>
          </w:tcPr>
          <w:p>
            <w:pPr>
              <w:textAlignment w:val="center"/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Galectin-10 OS=Homo sapiens OX=9606 GN=CLC PE=1 SV=3</w:t>
            </w:r>
          </w:p>
        </w:tc>
      </w:tr>
    </w:tbl>
    <w:p>
      <w:pPr>
        <w:widowControl w:val="0"/>
        <w:spacing w:before="0" w:after="0" w:line="480" w:lineRule="auto"/>
        <w:jc w:val="both"/>
        <w:rPr>
          <w:rFonts w:hint="default" w:ascii="Times New Roman" w:hAnsi="Times New Roman" w:eastAsia="宋体" w:cs="Times New Roman"/>
          <w:lang w:eastAsia="zh-CN"/>
        </w:rPr>
      </w:pPr>
    </w:p>
    <w:p>
      <w:pPr>
        <w:spacing w:before="240" w:line="72" w:lineRule="auto"/>
        <w:rPr>
          <w:rFonts w:hint="default" w:ascii="Times New Roman" w:hAnsi="Times New Roman" w:cs="Times New Roman" w:eastAsiaTheme="minorEastAsia"/>
          <w:bCs/>
        </w:rPr>
      </w:pP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8714F"/>
    <w:multiLevelType w:val="singleLevel"/>
    <w:tmpl w:val="9888714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720"/>
  <w:evenAndOddHeaders w:val="1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Mjc4MmU1MzM5ZjU2ZmU5ZTIyMzliOWE3MzdiM2YifQ=="/>
    <w:docVar w:name="KSO_WPS_MARK_KEY" w:val="089ce430-44c7-41ac-bb5e-912a2dfb3632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1D96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610FC"/>
    <w:rsid w:val="003D2F2D"/>
    <w:rsid w:val="00401590"/>
    <w:rsid w:val="004133CC"/>
    <w:rsid w:val="00447801"/>
    <w:rsid w:val="00452E9C"/>
    <w:rsid w:val="004735C8"/>
    <w:rsid w:val="004947A6"/>
    <w:rsid w:val="004961FF"/>
    <w:rsid w:val="005043C4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5416A"/>
    <w:rsid w:val="00885156"/>
    <w:rsid w:val="009151AA"/>
    <w:rsid w:val="0093429D"/>
    <w:rsid w:val="00943573"/>
    <w:rsid w:val="00964134"/>
    <w:rsid w:val="00970F7D"/>
    <w:rsid w:val="00994A3D"/>
    <w:rsid w:val="009B20BE"/>
    <w:rsid w:val="009C2B12"/>
    <w:rsid w:val="00A174D9"/>
    <w:rsid w:val="00A73D07"/>
    <w:rsid w:val="00AA4D24"/>
    <w:rsid w:val="00AB6715"/>
    <w:rsid w:val="00B1671E"/>
    <w:rsid w:val="00B25EB8"/>
    <w:rsid w:val="00B37F4D"/>
    <w:rsid w:val="00BD2FDE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137B4"/>
    <w:rsid w:val="00E14E2A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BE20898"/>
    <w:rsid w:val="0D94085F"/>
    <w:rsid w:val="0E1B2765"/>
    <w:rsid w:val="15F74CF8"/>
    <w:rsid w:val="162714E3"/>
    <w:rsid w:val="16637B3D"/>
    <w:rsid w:val="169A0419"/>
    <w:rsid w:val="1A5F0115"/>
    <w:rsid w:val="1D467EB4"/>
    <w:rsid w:val="220D42C8"/>
    <w:rsid w:val="23007343"/>
    <w:rsid w:val="285E25B6"/>
    <w:rsid w:val="29714AF7"/>
    <w:rsid w:val="2F146969"/>
    <w:rsid w:val="30E76D95"/>
    <w:rsid w:val="32EF7C09"/>
    <w:rsid w:val="34105ACF"/>
    <w:rsid w:val="397930E3"/>
    <w:rsid w:val="3E265A58"/>
    <w:rsid w:val="41A575DC"/>
    <w:rsid w:val="48A04659"/>
    <w:rsid w:val="48E77152"/>
    <w:rsid w:val="4EDC79D2"/>
    <w:rsid w:val="501F7D07"/>
    <w:rsid w:val="519311FF"/>
    <w:rsid w:val="59091305"/>
    <w:rsid w:val="5BFE07FA"/>
    <w:rsid w:val="5FA267E7"/>
    <w:rsid w:val="64FD3123"/>
    <w:rsid w:val="65DF05CA"/>
    <w:rsid w:val="6DB251CF"/>
    <w:rsid w:val="6EA570E6"/>
    <w:rsid w:val="72F05224"/>
    <w:rsid w:val="756A41B4"/>
    <w:rsid w:val="75834F63"/>
    <w:rsid w:val="7AE72614"/>
    <w:rsid w:val="7E7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字符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tiff"/><Relationship Id="rId11" Type="http://schemas.openxmlformats.org/officeDocument/2006/relationships/image" Target="media/image3.tiff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95B22-B4E8-4C8E-ABCB-1E2B9143F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Pages>6</Pages>
  <Words>702</Words>
  <Characters>4623</Characters>
  <Lines>38</Lines>
  <Paragraphs>10</Paragraphs>
  <TotalTime>25</TotalTime>
  <ScaleCrop>false</ScaleCrop>
  <LinksUpToDate>false</LinksUpToDate>
  <CharactersWithSpaces>5178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2018-11-23T08:58:00Z</dcterms:created>
  <dc:creator>Frontiers Media SA</dc:creator>
  <cp:lastModifiedBy>W</cp:lastModifiedBy>
  <cp:lastPrinted>2013-10-03T12:51:00Z</cp:lastPrinted>
  <dcterms:modified xsi:type="dcterms:W3CDTF">2024-05-31T07:18:53Z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29AA1A336AB8475B9B8D01D0A366CB5E</vt:lpwstr>
  </property>
</Properties>
</file>