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hint="eastAsia" w:eastAsiaTheme="minorEastAsia"/>
          <w:lang w:eastAsia="zh-CN"/>
        </w:rPr>
        <w:drawing>
          <wp:inline distT="0" distB="0" distL="114300" distR="114300">
            <wp:extent cx="5269230" cy="7454265"/>
            <wp:effectExtent l="0" t="0" r="7620" b="13335"/>
            <wp:docPr id="1" name="图片 1" descr="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4"/>
                    <pic:cNvPicPr>
                      <a:picLocks noChangeAspect="1"/>
                    </pic:cNvPicPr>
                  </pic:nvPicPr>
                  <pic:blipFill>
                    <a:blip r:embed="rId4"/>
                    <a:stretch>
                      <a:fillRect/>
                    </a:stretch>
                  </pic:blipFill>
                  <pic:spPr>
                    <a:xfrm>
                      <a:off x="0" y="0"/>
                      <a:ext cx="5269230" cy="745426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ascii="Times New Roman" w:hAnsi="Times New Roman" w:eastAsia="宋体" w:cs="Times New Roman"/>
          <w:b/>
          <w:bCs/>
          <w:sz w:val="20"/>
          <w:szCs w:val="20"/>
          <w:lang w:val="en-US" w:eastAsia="zh-CN"/>
        </w:rPr>
      </w:pPr>
      <w:r>
        <w:rPr>
          <w:rFonts w:hint="eastAsia" w:ascii="Times New Roman" w:hAnsi="Times New Roman" w:eastAsia="宋体" w:cs="Times New Roman"/>
          <w:b/>
          <w:bCs/>
          <w:sz w:val="20"/>
          <w:szCs w:val="20"/>
          <w:lang w:val="en-US" w:eastAsia="zh-CN"/>
        </w:rPr>
        <w:t>Supplementary figure 4. ZDHHC6 promotes fatty acids biosynthesis and CRC carcinogenesis.</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sz w:val="20"/>
          <w:szCs w:val="20"/>
          <w:lang w:val="en-US" w:eastAsia="zh-CN"/>
        </w:rPr>
      </w:pPr>
      <w:r>
        <w:rPr>
          <w:rFonts w:hint="default" w:ascii="Times New Roman" w:hAnsi="Times New Roman" w:eastAsia="宋体" w:cs="Times New Roman"/>
          <w:sz w:val="20"/>
          <w:szCs w:val="20"/>
        </w:rPr>
        <w:t>(</w:t>
      </w:r>
      <w:r>
        <w:rPr>
          <w:rFonts w:hint="eastAsia" w:ascii="Times New Roman" w:hAnsi="Times New Roman" w:eastAsia="宋体" w:cs="Times New Roman"/>
          <w:b/>
          <w:bCs/>
          <w:sz w:val="20"/>
          <w:szCs w:val="20"/>
          <w:lang w:val="en-US" w:eastAsia="zh-CN"/>
        </w:rPr>
        <w:t>A</w:t>
      </w:r>
      <w:r>
        <w:rPr>
          <w:rFonts w:hint="default" w:ascii="Times New Roman" w:hAnsi="Times New Roman" w:eastAsia="宋体" w:cs="Times New Roman"/>
          <w:sz w:val="20"/>
          <w:szCs w:val="20"/>
        </w:rPr>
        <w:t xml:space="preserve">) Diagram illustrating the production of fatty acids from </w:t>
      </w:r>
      <w:r>
        <w:rPr>
          <w:rFonts w:hint="default" w:ascii="Times New Roman" w:hAnsi="Times New Roman" w:eastAsia="宋体" w:cs="Times New Roman"/>
          <w:sz w:val="20"/>
          <w:szCs w:val="20"/>
          <w:vertAlign w:val="superscript"/>
        </w:rPr>
        <w:t>13</w:t>
      </w:r>
      <w:r>
        <w:rPr>
          <w:rFonts w:hint="default" w:ascii="Times New Roman" w:hAnsi="Times New Roman" w:eastAsia="宋体" w:cs="Times New Roman"/>
          <w:sz w:val="20"/>
          <w:szCs w:val="20"/>
        </w:rPr>
        <w:t>C-glucose. The distribution of different isotopic forms of FFA C18:0 following the introduction of labeled glucose [U-</w:t>
      </w:r>
      <w:r>
        <w:rPr>
          <w:rFonts w:hint="default" w:ascii="Times New Roman" w:hAnsi="Times New Roman" w:eastAsia="宋体" w:cs="Times New Roman"/>
          <w:sz w:val="20"/>
          <w:szCs w:val="20"/>
          <w:vertAlign w:val="superscript"/>
        </w:rPr>
        <w:t>13</w:t>
      </w:r>
      <w:r>
        <w:rPr>
          <w:rFonts w:hint="default" w:ascii="Times New Roman" w:hAnsi="Times New Roman" w:eastAsia="宋体" w:cs="Times New Roman"/>
          <w:sz w:val="20"/>
          <w:szCs w:val="20"/>
        </w:rPr>
        <w:t>C] in HCT116 cells transfected with shZDHHC6 or Ad</w:t>
      </w:r>
      <w:r>
        <w:rPr>
          <w:rFonts w:hint="default" w:ascii="Times New Roman" w:hAnsi="Times New Roman" w:eastAsia="宋体" w:cs="Times New Roman"/>
          <w:i/>
          <w:iCs/>
          <w:sz w:val="20"/>
          <w:szCs w:val="20"/>
        </w:rPr>
        <w:t>ZDHHC6</w:t>
      </w:r>
      <w:r>
        <w:rPr>
          <w:rFonts w:hint="default" w:ascii="Times New Roman" w:hAnsi="Times New Roman" w:eastAsia="宋体" w:cs="Times New Roman"/>
          <w:sz w:val="20"/>
          <w:szCs w:val="20"/>
        </w:rPr>
        <w:t xml:space="preserve"> for overexpression. The medium was switched to RPMI 1640 with 2 g/L glucose labeled with [U-</w:t>
      </w:r>
      <w:r>
        <w:rPr>
          <w:rFonts w:hint="default" w:ascii="Times New Roman" w:hAnsi="Times New Roman" w:eastAsia="宋体" w:cs="Times New Roman"/>
          <w:sz w:val="20"/>
          <w:szCs w:val="20"/>
          <w:vertAlign w:val="superscript"/>
        </w:rPr>
        <w:t>13</w:t>
      </w:r>
      <w:r>
        <w:rPr>
          <w:rFonts w:hint="default" w:ascii="Times New Roman" w:hAnsi="Times New Roman" w:eastAsia="宋体" w:cs="Times New Roman"/>
          <w:sz w:val="20"/>
          <w:szCs w:val="20"/>
        </w:rPr>
        <w:t xml:space="preserve">C] when the cell density reached around 80%. After 24 hours, the cell culture plates were rinsed with PBS, snap-frozen in liquid nitrogen, and analyzed using LC-MS. There are 5 individuals in each group. </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w:t>
      </w:r>
      <w:r>
        <w:rPr>
          <w:rFonts w:hint="eastAsia" w:ascii="Times New Roman" w:hAnsi="Times New Roman" w:eastAsia="宋体" w:cs="Times New Roman"/>
          <w:b/>
          <w:bCs/>
          <w:sz w:val="20"/>
          <w:szCs w:val="20"/>
          <w:lang w:val="en-US" w:eastAsia="zh-CN"/>
        </w:rPr>
        <w:t>B</w:t>
      </w:r>
      <w:r>
        <w:rPr>
          <w:rFonts w:hint="default" w:ascii="Times New Roman" w:hAnsi="Times New Roman" w:eastAsia="宋体" w:cs="Times New Roman"/>
          <w:sz w:val="20"/>
          <w:szCs w:val="20"/>
        </w:rPr>
        <w:t>) The levels of various FFAs were examined in SW48, HT-29, and Caco-2 cells using LC-MS-based untargeted metabolomic analysis. The results were normalized based on the overall peak area. There are 5 individuals in each group.</w:t>
      </w:r>
      <w:r>
        <w:rPr>
          <w:rFonts w:hint="default" w:ascii="Times New Roman" w:hAnsi="Times New Roman" w:eastAsia="宋体" w:cs="Times New Roman"/>
          <w:sz w:val="20"/>
          <w:szCs w:val="20"/>
        </w:rPr>
        <w:br w:type="textWrapping"/>
      </w:r>
      <w:r>
        <w:rPr>
          <w:rFonts w:hint="default" w:ascii="Times New Roman" w:hAnsi="Times New Roman" w:eastAsia="宋体" w:cs="Times New Roman"/>
          <w:sz w:val="20"/>
          <w:szCs w:val="20"/>
        </w:rPr>
        <w:t>(</w:t>
      </w:r>
      <w:r>
        <w:rPr>
          <w:rFonts w:hint="eastAsia" w:ascii="Times New Roman" w:hAnsi="Times New Roman" w:eastAsia="宋体" w:cs="Times New Roman"/>
          <w:b/>
          <w:bCs/>
          <w:sz w:val="20"/>
          <w:szCs w:val="20"/>
          <w:lang w:val="en-US" w:eastAsia="zh-CN"/>
        </w:rPr>
        <w:t>C</w:t>
      </w:r>
      <w:r>
        <w:rPr>
          <w:rFonts w:hint="default" w:ascii="Times New Roman" w:hAnsi="Times New Roman" w:eastAsia="宋体" w:cs="Times New Roman"/>
          <w:sz w:val="20"/>
          <w:szCs w:val="20"/>
        </w:rPr>
        <w:t xml:space="preserve">) Representative immunofluorescence images of SW48, HT-29, and Caco-2 cells overexpressing ZDHHC6, showing ZDHHC6 expression levels (red), lipid accumulation (Bodipy staining), and intracellular triglyceride (TG) levels. There are 5 individuals in each group. </w:t>
      </w:r>
      <w:r>
        <w:rPr>
          <w:rFonts w:hint="default" w:ascii="Times New Roman" w:hAnsi="Times New Roman" w:eastAsia="宋体" w:cs="Times New Roman"/>
          <w:sz w:val="20"/>
          <w:szCs w:val="20"/>
        </w:rPr>
        <w:br w:type="textWrapping"/>
      </w:r>
      <w:bookmarkStart w:id="0" w:name="OLE_LINK3"/>
      <w:r>
        <w:rPr>
          <w:rFonts w:hint="default" w:ascii="Times New Roman" w:hAnsi="Times New Roman" w:eastAsia="宋体" w:cs="Times New Roman"/>
          <w:sz w:val="20"/>
          <w:szCs w:val="20"/>
        </w:rPr>
        <w:t>(</w:t>
      </w:r>
      <w:r>
        <w:rPr>
          <w:rFonts w:hint="default" w:ascii="Times New Roman" w:hAnsi="Times New Roman" w:eastAsia="宋体" w:cs="Times New Roman"/>
          <w:b/>
          <w:bCs/>
          <w:sz w:val="20"/>
          <w:szCs w:val="20"/>
        </w:rPr>
        <w:t>D</w:t>
      </w:r>
      <w:r>
        <w:rPr>
          <w:rFonts w:hint="default" w:ascii="Times New Roman" w:hAnsi="Times New Roman" w:eastAsia="宋体" w:cs="Times New Roman"/>
          <w:sz w:val="20"/>
          <w:szCs w:val="20"/>
        </w:rPr>
        <w:t xml:space="preserve">) </w:t>
      </w:r>
      <w:bookmarkEnd w:id="0"/>
      <w:r>
        <w:rPr>
          <w:rFonts w:hint="default" w:ascii="Times New Roman" w:hAnsi="Times New Roman" w:eastAsia="宋体" w:cs="Times New Roman"/>
          <w:sz w:val="20"/>
          <w:szCs w:val="20"/>
        </w:rPr>
        <w:t xml:space="preserve">Nude mice were injected with HCT116 cells that overexpressed ZDHHC6 into their right flanks. Tumor volumes were measured every other day. On the 22nd day after dissection, growth curves and weight measurements were documented for each group consisting of 4 subjects. </w:t>
      </w:r>
      <w:r>
        <w:rPr>
          <w:rFonts w:hint="eastAsia" w:ascii="Times New Roman" w:hAnsi="Times New Roman" w:eastAsia="宋体" w:cs="Times New Roman"/>
          <w:sz w:val="20"/>
          <w:szCs w:val="20"/>
          <w:lang w:val="en-US" w:eastAsia="zh-CN"/>
        </w:rPr>
        <w:t>S</w:t>
      </w:r>
      <w:r>
        <w:rPr>
          <w:rFonts w:hint="default" w:ascii="Times New Roman" w:hAnsi="Times New Roman" w:eastAsia="宋体" w:cs="Times New Roman"/>
          <w:sz w:val="20"/>
          <w:szCs w:val="20"/>
        </w:rPr>
        <w:t>cale bars</w:t>
      </w:r>
      <w:r>
        <w:rPr>
          <w:rFonts w:hint="eastAsia" w:ascii="Times New Roman" w:hAnsi="Times New Roman" w:eastAsia="宋体" w:cs="Times New Roman"/>
          <w:sz w:val="20"/>
          <w:szCs w:val="20"/>
          <w:lang w:val="en-US" w:eastAsia="zh-CN"/>
        </w:rPr>
        <w:t>, 1 cm.</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sz w:val="20"/>
          <w:szCs w:val="20"/>
        </w:rPr>
      </w:pPr>
      <w:r>
        <w:rPr>
          <w:rFonts w:ascii="Times New Roman" w:hAnsi="Times New Roman"/>
          <w:sz w:val="20"/>
          <w:szCs w:val="20"/>
        </w:rPr>
        <w:t>Data are expressed as mean</w:t>
      </w:r>
      <w:r>
        <w:rPr>
          <w:rFonts w:hint="eastAsia" w:ascii="Times New Roman" w:hAnsi="Times New Roman"/>
          <w:sz w:val="20"/>
          <w:szCs w:val="20"/>
        </w:rPr>
        <w:t xml:space="preserve"> </w:t>
      </w:r>
      <w:r>
        <w:rPr>
          <w:rFonts w:ascii="Times New Roman" w:hAnsi="Times New Roman"/>
          <w:sz w:val="20"/>
          <w:szCs w:val="20"/>
        </w:rPr>
        <w:t>±</w:t>
      </w:r>
      <w:r>
        <w:rPr>
          <w:rFonts w:hint="eastAsia" w:ascii="Times New Roman" w:hAnsi="Times New Roman"/>
          <w:sz w:val="20"/>
          <w:szCs w:val="20"/>
        </w:rPr>
        <w:t xml:space="preserve"> </w:t>
      </w:r>
      <w:r>
        <w:rPr>
          <w:rFonts w:ascii="Times New Roman" w:hAnsi="Times New Roman"/>
          <w:sz w:val="20"/>
          <w:szCs w:val="20"/>
        </w:rPr>
        <w:t xml:space="preserve">SEM. The relevant experiments presented in this part were performed independently at least three times. </w:t>
      </w:r>
      <w:r>
        <w:rPr>
          <w:rFonts w:ascii="Times New Roman" w:hAnsi="Times New Roman"/>
          <w:i/>
          <w:iCs/>
          <w:sz w:val="20"/>
          <w:szCs w:val="20"/>
        </w:rPr>
        <w:t>P</w:t>
      </w:r>
      <w:r>
        <w:rPr>
          <w:rFonts w:ascii="Times New Roman" w:hAnsi="Times New Roman"/>
          <w:sz w:val="20"/>
          <w:szCs w:val="20"/>
        </w:rPr>
        <w:t xml:space="preserve"> &lt;0.05 indicates statistical significance</w:t>
      </w:r>
      <w:r>
        <w:rPr>
          <w:rFonts w:hint="eastAsia" w:ascii="Times New Roman" w:hAnsi="Times New Roman"/>
          <w:sz w:val="20"/>
          <w:szCs w:val="20"/>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rPr>
          <w:rFonts w:hint="eastAsia" w:eastAsiaTheme="minorEastAsia"/>
          <w:lang w:eastAsia="zh-CN"/>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jZGU1NjVjNTJlOTA1YjhhY2UwN2Q5MmM3MTBlMzYifQ=="/>
  </w:docVars>
  <w:rsids>
    <w:rsidRoot w:val="00000000"/>
    <w:rsid w:val="03D36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2024-03-17T11:46:28Z</dcterms:created>
  <dc:creator>Administrator</dc:creator>
  <cp:lastModifiedBy>一大摞钱和花轮君都有钱</cp:lastModifiedBy>
  <dcterms:modified xsi:type="dcterms:W3CDTF">2024-03-17T11:46:48Z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F46ACA41C16D4784B679CDC4270AA075_12</vt:lpwstr>
  </property>
</Properties>
</file>