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lang w:eastAsia="zh-CN"/>
        </w:rPr>
      </w:pPr>
      <w:r>
        <w:rPr>
          <w:rFonts w:hint="eastAsia" w:eastAsiaTheme="minorEastAsia"/>
          <w:lang w:eastAsia="zh-CN"/>
        </w:rPr>
        <w:drawing>
          <wp:inline distT="0" distB="0" distL="114300" distR="114300">
            <wp:extent cx="3076575" cy="6158865"/>
            <wp:effectExtent l="0" t="0" r="9525" b="13335"/>
            <wp:docPr id="1" name="图片 1" descr="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5"/>
                    <pic:cNvPicPr>
                      <a:picLocks noChangeAspect="1"/>
                    </pic:cNvPicPr>
                  </pic:nvPicPr>
                  <pic:blipFill>
                    <a:blip r:embed="rId4"/>
                    <a:stretch>
                      <a:fillRect/>
                    </a:stretch>
                  </pic:blipFill>
                  <pic:spPr>
                    <a:xfrm>
                      <a:off x="0" y="0"/>
                      <a:ext cx="3076575" cy="6158865"/>
                    </a:xfrm>
                    <a:prstGeom prst="rect">
                      <a:avLst/>
                    </a:prstGeom>
                  </pic:spPr>
                </pic:pic>
              </a:graphicData>
            </a:graphic>
          </wp:inline>
        </w:drawing>
      </w:r>
    </w:p>
    <w:p>
      <w:pPr>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eastAsia="宋体" w:cs="Times New Roman"/>
          <w:b/>
          <w:bCs/>
          <w:sz w:val="20"/>
          <w:szCs w:val="20"/>
          <w:lang w:val="en-US" w:eastAsia="zh-CN"/>
        </w:rPr>
      </w:pPr>
      <w:r>
        <w:rPr>
          <w:rFonts w:hint="eastAsia" w:ascii="Times New Roman" w:hAnsi="Times New Roman" w:eastAsia="宋体" w:cs="Times New Roman"/>
          <w:b/>
          <w:bCs/>
          <w:sz w:val="20"/>
          <w:szCs w:val="20"/>
          <w:lang w:val="en-US" w:eastAsia="zh-CN"/>
        </w:rPr>
        <w:t>Supplementary figure 5. ZDHHC6 incr</w:t>
      </w:r>
      <w:bookmarkStart w:id="1" w:name="_GoBack"/>
      <w:bookmarkEnd w:id="1"/>
      <w:r>
        <w:rPr>
          <w:rFonts w:hint="eastAsia" w:ascii="Times New Roman" w:hAnsi="Times New Roman" w:eastAsia="宋体" w:cs="Times New Roman"/>
          <w:b/>
          <w:bCs/>
          <w:sz w:val="20"/>
          <w:szCs w:val="20"/>
          <w:lang w:val="en-US" w:eastAsia="zh-CN"/>
        </w:rPr>
        <w:t>eases ACC and ACLY expression.</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宋体" w:cs="Times New Roman"/>
          <w:b/>
          <w:bCs/>
          <w:sz w:val="20"/>
          <w:szCs w:val="20"/>
          <w:lang w:val="en-US" w:eastAsia="zh-CN"/>
        </w:rPr>
      </w:pPr>
      <w:r>
        <w:rPr>
          <w:rFonts w:hint="eastAsia" w:ascii="Times New Roman" w:hAnsi="Times New Roman" w:eastAsia="宋体" w:cs="Times New Roman"/>
          <w:b w:val="0"/>
          <w:bCs w:val="0"/>
          <w:sz w:val="20"/>
          <w:szCs w:val="20"/>
          <w:lang w:val="en-US" w:eastAsia="zh-CN"/>
        </w:rPr>
        <w:t>(</w:t>
      </w:r>
      <w:r>
        <w:rPr>
          <w:rFonts w:hint="eastAsia" w:ascii="Times New Roman" w:hAnsi="Times New Roman" w:eastAsia="宋体" w:cs="Times New Roman"/>
          <w:b/>
          <w:bCs/>
          <w:sz w:val="20"/>
          <w:szCs w:val="20"/>
          <w:lang w:val="en-US" w:eastAsia="zh-CN"/>
        </w:rPr>
        <w:t>A</w:t>
      </w:r>
      <w:r>
        <w:rPr>
          <w:rFonts w:hint="eastAsia" w:ascii="Times New Roman" w:hAnsi="Times New Roman" w:eastAsia="宋体" w:cs="Times New Roman"/>
          <w:b w:val="0"/>
          <w:bCs w:val="0"/>
          <w:sz w:val="20"/>
          <w:szCs w:val="20"/>
          <w:lang w:val="en-US" w:eastAsia="zh-CN"/>
        </w:rPr>
        <w:t xml:space="preserve">) </w:t>
      </w:r>
      <w:r>
        <w:rPr>
          <w:rFonts w:hint="default" w:ascii="Times New Roman" w:hAnsi="Times New Roman" w:eastAsia="宋体" w:cs="Times New Roman"/>
          <w:sz w:val="20"/>
          <w:szCs w:val="20"/>
        </w:rPr>
        <w:t xml:space="preserve">A heatmap showing the 30 most downregulated and upregulated genes in HCT116 cells that were exposed to ZDHHC6 shRNA. The colors red, pink, and light blue indicate the Log2 fold change (Fc) representing either an increase or decrease in mRNA expression relative to the shRNA control group. </w:t>
      </w:r>
      <w:r>
        <w:rPr>
          <w:rFonts w:hint="default" w:ascii="Times New Roman" w:hAnsi="Times New Roman" w:eastAsia="宋体" w:cs="Times New Roman"/>
          <w:sz w:val="20"/>
          <w:szCs w:val="20"/>
        </w:rPr>
        <w:br w:type="textWrapping"/>
      </w:r>
      <w:r>
        <w:rPr>
          <w:rFonts w:hint="eastAsia" w:ascii="Times New Roman" w:hAnsi="Times New Roman" w:eastAsia="宋体" w:cs="Times New Roman"/>
          <w:b w:val="0"/>
          <w:bCs w:val="0"/>
          <w:sz w:val="20"/>
          <w:szCs w:val="20"/>
          <w:lang w:val="en-US" w:eastAsia="zh-CN"/>
        </w:rPr>
        <w:t>(</w:t>
      </w:r>
      <w:r>
        <w:rPr>
          <w:rFonts w:hint="eastAsia" w:ascii="Times New Roman" w:hAnsi="Times New Roman" w:eastAsia="宋体" w:cs="Times New Roman"/>
          <w:b/>
          <w:bCs/>
          <w:sz w:val="20"/>
          <w:szCs w:val="20"/>
          <w:lang w:val="en-US" w:eastAsia="zh-CN"/>
        </w:rPr>
        <w:t>B</w:t>
      </w:r>
      <w:r>
        <w:rPr>
          <w:rFonts w:hint="eastAsia" w:ascii="Times New Roman" w:hAnsi="Times New Roman" w:eastAsia="宋体" w:cs="Times New Roman"/>
          <w:b w:val="0"/>
          <w:bCs w:val="0"/>
          <w:sz w:val="20"/>
          <w:szCs w:val="20"/>
          <w:lang w:val="en-US" w:eastAsia="zh-CN"/>
        </w:rPr>
        <w:t xml:space="preserve">) </w:t>
      </w:r>
      <w:r>
        <w:rPr>
          <w:rFonts w:hint="default" w:ascii="Times New Roman" w:hAnsi="Times New Roman" w:eastAsia="宋体" w:cs="Times New Roman"/>
          <w:sz w:val="20"/>
          <w:szCs w:val="20"/>
        </w:rPr>
        <w:t>Quantitative PCR was performed to analyze the expression of ACC, ACLY, FASN, and SCD in HCT116 cells with ZDHHC6 knockdown and SNU-C2A cells overexpressing ZDHHC6. There are 5 individuals in each group.</w:t>
      </w:r>
      <w:r>
        <w:rPr>
          <w:rFonts w:hint="default" w:ascii="Times New Roman" w:hAnsi="Times New Roman" w:eastAsia="宋体" w:cs="Times New Roman"/>
          <w:sz w:val="20"/>
          <w:szCs w:val="20"/>
        </w:rPr>
        <w:br w:type="textWrapping"/>
      </w:r>
      <w:r>
        <w:rPr>
          <w:rFonts w:hint="eastAsia" w:ascii="Times New Roman" w:hAnsi="Times New Roman" w:eastAsia="宋体" w:cs="Times New Roman"/>
          <w:b w:val="0"/>
          <w:bCs w:val="0"/>
          <w:sz w:val="20"/>
          <w:szCs w:val="20"/>
          <w:lang w:val="en-US" w:eastAsia="zh-CN"/>
        </w:rPr>
        <w:t>(</w:t>
      </w:r>
      <w:r>
        <w:rPr>
          <w:rFonts w:hint="eastAsia" w:ascii="Times New Roman" w:hAnsi="Times New Roman" w:eastAsia="宋体" w:cs="Times New Roman"/>
          <w:b/>
          <w:bCs/>
          <w:sz w:val="20"/>
          <w:szCs w:val="20"/>
          <w:lang w:val="en-US" w:eastAsia="zh-CN"/>
        </w:rPr>
        <w:t>C</w:t>
      </w:r>
      <w:r>
        <w:rPr>
          <w:rFonts w:hint="eastAsia" w:ascii="Times New Roman" w:hAnsi="Times New Roman" w:eastAsia="宋体" w:cs="Times New Roman"/>
          <w:b w:val="0"/>
          <w:bCs w:val="0"/>
          <w:sz w:val="20"/>
          <w:szCs w:val="20"/>
          <w:lang w:val="en-US" w:eastAsia="zh-CN"/>
        </w:rPr>
        <w:t xml:space="preserve">) </w:t>
      </w:r>
      <w:r>
        <w:rPr>
          <w:rFonts w:hint="default" w:ascii="Times New Roman" w:hAnsi="Times New Roman" w:eastAsia="宋体" w:cs="Times New Roman"/>
          <w:sz w:val="20"/>
          <w:szCs w:val="20"/>
        </w:rPr>
        <w:t xml:space="preserve">The proportions of FFA C16:0 and FFA C18:0 were examined in HCT116 and SNU-C2A cells transfected with ZDHHC6 alone or in conjunction with ACC or ACLY shRNA. Cells were examined using liquid chromatography-mass spectrometry after adhering for 24 hours. There are 5 individuals in each group. </w:t>
      </w:r>
      <w:r>
        <w:rPr>
          <w:rFonts w:hint="default" w:ascii="Times New Roman" w:hAnsi="Times New Roman" w:eastAsia="宋体" w:cs="Times New Roman"/>
          <w:sz w:val="20"/>
          <w:szCs w:val="20"/>
        </w:rPr>
        <w:br w:type="textWrapping"/>
      </w:r>
      <w:r>
        <w:rPr>
          <w:rFonts w:hint="eastAsia" w:ascii="Times New Roman" w:hAnsi="Times New Roman" w:eastAsia="宋体" w:cs="Times New Roman"/>
          <w:b w:val="0"/>
          <w:bCs w:val="0"/>
          <w:sz w:val="20"/>
          <w:szCs w:val="20"/>
          <w:lang w:val="en-US" w:eastAsia="zh-CN"/>
        </w:rPr>
        <w:t>(</w:t>
      </w:r>
      <w:r>
        <w:rPr>
          <w:rFonts w:hint="eastAsia" w:ascii="Times New Roman" w:hAnsi="Times New Roman" w:eastAsia="宋体" w:cs="Times New Roman"/>
          <w:b/>
          <w:bCs/>
          <w:sz w:val="20"/>
          <w:szCs w:val="20"/>
          <w:lang w:val="en-US" w:eastAsia="zh-CN"/>
        </w:rPr>
        <w:t>D</w:t>
      </w:r>
      <w:r>
        <w:rPr>
          <w:rFonts w:hint="eastAsia" w:ascii="Times New Roman" w:hAnsi="Times New Roman" w:eastAsia="宋体" w:cs="Times New Roman"/>
          <w:b w:val="0"/>
          <w:bCs w:val="0"/>
          <w:sz w:val="20"/>
          <w:szCs w:val="20"/>
          <w:lang w:val="en-US" w:eastAsia="zh-CN"/>
        </w:rPr>
        <w:t xml:space="preserve">) </w:t>
      </w:r>
      <w:r>
        <w:rPr>
          <w:rFonts w:hint="default" w:ascii="Times New Roman" w:hAnsi="Times New Roman" w:eastAsia="宋体" w:cs="Times New Roman"/>
          <w:sz w:val="20"/>
          <w:szCs w:val="20"/>
        </w:rPr>
        <w:t xml:space="preserve">The relative concentration of triglycerides was measured in the cell lines mentioned in (C). Cells were examined 24 hours after adhering. There are 5 individuals in each group. </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Times New Roman" w:hAnsi="Times New Roman"/>
          <w:sz w:val="20"/>
          <w:szCs w:val="20"/>
        </w:rPr>
      </w:pPr>
      <w:bookmarkStart w:id="0" w:name="OLE_LINK17"/>
      <w:r>
        <w:rPr>
          <w:rFonts w:ascii="Times New Roman" w:hAnsi="Times New Roman"/>
          <w:sz w:val="20"/>
          <w:szCs w:val="20"/>
        </w:rPr>
        <w:t>Data are expressed as mean</w:t>
      </w:r>
      <w:r>
        <w:rPr>
          <w:rFonts w:hint="eastAsia" w:ascii="Times New Roman" w:hAnsi="Times New Roman"/>
          <w:sz w:val="20"/>
          <w:szCs w:val="20"/>
        </w:rPr>
        <w:t xml:space="preserve"> </w:t>
      </w:r>
      <w:r>
        <w:rPr>
          <w:rFonts w:ascii="Times New Roman" w:hAnsi="Times New Roman"/>
          <w:sz w:val="20"/>
          <w:szCs w:val="20"/>
        </w:rPr>
        <w:t>±</w:t>
      </w:r>
      <w:r>
        <w:rPr>
          <w:rFonts w:hint="eastAsia" w:ascii="Times New Roman" w:hAnsi="Times New Roman"/>
          <w:sz w:val="20"/>
          <w:szCs w:val="20"/>
        </w:rPr>
        <w:t xml:space="preserve"> </w:t>
      </w:r>
      <w:r>
        <w:rPr>
          <w:rFonts w:ascii="Times New Roman" w:hAnsi="Times New Roman"/>
          <w:sz w:val="20"/>
          <w:szCs w:val="20"/>
        </w:rPr>
        <w:t xml:space="preserve">SEM. The relevant experiments presented in this part were performed independently at least three times. </w:t>
      </w:r>
      <w:r>
        <w:rPr>
          <w:rFonts w:ascii="Times New Roman" w:hAnsi="Times New Roman"/>
          <w:i/>
          <w:iCs/>
          <w:sz w:val="20"/>
          <w:szCs w:val="20"/>
        </w:rPr>
        <w:t>P</w:t>
      </w:r>
      <w:r>
        <w:rPr>
          <w:rFonts w:ascii="Times New Roman" w:hAnsi="Times New Roman"/>
          <w:sz w:val="20"/>
          <w:szCs w:val="20"/>
        </w:rPr>
        <w:t xml:space="preserve"> &lt;0.05 indicates statistical significance</w:t>
      </w:r>
      <w:r>
        <w:rPr>
          <w:rFonts w:hint="eastAsia" w:ascii="Times New Roman" w:hAnsi="Times New Roman"/>
          <w:sz w:val="20"/>
          <w:szCs w:val="20"/>
        </w:rPr>
        <w:t>.</w:t>
      </w:r>
    </w:p>
    <w:bookmarkEnd w:id="0"/>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default" w:ascii="Times New Roman" w:hAnsi="Times New Roman" w:eastAsia="宋体" w:cs="Times New Roman"/>
          <w:b w:val="0"/>
          <w:bCs w:val="0"/>
          <w:sz w:val="20"/>
          <w:szCs w:val="20"/>
          <w:lang w:val="en-US" w:eastAsia="zh-CN"/>
        </w:rPr>
      </w:pPr>
    </w:p>
    <w:p>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jZGU1NjVjNTJlOTA1YjhhY2UwN2Q5MmM3MTBlMzYifQ=="/>
  </w:docVars>
  <w:rsids>
    <w:rsidRoot w:val="00000000"/>
    <w:rsid w:val="5B0F4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2024-03-17T11:47:02Z</dcterms:created>
  <dc:creator>Administrator</dc:creator>
  <cp:lastModifiedBy>一大摞钱和花轮君都有钱</cp:lastModifiedBy>
  <dcterms:modified xsi:type="dcterms:W3CDTF">2024-03-17T11:47:26Z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C5A4080E2FFA4175B7052C54B7E68A30_12</vt:lpwstr>
  </property>
</Properties>
</file>