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B9E2B" w14:textId="56406AF5" w:rsidR="00571BED" w:rsidRPr="00571BED" w:rsidRDefault="00571BED" w:rsidP="00833391">
      <w:pPr>
        <w:spacing w:line="480" w:lineRule="auto"/>
        <w:rPr>
          <w:rFonts w:hint="eastAsia"/>
          <w:b/>
          <w:bCs/>
          <w:noProof/>
          <w:szCs w:val="24"/>
        </w:rPr>
      </w:pPr>
      <w:bookmarkStart w:id="0" w:name="_Hlk174443478"/>
      <w:bookmarkEnd w:id="0"/>
      <w:r w:rsidRPr="00571BED">
        <w:rPr>
          <w:rFonts w:hint="eastAsia"/>
          <w:b/>
          <w:bCs/>
          <w:noProof/>
          <w:szCs w:val="24"/>
        </w:rPr>
        <w:t>Supplementary Figure 1</w:t>
      </w:r>
    </w:p>
    <w:p w14:paraId="20EEBFA7" w14:textId="08710A7A" w:rsidR="00833391" w:rsidRPr="004E0AFB" w:rsidRDefault="00DA7E5E" w:rsidP="00833391">
      <w:pPr>
        <w:spacing w:line="480" w:lineRule="auto"/>
        <w:rPr>
          <w:szCs w:val="24"/>
        </w:rPr>
      </w:pPr>
      <w:r>
        <w:rPr>
          <w:noProof/>
          <w:szCs w:val="24"/>
        </w:rPr>
        <w:drawing>
          <wp:inline distT="0" distB="0" distL="0" distR="0" wp14:anchorId="2398EBD1" wp14:editId="346C0FB4">
            <wp:extent cx="5008077" cy="8390649"/>
            <wp:effectExtent l="0" t="0" r="2540" b="0"/>
            <wp:docPr id="16277506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633" cy="8393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3391" w:rsidRPr="004E0AFB">
        <w:rPr>
          <w:rFonts w:hint="eastAsia"/>
          <w:szCs w:val="24"/>
        </w:rPr>
        <w:lastRenderedPageBreak/>
        <w:t>F</w:t>
      </w:r>
      <w:r w:rsidR="00833391" w:rsidRPr="004E0AFB">
        <w:rPr>
          <w:szCs w:val="24"/>
        </w:rPr>
        <w:t>igure S1: MDM2 inhibitor sensitivity in tumors varies widely. (</w:t>
      </w:r>
      <w:r w:rsidR="00833391" w:rsidRPr="00C535C2">
        <w:rPr>
          <w:b/>
          <w:bCs/>
          <w:szCs w:val="24"/>
        </w:rPr>
        <w:t>A</w:t>
      </w:r>
      <w:r w:rsidR="00833391" w:rsidRPr="004E0AFB">
        <w:rPr>
          <w:szCs w:val="24"/>
        </w:rPr>
        <w:t>) MDM2 mRNA expression (log2(FPKM+1)) among all samples from the TCGA</w:t>
      </w:r>
      <w:r w:rsidR="00833391">
        <w:rPr>
          <w:szCs w:val="24"/>
        </w:rPr>
        <w:t xml:space="preserve"> </w:t>
      </w:r>
      <w:r w:rsidR="00833391" w:rsidRPr="004E0AFB">
        <w:rPr>
          <w:szCs w:val="24"/>
        </w:rPr>
        <w:t>grouped by cancer. Each point represents one sample.</w:t>
      </w:r>
      <w:r w:rsidR="00833391">
        <w:rPr>
          <w:szCs w:val="24"/>
        </w:rPr>
        <w:t xml:space="preserve"> The</w:t>
      </w:r>
      <w:r w:rsidR="00833391" w:rsidRPr="004E0AFB">
        <w:rPr>
          <w:szCs w:val="24"/>
        </w:rPr>
        <w:t xml:space="preserve"> P values are based on two-tailed Student’s t test. </w:t>
      </w:r>
      <w:r w:rsidR="00833391">
        <w:rPr>
          <w:rFonts w:hint="eastAsia"/>
          <w:szCs w:val="24"/>
        </w:rPr>
        <w:t>(</w:t>
      </w:r>
      <w:r w:rsidR="00833391" w:rsidRPr="00C535C2">
        <w:rPr>
          <w:b/>
          <w:bCs/>
          <w:szCs w:val="24"/>
        </w:rPr>
        <w:t>B</w:t>
      </w:r>
      <w:r w:rsidR="00833391">
        <w:rPr>
          <w:rFonts w:hint="eastAsia"/>
          <w:szCs w:val="24"/>
        </w:rPr>
        <w:t xml:space="preserve">) </w:t>
      </w:r>
      <w:r w:rsidR="00833391" w:rsidRPr="00C535C2">
        <w:rPr>
          <w:szCs w:val="24"/>
        </w:rPr>
        <w:t xml:space="preserve">Enrichment analysis of the p53 signaling pathway between TCGA pancancer samples with high and low expression of the candidate genes. NES, normalized enrichment </w:t>
      </w:r>
      <w:r w:rsidR="00833391" w:rsidRPr="00C95E0A">
        <w:rPr>
          <w:szCs w:val="24"/>
        </w:rPr>
        <w:t>scores</w:t>
      </w:r>
      <w:r w:rsidR="00833391" w:rsidRPr="00C535C2">
        <w:rPr>
          <w:szCs w:val="24"/>
        </w:rPr>
        <w:t xml:space="preserve"> as determined by the GSEA algorithm. </w:t>
      </w:r>
      <w:r w:rsidR="00833391" w:rsidRPr="00C95E0A">
        <w:rPr>
          <w:szCs w:val="24"/>
        </w:rPr>
        <w:t>(</w:t>
      </w:r>
      <w:r w:rsidR="00833391" w:rsidRPr="00C95E0A">
        <w:rPr>
          <w:rFonts w:hint="eastAsia"/>
          <w:b/>
          <w:bCs/>
          <w:szCs w:val="24"/>
        </w:rPr>
        <w:t>C</w:t>
      </w:r>
      <w:r w:rsidR="00833391" w:rsidRPr="00C535C2">
        <w:rPr>
          <w:b/>
          <w:bCs/>
          <w:szCs w:val="24"/>
        </w:rPr>
        <w:t>-</w:t>
      </w:r>
      <w:r w:rsidR="00833391" w:rsidRPr="00C95E0A">
        <w:rPr>
          <w:rFonts w:hint="eastAsia"/>
          <w:b/>
          <w:bCs/>
          <w:szCs w:val="24"/>
        </w:rPr>
        <w:t>E</w:t>
      </w:r>
      <w:r w:rsidR="00833391" w:rsidRPr="00C95E0A">
        <w:rPr>
          <w:szCs w:val="24"/>
        </w:rPr>
        <w:t>) Dot plot showing the differences in the mRNA expression of the indicated genes</w:t>
      </w:r>
      <w:r w:rsidR="00833391" w:rsidRPr="004E0AFB">
        <w:rPr>
          <w:szCs w:val="24"/>
        </w:rPr>
        <w:t xml:space="preserve"> </w:t>
      </w:r>
      <w:r w:rsidR="00833391">
        <w:rPr>
          <w:szCs w:val="24"/>
        </w:rPr>
        <w:t>between</w:t>
      </w:r>
      <w:r w:rsidR="00833391" w:rsidRPr="004E0AFB">
        <w:rPr>
          <w:szCs w:val="24"/>
        </w:rPr>
        <w:t xml:space="preserve"> patients with different TP53 mutation statuses. Each point represents one sample.</w:t>
      </w:r>
      <w:r w:rsidR="00833391">
        <w:rPr>
          <w:rFonts w:hint="eastAsia"/>
          <w:szCs w:val="24"/>
        </w:rPr>
        <w:t xml:space="preserve"> (</w:t>
      </w:r>
      <w:r w:rsidR="00833391" w:rsidRPr="004B5B8B">
        <w:rPr>
          <w:b/>
          <w:bCs/>
          <w:szCs w:val="24"/>
        </w:rPr>
        <w:t>F</w:t>
      </w:r>
      <w:r w:rsidR="00833391">
        <w:rPr>
          <w:rFonts w:hint="eastAsia"/>
          <w:szCs w:val="24"/>
        </w:rPr>
        <w:t xml:space="preserve">) Colony formation assays were used to detect the </w:t>
      </w:r>
      <w:r w:rsidR="00833391">
        <w:rPr>
          <w:szCs w:val="24"/>
        </w:rPr>
        <w:t>proliferation</w:t>
      </w:r>
      <w:r w:rsidR="00833391">
        <w:rPr>
          <w:rFonts w:hint="eastAsia"/>
          <w:szCs w:val="24"/>
        </w:rPr>
        <w:t xml:space="preserve"> of cancer cells after ULK1 knockdown by siRNA. (</w:t>
      </w:r>
      <w:r w:rsidR="00833391" w:rsidRPr="004B5B8B">
        <w:rPr>
          <w:b/>
          <w:bCs/>
          <w:szCs w:val="24"/>
        </w:rPr>
        <w:t>G</w:t>
      </w:r>
      <w:r w:rsidR="00833391">
        <w:rPr>
          <w:rFonts w:hint="eastAsia"/>
          <w:szCs w:val="24"/>
        </w:rPr>
        <w:t>) Cell viability was detected by MTT assays after ULK1 knockdown. (</w:t>
      </w:r>
      <w:r w:rsidR="00833391" w:rsidRPr="004B5B8B">
        <w:rPr>
          <w:b/>
          <w:bCs/>
          <w:szCs w:val="24"/>
        </w:rPr>
        <w:t>H</w:t>
      </w:r>
      <w:r w:rsidR="00833391">
        <w:rPr>
          <w:rFonts w:hint="eastAsia"/>
          <w:szCs w:val="24"/>
        </w:rPr>
        <w:t>)</w:t>
      </w:r>
      <w:r w:rsidR="00833391" w:rsidRPr="00F82EEB">
        <w:rPr>
          <w:szCs w:val="24"/>
        </w:rPr>
        <w:t xml:space="preserve"> </w:t>
      </w:r>
      <w:r w:rsidR="00833391">
        <w:rPr>
          <w:rFonts w:hint="eastAsia"/>
          <w:szCs w:val="24"/>
        </w:rPr>
        <w:t xml:space="preserve">Colony formation assays were used to detect the </w:t>
      </w:r>
      <w:r w:rsidR="00833391">
        <w:rPr>
          <w:szCs w:val="24"/>
        </w:rPr>
        <w:t>proliferation</w:t>
      </w:r>
      <w:r w:rsidR="00833391">
        <w:rPr>
          <w:rFonts w:hint="eastAsia"/>
          <w:szCs w:val="24"/>
        </w:rPr>
        <w:t xml:space="preserve"> of cancer cells after ULK1 knockout by sgRNA.</w:t>
      </w:r>
    </w:p>
    <w:p w14:paraId="620C6199" w14:textId="77777777" w:rsidR="00571BED" w:rsidRDefault="00571BED" w:rsidP="00833391">
      <w:pPr>
        <w:spacing w:line="480" w:lineRule="auto"/>
        <w:rPr>
          <w:noProof/>
          <w:szCs w:val="24"/>
        </w:rPr>
      </w:pPr>
    </w:p>
    <w:p w14:paraId="44C7B73C" w14:textId="77777777" w:rsidR="00571BED" w:rsidRDefault="00571BED" w:rsidP="00833391">
      <w:pPr>
        <w:spacing w:line="480" w:lineRule="auto"/>
        <w:rPr>
          <w:noProof/>
          <w:szCs w:val="24"/>
        </w:rPr>
      </w:pPr>
    </w:p>
    <w:p w14:paraId="023B2AC9" w14:textId="57DEC498" w:rsidR="00833391" w:rsidRDefault="00833391" w:rsidP="00833391">
      <w:pPr>
        <w:spacing w:line="480" w:lineRule="auto"/>
        <w:rPr>
          <w:szCs w:val="24"/>
        </w:rPr>
      </w:pPr>
    </w:p>
    <w:p w14:paraId="534D5B95" w14:textId="77777777" w:rsidR="00571BED" w:rsidRDefault="00571BED" w:rsidP="00833391">
      <w:pPr>
        <w:spacing w:line="480" w:lineRule="auto"/>
        <w:rPr>
          <w:szCs w:val="24"/>
        </w:rPr>
      </w:pPr>
    </w:p>
    <w:p w14:paraId="193F4002" w14:textId="77777777" w:rsidR="00571BED" w:rsidRDefault="00571BED" w:rsidP="00833391">
      <w:pPr>
        <w:spacing w:line="480" w:lineRule="auto"/>
        <w:rPr>
          <w:szCs w:val="24"/>
        </w:rPr>
      </w:pPr>
    </w:p>
    <w:p w14:paraId="24D5F89D" w14:textId="77777777" w:rsidR="00571BED" w:rsidRDefault="00571BED" w:rsidP="00833391">
      <w:pPr>
        <w:spacing w:line="480" w:lineRule="auto"/>
        <w:rPr>
          <w:szCs w:val="24"/>
        </w:rPr>
      </w:pPr>
    </w:p>
    <w:p w14:paraId="44B534FC" w14:textId="77777777" w:rsidR="00571BED" w:rsidRDefault="00571BED" w:rsidP="00833391">
      <w:pPr>
        <w:spacing w:line="480" w:lineRule="auto"/>
        <w:rPr>
          <w:szCs w:val="24"/>
        </w:rPr>
      </w:pPr>
    </w:p>
    <w:p w14:paraId="061D3D24" w14:textId="77777777" w:rsidR="00571BED" w:rsidRDefault="00571BED" w:rsidP="00833391">
      <w:pPr>
        <w:spacing w:line="480" w:lineRule="auto"/>
        <w:rPr>
          <w:szCs w:val="24"/>
        </w:rPr>
      </w:pPr>
    </w:p>
    <w:p w14:paraId="04DE464C" w14:textId="77777777" w:rsidR="00571BED" w:rsidRDefault="00571BED" w:rsidP="00833391">
      <w:pPr>
        <w:spacing w:line="480" w:lineRule="auto"/>
        <w:rPr>
          <w:szCs w:val="24"/>
        </w:rPr>
      </w:pPr>
    </w:p>
    <w:p w14:paraId="2E339A3B" w14:textId="45D705F4" w:rsidR="00571BED" w:rsidRPr="00571BED" w:rsidRDefault="00571BED" w:rsidP="00833391">
      <w:pPr>
        <w:spacing w:line="480" w:lineRule="auto"/>
        <w:rPr>
          <w:rFonts w:hint="eastAsia"/>
          <w:b/>
          <w:bCs/>
          <w:noProof/>
          <w:szCs w:val="24"/>
        </w:rPr>
      </w:pPr>
      <w:r w:rsidRPr="00571BED">
        <w:rPr>
          <w:rFonts w:hint="eastAsia"/>
          <w:b/>
          <w:bCs/>
          <w:noProof/>
          <w:szCs w:val="24"/>
        </w:rPr>
        <w:lastRenderedPageBreak/>
        <w:t xml:space="preserve">Supplementary Figure </w:t>
      </w:r>
      <w:r>
        <w:rPr>
          <w:rFonts w:hint="eastAsia"/>
          <w:b/>
          <w:bCs/>
          <w:noProof/>
          <w:szCs w:val="24"/>
        </w:rPr>
        <w:t>2</w:t>
      </w:r>
    </w:p>
    <w:p w14:paraId="7F59833F" w14:textId="55FD8225" w:rsidR="00571BED" w:rsidRDefault="00571BED" w:rsidP="00833391">
      <w:pPr>
        <w:spacing w:line="480" w:lineRule="auto"/>
        <w:rPr>
          <w:szCs w:val="24"/>
        </w:rPr>
      </w:pPr>
      <w:r>
        <w:rPr>
          <w:noProof/>
          <w:szCs w:val="24"/>
        </w:rPr>
        <w:drawing>
          <wp:inline distT="0" distB="0" distL="0" distR="0" wp14:anchorId="7976B262" wp14:editId="59A65DD9">
            <wp:extent cx="5267325" cy="4211320"/>
            <wp:effectExtent l="0" t="0" r="9525" b="0"/>
            <wp:docPr id="8268769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21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50E94" w14:textId="120C5D07" w:rsidR="00833391" w:rsidRPr="000728E0" w:rsidRDefault="00833391" w:rsidP="00833391">
      <w:pPr>
        <w:spacing w:line="480" w:lineRule="auto"/>
        <w:rPr>
          <w:szCs w:val="24"/>
        </w:rPr>
      </w:pPr>
      <w:r w:rsidRPr="004E0AFB">
        <w:rPr>
          <w:rFonts w:hint="eastAsia"/>
          <w:szCs w:val="24"/>
        </w:rPr>
        <w:t>F</w:t>
      </w:r>
      <w:r w:rsidRPr="004E0AFB">
        <w:rPr>
          <w:szCs w:val="24"/>
        </w:rPr>
        <w:t xml:space="preserve">igure S2: </w:t>
      </w:r>
      <w:r>
        <w:rPr>
          <w:szCs w:val="24"/>
        </w:rPr>
        <w:t>The</w:t>
      </w:r>
      <w:r w:rsidRPr="004E0AFB">
        <w:rPr>
          <w:szCs w:val="24"/>
        </w:rPr>
        <w:t xml:space="preserve"> transcription of </w:t>
      </w:r>
      <w:r>
        <w:rPr>
          <w:szCs w:val="24"/>
        </w:rPr>
        <w:t xml:space="preserve">only </w:t>
      </w:r>
      <w:r w:rsidRPr="004E0AFB">
        <w:rPr>
          <w:szCs w:val="24"/>
        </w:rPr>
        <w:t>GSDME was directly regulated by p53.</w:t>
      </w:r>
      <w:r>
        <w:rPr>
          <w:rFonts w:hint="eastAsia"/>
          <w:szCs w:val="24"/>
        </w:rPr>
        <w:t xml:space="preserve"> (</w:t>
      </w:r>
      <w:r w:rsidRPr="004B5B8B">
        <w:rPr>
          <w:b/>
          <w:bCs/>
          <w:szCs w:val="24"/>
        </w:rPr>
        <w:t>A-B</w:t>
      </w:r>
      <w:r>
        <w:rPr>
          <w:rFonts w:hint="eastAsia"/>
          <w:szCs w:val="24"/>
        </w:rPr>
        <w:t xml:space="preserve">) </w:t>
      </w:r>
      <w:r w:rsidRPr="00C535C2">
        <w:rPr>
          <w:szCs w:val="24"/>
        </w:rPr>
        <w:t>Flow cytometric analysis of FITC staining, PI staining, and LDH release in A2780 p53-overexpressing cells following treatment with TNFα+CHX for 24 h. **** P &lt; 0.0001.</w:t>
      </w:r>
      <w:r>
        <w:rPr>
          <w:rFonts w:hint="eastAsia"/>
          <w:szCs w:val="24"/>
        </w:rPr>
        <w:t xml:space="preserve"> (</w:t>
      </w:r>
      <w:r w:rsidRPr="004B5B8B">
        <w:rPr>
          <w:b/>
          <w:bCs/>
          <w:szCs w:val="24"/>
        </w:rPr>
        <w:t>C</w:t>
      </w:r>
      <w:r>
        <w:rPr>
          <w:rFonts w:hint="eastAsia"/>
          <w:szCs w:val="24"/>
        </w:rPr>
        <w:t xml:space="preserve">) </w:t>
      </w:r>
      <w:r w:rsidRPr="00DD5781">
        <w:rPr>
          <w:szCs w:val="24"/>
        </w:rPr>
        <w:t xml:space="preserve">Western blot showing </w:t>
      </w:r>
      <w:r>
        <w:rPr>
          <w:rFonts w:hint="eastAsia"/>
          <w:szCs w:val="24"/>
        </w:rPr>
        <w:t>GSDMs family</w:t>
      </w:r>
      <w:r w:rsidRPr="00DD5781">
        <w:rPr>
          <w:szCs w:val="24"/>
        </w:rPr>
        <w:t xml:space="preserve"> protein levels in </w:t>
      </w:r>
      <w:r>
        <w:rPr>
          <w:rFonts w:hint="eastAsia"/>
          <w:szCs w:val="24"/>
        </w:rPr>
        <w:t>indicated cells. (</w:t>
      </w:r>
      <w:r w:rsidRPr="004B5B8B">
        <w:rPr>
          <w:b/>
          <w:bCs/>
          <w:szCs w:val="24"/>
        </w:rPr>
        <w:t>D-G</w:t>
      </w:r>
      <w:r>
        <w:rPr>
          <w:rFonts w:hint="eastAsia"/>
          <w:szCs w:val="24"/>
        </w:rPr>
        <w:t xml:space="preserve">) </w:t>
      </w:r>
      <w:r w:rsidRPr="004E0AFB">
        <w:rPr>
          <w:szCs w:val="24"/>
        </w:rPr>
        <w:t xml:space="preserve">Dot plot showing the differences in the mRNA expression of GSDME </w:t>
      </w:r>
      <w:r>
        <w:rPr>
          <w:szCs w:val="24"/>
        </w:rPr>
        <w:t>between</w:t>
      </w:r>
      <w:r w:rsidRPr="004E0AFB">
        <w:rPr>
          <w:szCs w:val="24"/>
        </w:rPr>
        <w:t xml:space="preserve"> patients with different TP53 mutation statuses. Each point represents one sample.</w:t>
      </w:r>
    </w:p>
    <w:p w14:paraId="186D0808" w14:textId="77777777" w:rsidR="00833391" w:rsidRPr="004E0AFB" w:rsidRDefault="00833391" w:rsidP="00833391">
      <w:pPr>
        <w:spacing w:line="480" w:lineRule="auto"/>
        <w:rPr>
          <w:szCs w:val="24"/>
        </w:rPr>
      </w:pPr>
    </w:p>
    <w:p w14:paraId="1EEE6AE7" w14:textId="77777777" w:rsidR="00571BED" w:rsidRDefault="00571BED" w:rsidP="00833391">
      <w:pPr>
        <w:spacing w:line="480" w:lineRule="auto"/>
        <w:rPr>
          <w:szCs w:val="24"/>
        </w:rPr>
      </w:pPr>
    </w:p>
    <w:p w14:paraId="69C4C1D0" w14:textId="77777777" w:rsidR="00571BED" w:rsidRDefault="00571BED" w:rsidP="00833391">
      <w:pPr>
        <w:spacing w:line="480" w:lineRule="auto"/>
        <w:rPr>
          <w:szCs w:val="24"/>
        </w:rPr>
      </w:pPr>
    </w:p>
    <w:p w14:paraId="50E1AECE" w14:textId="77777777" w:rsidR="00571BED" w:rsidRDefault="00571BED" w:rsidP="00833391">
      <w:pPr>
        <w:spacing w:line="480" w:lineRule="auto"/>
        <w:rPr>
          <w:szCs w:val="24"/>
        </w:rPr>
      </w:pPr>
    </w:p>
    <w:p w14:paraId="66C122DF" w14:textId="236D553F" w:rsidR="00571BED" w:rsidRPr="00571BED" w:rsidRDefault="00571BED" w:rsidP="00833391">
      <w:pPr>
        <w:spacing w:line="480" w:lineRule="auto"/>
        <w:rPr>
          <w:rFonts w:hint="eastAsia"/>
          <w:b/>
          <w:bCs/>
          <w:noProof/>
          <w:szCs w:val="24"/>
        </w:rPr>
      </w:pPr>
      <w:r w:rsidRPr="00571BED">
        <w:rPr>
          <w:rFonts w:hint="eastAsia"/>
          <w:b/>
          <w:bCs/>
          <w:noProof/>
          <w:szCs w:val="24"/>
        </w:rPr>
        <w:lastRenderedPageBreak/>
        <w:t xml:space="preserve">Supplementary Figure </w:t>
      </w:r>
      <w:r>
        <w:rPr>
          <w:rFonts w:hint="eastAsia"/>
          <w:b/>
          <w:bCs/>
          <w:noProof/>
          <w:szCs w:val="24"/>
        </w:rPr>
        <w:t>3</w:t>
      </w:r>
    </w:p>
    <w:p w14:paraId="29D9D13B" w14:textId="650C2B85" w:rsidR="00833391" w:rsidRDefault="00DA7E5E" w:rsidP="00833391">
      <w:pPr>
        <w:spacing w:line="480" w:lineRule="auto"/>
        <w:rPr>
          <w:b/>
          <w:bCs/>
          <w:szCs w:val="24"/>
        </w:rPr>
      </w:pPr>
      <w:r>
        <w:rPr>
          <w:rFonts w:hint="eastAsia"/>
          <w:noProof/>
          <w:szCs w:val="24"/>
        </w:rPr>
        <w:drawing>
          <wp:inline distT="0" distB="0" distL="0" distR="0" wp14:anchorId="281C81FB" wp14:editId="09992AA8">
            <wp:extent cx="5273675" cy="6265545"/>
            <wp:effectExtent l="0" t="0" r="3175" b="1905"/>
            <wp:docPr id="69940820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626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3391" w:rsidRPr="004E0AFB">
        <w:rPr>
          <w:rFonts w:hint="eastAsia"/>
          <w:szCs w:val="24"/>
        </w:rPr>
        <w:t>F</w:t>
      </w:r>
      <w:r w:rsidR="00833391" w:rsidRPr="004E0AFB">
        <w:rPr>
          <w:szCs w:val="24"/>
        </w:rPr>
        <w:t>igure S</w:t>
      </w:r>
      <w:r w:rsidR="00833391">
        <w:rPr>
          <w:rFonts w:hint="eastAsia"/>
          <w:szCs w:val="24"/>
        </w:rPr>
        <w:t>3</w:t>
      </w:r>
      <w:r w:rsidR="00833391" w:rsidRPr="004E0AFB">
        <w:rPr>
          <w:szCs w:val="24"/>
        </w:rPr>
        <w:t xml:space="preserve">: </w:t>
      </w:r>
      <w:r w:rsidR="00833391">
        <w:rPr>
          <w:rFonts w:hint="eastAsia"/>
          <w:szCs w:val="24"/>
        </w:rPr>
        <w:t>M</w:t>
      </w:r>
      <w:r w:rsidR="00833391" w:rsidRPr="004E0AFB">
        <w:rPr>
          <w:szCs w:val="24"/>
        </w:rPr>
        <w:t>itophagy deficiency</w:t>
      </w:r>
      <w:r w:rsidR="00833391">
        <w:rPr>
          <w:rFonts w:hint="eastAsia"/>
          <w:szCs w:val="24"/>
        </w:rPr>
        <w:t xml:space="preserve"> promote the activation of GSDME</w:t>
      </w:r>
      <w:r w:rsidR="00833391" w:rsidRPr="004E0AFB">
        <w:rPr>
          <w:szCs w:val="24"/>
        </w:rPr>
        <w:t>. (</w:t>
      </w:r>
      <w:r w:rsidR="00833391" w:rsidRPr="002452AA">
        <w:rPr>
          <w:b/>
          <w:bCs/>
          <w:szCs w:val="24"/>
        </w:rPr>
        <w:t>A</w:t>
      </w:r>
      <w:r w:rsidR="00833391">
        <w:rPr>
          <w:rFonts w:hint="eastAsia"/>
          <w:b/>
          <w:bCs/>
          <w:szCs w:val="24"/>
        </w:rPr>
        <w:t>-B, E-F</w:t>
      </w:r>
      <w:r w:rsidR="00833391" w:rsidRPr="004E0AFB">
        <w:rPr>
          <w:szCs w:val="24"/>
        </w:rPr>
        <w:t xml:space="preserve">) RNA was extracted from the indicated cells, and the expression of NLRP3, </w:t>
      </w:r>
      <w:r w:rsidR="00833391">
        <w:rPr>
          <w:szCs w:val="24"/>
        </w:rPr>
        <w:t>caspase 8</w:t>
      </w:r>
      <w:r w:rsidR="00833391" w:rsidRPr="004E0AFB">
        <w:rPr>
          <w:szCs w:val="24"/>
        </w:rPr>
        <w:t xml:space="preserve"> and IL1</w:t>
      </w:r>
      <w:r w:rsidR="00833391">
        <w:rPr>
          <w:szCs w:val="24"/>
        </w:rPr>
        <w:t>B</w:t>
      </w:r>
      <w:r w:rsidR="00833391" w:rsidRPr="004E0AFB">
        <w:rPr>
          <w:szCs w:val="24"/>
        </w:rPr>
        <w:t xml:space="preserve"> was analyzed by qRT‒PCR. (</w:t>
      </w:r>
      <w:r w:rsidR="00833391">
        <w:rPr>
          <w:rFonts w:hint="eastAsia"/>
          <w:b/>
          <w:bCs/>
          <w:szCs w:val="24"/>
        </w:rPr>
        <w:t>C-D, G-H</w:t>
      </w:r>
      <w:r w:rsidR="00833391" w:rsidRPr="004E0AFB">
        <w:rPr>
          <w:szCs w:val="24"/>
        </w:rPr>
        <w:t xml:space="preserve">) Immunoblot </w:t>
      </w:r>
      <w:r w:rsidR="00833391">
        <w:rPr>
          <w:szCs w:val="24"/>
        </w:rPr>
        <w:t xml:space="preserve">analysis </w:t>
      </w:r>
      <w:r w:rsidR="00833391" w:rsidRPr="004E0AFB">
        <w:rPr>
          <w:szCs w:val="24"/>
        </w:rPr>
        <w:t>of NLRP3 pathway proteins and GA</w:t>
      </w:r>
      <w:r w:rsidR="00833391">
        <w:rPr>
          <w:rFonts w:hint="eastAsia"/>
          <w:szCs w:val="24"/>
        </w:rPr>
        <w:t>PD</w:t>
      </w:r>
      <w:r w:rsidR="00833391" w:rsidRPr="004E0AFB">
        <w:rPr>
          <w:szCs w:val="24"/>
        </w:rPr>
        <w:t>H from extracts of the indicated cells.</w:t>
      </w:r>
      <w:r w:rsidR="00833391" w:rsidRPr="004E0AFB" w:rsidDel="00A6300B">
        <w:rPr>
          <w:szCs w:val="24"/>
        </w:rPr>
        <w:t xml:space="preserve"> </w:t>
      </w:r>
      <w:r w:rsidR="00833391">
        <w:rPr>
          <w:rFonts w:hint="eastAsia"/>
          <w:szCs w:val="24"/>
        </w:rPr>
        <w:t>(</w:t>
      </w:r>
      <w:r w:rsidR="00833391" w:rsidRPr="00C535C2">
        <w:rPr>
          <w:b/>
          <w:bCs/>
          <w:szCs w:val="24"/>
        </w:rPr>
        <w:t>E-H</w:t>
      </w:r>
      <w:r w:rsidR="00833391">
        <w:rPr>
          <w:rFonts w:hint="eastAsia"/>
          <w:szCs w:val="24"/>
        </w:rPr>
        <w:t xml:space="preserve">) </w:t>
      </w:r>
      <w:r w:rsidR="00833391" w:rsidRPr="004E0AFB">
        <w:rPr>
          <w:szCs w:val="24"/>
        </w:rPr>
        <w:t>The indicated A2780 cells were treated with 4 mM NAC for 24 h.</w:t>
      </w:r>
      <w:r w:rsidR="00833391" w:rsidRPr="004E0AFB" w:rsidDel="00A6300B">
        <w:rPr>
          <w:szCs w:val="24"/>
        </w:rPr>
        <w:t xml:space="preserve"> </w:t>
      </w:r>
    </w:p>
    <w:p w14:paraId="3FCBAFC6" w14:textId="77777777" w:rsidR="004577F8" w:rsidRPr="00833391" w:rsidRDefault="004577F8">
      <w:pPr>
        <w:rPr>
          <w:rFonts w:hint="eastAsia"/>
        </w:rPr>
      </w:pPr>
    </w:p>
    <w:sectPr w:rsidR="004577F8" w:rsidRPr="00833391" w:rsidSect="00833391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9C"/>
    <w:rsid w:val="00224E9C"/>
    <w:rsid w:val="004577F8"/>
    <w:rsid w:val="00571BED"/>
    <w:rsid w:val="006652B4"/>
    <w:rsid w:val="006D4B4A"/>
    <w:rsid w:val="00833391"/>
    <w:rsid w:val="00893909"/>
    <w:rsid w:val="009F572F"/>
    <w:rsid w:val="00AA6EC9"/>
    <w:rsid w:val="00C75815"/>
    <w:rsid w:val="00D3510B"/>
    <w:rsid w:val="00DA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8120C"/>
  <w15:chartTrackingRefBased/>
  <w15:docId w15:val="{B6848490-8E27-4011-A980-F4792BB4B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theme="minorBidi"/>
        <w:color w:val="000000"/>
        <w:kern w:val="2"/>
        <w:sz w:val="24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B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Chen</dc:creator>
  <cp:keywords/>
  <dc:description/>
  <cp:lastModifiedBy>w Chen</cp:lastModifiedBy>
  <cp:revision>5</cp:revision>
  <dcterms:created xsi:type="dcterms:W3CDTF">2024-08-13T04:05:00Z</dcterms:created>
  <dcterms:modified xsi:type="dcterms:W3CDTF">2024-08-13T04:11:00Z</dcterms:modified>
</cp:coreProperties>
</file>