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EDE40" w14:textId="48E27997" w:rsidR="00F31F70" w:rsidRPr="00F31F70" w:rsidRDefault="00F31F7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35F7551" wp14:editId="5376ABC4">
            <wp:extent cx="5943600" cy="8280400"/>
            <wp:effectExtent l="0" t="0" r="0" b="6350"/>
            <wp:docPr id="7984228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2289" name="Picture 1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F70">
        <w:rPr>
          <w:b/>
          <w:bCs/>
        </w:rPr>
        <w:lastRenderedPageBreak/>
        <w:t>Supplementary Fig</w:t>
      </w:r>
      <w:r w:rsidRPr="00F31F70">
        <w:rPr>
          <w:b/>
          <w:bCs/>
        </w:rPr>
        <w:t xml:space="preserve">. </w:t>
      </w:r>
      <w:r w:rsidRPr="00F31F70">
        <w:rPr>
          <w:b/>
          <w:bCs/>
        </w:rPr>
        <w:t>1</w:t>
      </w:r>
    </w:p>
    <w:p w14:paraId="6416A2C0" w14:textId="729A8552" w:rsidR="00F31F70" w:rsidRDefault="00F31F70">
      <w:r w:rsidRPr="00F31F70">
        <w:t>(A) Effect of co-culture conditions with PC12 cells on the proliferative capacity of A549, H460, and BEAS-2B cells. (B) Effect of co-culture conditions with PC12 cells on colony formation by NSCLC cell lines. Statistical analyses were performed on the right side. (C) Effect of co-culture conditions with PC12 cells on the invasive ability of NSCLC cell lines, with statistical analyses on the right-hand side. (D) Effect of co-culture conditions with neural cells on the migratory ability of NSCLC cell lines, with statistical analyses on the right-hand side. (E) NGF levels in the supernatants of A549, H460, and BEAS-2B cells were measured using ELISA. (F) Neuroreceptor expression changes at the mRNA level in PC12 cells under co-culture conditions with NSCLC cell lines. (G) Neurotrophic effects of the NGF inhibitor (Ro 08-2750) on neurotrophic effects in NSCLC cell lines.</w:t>
      </w:r>
    </w:p>
    <w:sectPr w:rsidR="00F31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70"/>
    <w:rsid w:val="00EE38E6"/>
    <w:rsid w:val="00F3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E83E"/>
  <w15:chartTrackingRefBased/>
  <w15:docId w15:val="{81880210-B7F4-4292-9654-01D1A700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F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2024-09-27T05:38:00Z</dcterms:created>
  <dcterms:modified xsi:type="dcterms:W3CDTF">2024-09-27T05:40:00Z</dcterms:modified>
</cp:coreProperties>
</file>